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F7560" w14:textId="77777777" w:rsidR="00037B1E" w:rsidRDefault="00000000">
      <w:r>
        <w:rPr>
          <w:noProof/>
        </w:rPr>
        <w:drawing>
          <wp:anchor distT="0" distB="0" distL="114300" distR="114300" simplePos="0" relativeHeight="251658240" behindDoc="0" locked="0" layoutInCell="1" hidden="0" allowOverlap="1" wp14:anchorId="05F985AD" wp14:editId="5089E1BD">
            <wp:simplePos x="0" y="0"/>
            <wp:positionH relativeFrom="column">
              <wp:posOffset>-1080118</wp:posOffset>
            </wp:positionH>
            <wp:positionV relativeFrom="paragraph">
              <wp:posOffset>-654667</wp:posOffset>
            </wp:positionV>
            <wp:extent cx="7581265" cy="1019175"/>
            <wp:effectExtent l="0" t="0" r="0" b="0"/>
            <wp:wrapNone/>
            <wp:docPr id="2066816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696A8D0" w14:textId="77777777" w:rsidR="00037B1E" w:rsidRDefault="00037B1E">
      <w:pPr>
        <w:jc w:val="right"/>
        <w:rPr>
          <w:rFonts w:ascii="National" w:eastAsia="National" w:hAnsi="National" w:cs="National"/>
          <w:color w:val="303AB2"/>
          <w:sz w:val="36"/>
          <w:szCs w:val="36"/>
        </w:rPr>
      </w:pPr>
    </w:p>
    <w:p w14:paraId="2CD6EB3C" w14:textId="77777777" w:rsidR="00037B1E" w:rsidRDefault="00037B1E">
      <w:pPr>
        <w:jc w:val="center"/>
        <w:rPr>
          <w:rFonts w:ascii="National" w:eastAsia="National" w:hAnsi="National" w:cs="National"/>
          <w:b/>
          <w:bCs/>
          <w:color w:val="1DBDC5"/>
          <w:sz w:val="34"/>
          <w:szCs w:val="34"/>
        </w:rPr>
      </w:pPr>
    </w:p>
    <w:p w14:paraId="4C0B3510" w14:textId="77777777" w:rsidR="00037B1E" w:rsidRDefault="00000000">
      <w:pPr>
        <w:jc w:val="center"/>
        <w:rPr>
          <w:rFonts w:ascii="National" w:eastAsia="National" w:hAnsi="National" w:cs="National"/>
          <w:b/>
          <w:bCs/>
          <w:color w:val="1DBDC5"/>
          <w:sz w:val="36"/>
          <w:szCs w:val="36"/>
        </w:rPr>
      </w:pPr>
      <w:r>
        <w:rPr>
          <w:rFonts w:ascii="National" w:eastAsia="National" w:hAnsi="National" w:cs="National"/>
          <w:b/>
          <w:bCs/>
          <w:color w:val="1DBDC5"/>
          <w:sz w:val="40"/>
          <w:szCs w:val="40"/>
        </w:rPr>
        <w:t>RADIOGRAFÍA DEL MERCADO DE LA VIVIENDA</w:t>
      </w:r>
    </w:p>
    <w:p w14:paraId="64FF7F9A" w14:textId="77777777" w:rsidR="00037B1E"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Crece el desequilibrio en el mercado inmobiliario: un 29% de españoles demanda viviendas, pero solo el 7% las ofrece</w:t>
      </w:r>
    </w:p>
    <w:p w14:paraId="38CF1A27" w14:textId="77777777" w:rsidR="00037B1E" w:rsidRDefault="00037B1E">
      <w:pPr>
        <w:jc w:val="center"/>
        <w:rPr>
          <w:rFonts w:ascii="Open Sans" w:eastAsia="Open Sans" w:hAnsi="Open Sans" w:cs="Open Sans"/>
          <w:color w:val="303AB2"/>
        </w:rPr>
      </w:pPr>
    </w:p>
    <w:p w14:paraId="7C2B1086" w14:textId="77777777" w:rsidR="00037B1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18% de los españoles compró o intentó comprar una vivienda en los últimos 12 meses, tres puntos más que en 2024</w:t>
      </w:r>
    </w:p>
    <w:p w14:paraId="1B25D407" w14:textId="77777777" w:rsidR="00037B1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demanda de alquiler se estanca en el 16% de los españoles mientras que solo hay un 4% de propietarios que ofertan vivienda para alquilar</w:t>
      </w:r>
    </w:p>
    <w:p w14:paraId="1543C106" w14:textId="77777777" w:rsidR="00037B1E" w:rsidRDefault="00037B1E">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r>
          <w:rPr>
            <w:rFonts w:ascii="Open Sans Light" w:eastAsia="Open Sans Light" w:hAnsi="Open Sans Light" w:cs="Open Sans Light"/>
            <w:b/>
            <w:bCs/>
            <w:color w:val="0000FF"/>
            <w:u w:val="single"/>
          </w:rPr>
          <w:t>Aquí se puede ver un vídeo de la directora de Estudios de Fotocasa</w:t>
        </w:r>
      </w:hyperlink>
    </w:p>
    <w:p w14:paraId="6350CAA9" w14:textId="77777777" w:rsidR="00037B1E" w:rsidRDefault="00037B1E">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10">
        <w:r>
          <w:rPr>
            <w:rFonts w:ascii="Open Sans Light" w:eastAsia="Open Sans Light" w:hAnsi="Open Sans Light" w:cs="Open Sans Light"/>
            <w:b/>
            <w:bCs/>
            <w:color w:val="0000FF"/>
            <w:u w:val="single"/>
          </w:rPr>
          <w:t>Aquí se puede ver el informe completo “</w:t>
        </w:r>
      </w:hyperlink>
      <w:hyperlink r:id="rId11">
        <w:r>
          <w:rPr>
            <w:rFonts w:ascii="Open Sans Light" w:eastAsia="Open Sans Light" w:hAnsi="Open Sans Light" w:cs="Open Sans Light"/>
            <w:b/>
            <w:bCs/>
            <w:i/>
            <w:iCs/>
            <w:color w:val="0000FF"/>
            <w:u w:val="single"/>
          </w:rPr>
          <w:t>Radiografía del mercado de la vivienda en el segundo semestre de 2025</w:t>
        </w:r>
      </w:hyperlink>
      <w:hyperlink r:id="rId12">
        <w:r>
          <w:rPr>
            <w:rFonts w:ascii="Open Sans Light" w:eastAsia="Open Sans Light" w:hAnsi="Open Sans Light" w:cs="Open Sans Light"/>
            <w:b/>
            <w:bCs/>
            <w:color w:val="0000FF"/>
            <w:u w:val="single"/>
          </w:rPr>
          <w:t>”</w:t>
        </w:r>
      </w:hyperlink>
    </w:p>
    <w:p w14:paraId="2D7B9A2D" w14:textId="77777777" w:rsidR="00037B1E" w:rsidRDefault="00037B1E">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79D66F95" w14:textId="77777777" w:rsidR="00037B1E"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12 de noviembre de 2025</w:t>
      </w:r>
      <w:r>
        <w:rPr>
          <w:rFonts w:ascii="Open Sans Light" w:eastAsia="Open Sans Light" w:hAnsi="Open Sans Light" w:cs="Open Sans Light"/>
          <w:b/>
          <w:bCs/>
          <w:color w:val="303AB2"/>
        </w:rPr>
        <w:tab/>
      </w:r>
    </w:p>
    <w:p w14:paraId="3283B305" w14:textId="77777777" w:rsidR="00037B1E" w:rsidRDefault="00037B1E">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177A574" w14:textId="77777777" w:rsidR="00037B1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inmobiliario en España se encuentra cada vez más desequilibrado entre quienes buscan viviendas de compra o de alquiler y quienes las ofrecen. Actualmente, </w:t>
      </w:r>
      <w:r>
        <w:rPr>
          <w:rFonts w:ascii="Open Sans" w:eastAsia="Open Sans" w:hAnsi="Open Sans" w:cs="Open Sans"/>
          <w:b/>
          <w:bCs/>
        </w:rPr>
        <w:t>el 29% de los españoles quiere cambiar de vivienda (tres puntos más que hace justo un año), pero únicamente el 7% las ofertan en el mercado</w:t>
      </w:r>
      <w:r>
        <w:rPr>
          <w:rFonts w:ascii="Open Sans" w:eastAsia="Open Sans" w:hAnsi="Open Sans" w:cs="Open Sans"/>
        </w:rPr>
        <w:t xml:space="preserve"> (el mismo porcentaje que hace un año). Estas son algunas de las principales conclusiones que refleja el informe </w:t>
      </w:r>
      <w:r>
        <w:rPr>
          <w:rFonts w:ascii="Open Sans" w:eastAsia="Open Sans" w:hAnsi="Open Sans" w:cs="Open Sans"/>
          <w:b/>
          <w:bCs/>
        </w:rPr>
        <w:t>“</w:t>
      </w:r>
      <w:hyperlink r:id="rId13">
        <w:r w:rsidR="00037B1E">
          <w:rPr>
            <w:rFonts w:ascii="Open Sans" w:eastAsia="Open Sans" w:hAnsi="Open Sans" w:cs="Open Sans"/>
            <w:b/>
            <w:bCs/>
            <w:i/>
            <w:iCs/>
            <w:color w:val="0000FF"/>
            <w:u w:val="single"/>
          </w:rPr>
          <w:t>Radiografía del mercado de la vivienda en el segundo semestre de 2025</w:t>
        </w:r>
      </w:hyperlink>
      <w:r>
        <w:rPr>
          <w:rFonts w:ascii="Open Sans" w:eastAsia="Open Sans" w:hAnsi="Open Sans" w:cs="Open Sans"/>
          <w:b/>
          <w:bCs/>
        </w:rPr>
        <w:t xml:space="preserve">”, realizado por </w:t>
      </w:r>
      <w:hyperlink r:id="rId14">
        <w:r w:rsidR="00037B1E">
          <w:rPr>
            <w:rFonts w:ascii="Open Sans" w:eastAsia="Open Sans" w:hAnsi="Open Sans" w:cs="Open Sans"/>
            <w:b/>
            <w:bCs/>
            <w:color w:val="0000FF"/>
            <w:u w:val="single"/>
          </w:rPr>
          <w:t xml:space="preserve">Fotocasa </w:t>
        </w:r>
        <w:proofErr w:type="spellStart"/>
        <w:r w:rsidR="00037B1E">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6613166D" w14:textId="77777777" w:rsidR="00037B1E" w:rsidRDefault="00037B1E">
      <w:pPr>
        <w:pBdr>
          <w:top w:val="nil"/>
          <w:left w:val="nil"/>
          <w:bottom w:val="nil"/>
          <w:right w:val="nil"/>
          <w:between w:val="nil"/>
        </w:pBdr>
        <w:spacing w:line="276" w:lineRule="auto"/>
        <w:jc w:val="both"/>
        <w:rPr>
          <w:rFonts w:ascii="Open Sans" w:eastAsia="Open Sans" w:hAnsi="Open Sans" w:cs="Open Sans"/>
        </w:rPr>
      </w:pPr>
    </w:p>
    <w:p w14:paraId="055031CA" w14:textId="485AB501" w:rsidR="00037B1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“Nos encontramos ante el mayor desequilibrio entre oferta y demanda de vivienda de toda la serie histórica. Nunca antes la distancia entre quienes buscan un hogar y quienes pueden ofrecerlo había sido tan amplia. Este desajuste está provocando una fuerte presión al alza en los precios, que se sitúan ya cerca de los máximos tanto en el mercado de compraventa como en el de alquiler. La situación es crítica, porque dificulta seriamente la accesibilidad y agrava la brecha entre quienes pueden permitirse acceder a una vivienda y quienes quedan excluidos del mercado retrasando las oportunidades de emancipación de los jóvenes”, </w:t>
      </w:r>
      <w:r>
        <w:rPr>
          <w:rFonts w:ascii="Open Sans" w:eastAsia="Open Sans" w:hAnsi="Open Sans" w:cs="Open Sans"/>
          <w:b/>
          <w:bCs/>
        </w:rPr>
        <w:t xml:space="preserve">explica María Matos, directora de Estudios y portavoz de </w:t>
      </w:r>
      <w:hyperlink r:id="rId15" w:history="1">
        <w:r w:rsidR="00037B1E" w:rsidRPr="00DD747A">
          <w:rPr>
            <w:rStyle w:val="Hipervnculo"/>
            <w:rFonts w:ascii="Open Sans" w:eastAsia="Open Sans" w:hAnsi="Open Sans" w:cs="Open Sans"/>
            <w:b/>
            <w:bCs/>
          </w:rPr>
          <w:t>Fotocasa</w:t>
        </w:r>
      </w:hyperlink>
      <w:r>
        <w:rPr>
          <w:rFonts w:ascii="Open Sans" w:eastAsia="Open Sans" w:hAnsi="Open Sans" w:cs="Open Sans"/>
          <w:b/>
          <w:bCs/>
        </w:rPr>
        <w:t>.</w:t>
      </w:r>
    </w:p>
    <w:p w14:paraId="478FB3AF" w14:textId="77777777" w:rsidR="00037B1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Si se analiza este desequilibrio, se puede observar que </w:t>
      </w:r>
      <w:r>
        <w:rPr>
          <w:rFonts w:ascii="Open Sans" w:eastAsia="Open Sans" w:hAnsi="Open Sans" w:cs="Open Sans"/>
          <w:b/>
          <w:bCs/>
        </w:rPr>
        <w:t>el 18% de los españoles compró o intentó comprar una vivienda en los últimos 12 meses, tres puntos más que en 2024</w:t>
      </w:r>
      <w:r>
        <w:rPr>
          <w:rFonts w:ascii="Open Sans" w:eastAsia="Open Sans" w:hAnsi="Open Sans" w:cs="Open Sans"/>
        </w:rPr>
        <w:t>. En cambio, en el lado de la oferta, los vendedores representan el 4% y caen levemente respecto al 5% que representaba un año atrás. Por su lado, el segmento del alquiler se ha estancado en el último año, situando su demanda en el 16% de los españoles, mientras que se consolida en un 4% el porcentaje de españoles que ofertan un inmueble de alquiler, sin variaciones en ambos porcentajes.</w:t>
      </w:r>
    </w:p>
    <w:p w14:paraId="6EED13D1" w14:textId="77777777" w:rsidR="00037B1E" w:rsidRDefault="00037B1E">
      <w:pPr>
        <w:pBdr>
          <w:top w:val="nil"/>
          <w:left w:val="nil"/>
          <w:bottom w:val="nil"/>
          <w:right w:val="nil"/>
          <w:between w:val="nil"/>
        </w:pBdr>
        <w:spacing w:line="276" w:lineRule="auto"/>
        <w:jc w:val="both"/>
        <w:rPr>
          <w:rFonts w:ascii="Open Sans" w:eastAsia="Open Sans" w:hAnsi="Open Sans" w:cs="Open Sans"/>
          <w:b/>
          <w:bCs/>
        </w:rPr>
      </w:pPr>
    </w:p>
    <w:p w14:paraId="181E3190" w14:textId="77777777" w:rsidR="00037B1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desequilibrio se intensifica en el segmento de compraventa</w:t>
      </w:r>
    </w:p>
    <w:p w14:paraId="596025DF" w14:textId="77777777" w:rsidR="00037B1E" w:rsidRDefault="00037B1E">
      <w:pPr>
        <w:pBdr>
          <w:top w:val="nil"/>
          <w:left w:val="nil"/>
          <w:bottom w:val="nil"/>
          <w:right w:val="nil"/>
          <w:between w:val="nil"/>
        </w:pBdr>
        <w:spacing w:line="276" w:lineRule="auto"/>
        <w:jc w:val="both"/>
        <w:rPr>
          <w:rFonts w:ascii="Open Sans" w:eastAsia="Open Sans" w:hAnsi="Open Sans" w:cs="Open Sans"/>
        </w:rPr>
      </w:pPr>
    </w:p>
    <w:p w14:paraId="5899BD91" w14:textId="2DCD6524" w:rsidR="00037B1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Tal y como se comentaba, el informe </w:t>
      </w:r>
      <w:r>
        <w:rPr>
          <w:rFonts w:ascii="Open Sans" w:eastAsia="Open Sans" w:hAnsi="Open Sans" w:cs="Open Sans"/>
          <w:b/>
          <w:bCs/>
        </w:rPr>
        <w:t>“</w:t>
      </w:r>
      <w:hyperlink r:id="rId16">
        <w:r w:rsidR="00037B1E">
          <w:rPr>
            <w:rFonts w:ascii="Open Sans" w:eastAsia="Open Sans" w:hAnsi="Open Sans" w:cs="Open Sans"/>
            <w:b/>
            <w:bCs/>
            <w:i/>
            <w:iCs/>
            <w:color w:val="0000FF"/>
            <w:u w:val="single"/>
          </w:rPr>
          <w:t>Radiografía del mercado de la vivienda en el segundo semestre de 2025</w:t>
        </w:r>
      </w:hyperlink>
      <w:r>
        <w:rPr>
          <w:rFonts w:ascii="Open Sans" w:eastAsia="Open Sans" w:hAnsi="Open Sans" w:cs="Open Sans"/>
          <w:b/>
          <w:bCs/>
        </w:rPr>
        <w:t>”</w:t>
      </w:r>
      <w:r>
        <w:rPr>
          <w:rFonts w:ascii="Open Sans" w:eastAsia="Open Sans" w:hAnsi="Open Sans" w:cs="Open Sans"/>
        </w:rPr>
        <w:t xml:space="preserve"> señala también un progresivo desajuste en el ámbito de la propiedad. Si se atiende exclusivamente a la distribución de la oferta y la demanda en el mercado de la compraventa, en los últimos doce meses, </w:t>
      </w:r>
      <w:r>
        <w:rPr>
          <w:rFonts w:ascii="Open Sans" w:eastAsia="Open Sans" w:hAnsi="Open Sans" w:cs="Open Sans"/>
          <w:b/>
          <w:bCs/>
        </w:rPr>
        <w:t>un 12% de los particulares se relacionan únicamente con la oferta de vivienda en venta (tres puntos menos que en 2024), mientras que el 81% se relacionan solo con la demanda (cuatro puntos más que hace un año)</w:t>
      </w:r>
      <w:r>
        <w:rPr>
          <w:rFonts w:ascii="Open Sans" w:eastAsia="Open Sans" w:hAnsi="Open Sans" w:cs="Open Sans"/>
        </w:rPr>
        <w:t>. Un 7% se relaciona en ambos mercados (la compra y la venta)</w:t>
      </w:r>
      <w:r w:rsidR="00221A8B">
        <w:rPr>
          <w:rFonts w:ascii="Open Sans" w:eastAsia="Open Sans" w:hAnsi="Open Sans" w:cs="Open Sans"/>
        </w:rPr>
        <w:t>.</w:t>
      </w:r>
    </w:p>
    <w:p w14:paraId="1D0A508D" w14:textId="77777777" w:rsidR="00037B1E" w:rsidRDefault="00037B1E">
      <w:pPr>
        <w:pBdr>
          <w:top w:val="nil"/>
          <w:left w:val="nil"/>
          <w:bottom w:val="nil"/>
          <w:right w:val="nil"/>
          <w:between w:val="nil"/>
        </w:pBdr>
        <w:spacing w:line="276" w:lineRule="auto"/>
        <w:jc w:val="both"/>
        <w:rPr>
          <w:rFonts w:ascii="Open Sans" w:eastAsia="Open Sans" w:hAnsi="Open Sans" w:cs="Open Sans"/>
        </w:rPr>
      </w:pPr>
    </w:p>
    <w:p w14:paraId="2FC0E1C7" w14:textId="3CDCE276" w:rsidR="00037B1E" w:rsidRDefault="00B7336A" w:rsidP="00B7336A">
      <w:pPr>
        <w:pBdr>
          <w:top w:val="nil"/>
          <w:left w:val="nil"/>
          <w:bottom w:val="nil"/>
          <w:right w:val="nil"/>
          <w:between w:val="nil"/>
        </w:pBdr>
        <w:spacing w:line="276" w:lineRule="auto"/>
        <w:jc w:val="center"/>
        <w:rPr>
          <w:rFonts w:ascii="Open Sans" w:eastAsia="Open Sans" w:hAnsi="Open Sans" w:cs="Open Sans"/>
        </w:rPr>
      </w:pPr>
      <w:r w:rsidRPr="00B7336A">
        <w:rPr>
          <w:rFonts w:ascii="Open Sans" w:eastAsia="Open Sans" w:hAnsi="Open Sans" w:cs="Open Sans"/>
          <w:noProof/>
        </w:rPr>
        <w:drawing>
          <wp:inline distT="0" distB="0" distL="0" distR="0" wp14:anchorId="00E899CB" wp14:editId="77EBB4FF">
            <wp:extent cx="5387807" cy="3353091"/>
            <wp:effectExtent l="0" t="0" r="3810" b="0"/>
            <wp:docPr id="40641566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5666" name="Imagen 1" descr="Diagrama&#10;&#10;El contenido generado por IA puede ser incorrecto."/>
                    <pic:cNvPicPr/>
                  </pic:nvPicPr>
                  <pic:blipFill>
                    <a:blip r:embed="rId17"/>
                    <a:stretch>
                      <a:fillRect/>
                    </a:stretch>
                  </pic:blipFill>
                  <pic:spPr>
                    <a:xfrm>
                      <a:off x="0" y="0"/>
                      <a:ext cx="5387807" cy="3353091"/>
                    </a:xfrm>
                    <a:prstGeom prst="rect">
                      <a:avLst/>
                    </a:prstGeom>
                  </pic:spPr>
                </pic:pic>
              </a:graphicData>
            </a:graphic>
          </wp:inline>
        </w:drawing>
      </w:r>
    </w:p>
    <w:p w14:paraId="0DCE86B8" w14:textId="77777777" w:rsidR="00B7336A" w:rsidRDefault="00B7336A">
      <w:pPr>
        <w:pBdr>
          <w:top w:val="nil"/>
          <w:left w:val="nil"/>
          <w:bottom w:val="nil"/>
          <w:right w:val="nil"/>
          <w:between w:val="nil"/>
        </w:pBdr>
        <w:spacing w:line="276" w:lineRule="auto"/>
        <w:rPr>
          <w:rFonts w:ascii="Open Sans" w:eastAsia="Open Sans" w:hAnsi="Open Sans" w:cs="Open Sans"/>
        </w:rPr>
      </w:pPr>
    </w:p>
    <w:p w14:paraId="15A25DBF" w14:textId="77777777" w:rsidR="00037B1E" w:rsidRDefault="00037B1E">
      <w:pPr>
        <w:pBdr>
          <w:top w:val="nil"/>
          <w:left w:val="nil"/>
          <w:bottom w:val="nil"/>
          <w:right w:val="nil"/>
          <w:between w:val="nil"/>
        </w:pBdr>
        <w:spacing w:line="276" w:lineRule="auto"/>
        <w:jc w:val="both"/>
        <w:rPr>
          <w:rFonts w:ascii="Open Sans" w:eastAsia="Open Sans" w:hAnsi="Open Sans" w:cs="Open Sans"/>
        </w:rPr>
      </w:pPr>
    </w:p>
    <w:p w14:paraId="10F322AF" w14:textId="77777777" w:rsidR="00037B1E" w:rsidRDefault="00037B1E">
      <w:pPr>
        <w:pBdr>
          <w:top w:val="nil"/>
          <w:left w:val="nil"/>
          <w:bottom w:val="nil"/>
          <w:right w:val="nil"/>
          <w:between w:val="nil"/>
        </w:pBdr>
        <w:spacing w:line="276" w:lineRule="auto"/>
        <w:jc w:val="both"/>
        <w:rPr>
          <w:rFonts w:ascii="Open Sans" w:eastAsia="Open Sans" w:hAnsi="Open Sans" w:cs="Open Sans"/>
        </w:rPr>
      </w:pPr>
    </w:p>
    <w:p w14:paraId="6E323A71" w14:textId="77777777" w:rsidR="00037B1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17F8F15F"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445087C7"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sidR="00037B1E">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6075B4F5"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9">
        <w:r w:rsidR="00037B1E">
          <w:rPr>
            <w:rFonts w:ascii="Open Sans" w:eastAsia="Open Sans" w:hAnsi="Open Sans" w:cs="Open Sans"/>
            <w:b/>
            <w:bCs/>
            <w:color w:val="0000FF"/>
            <w:sz w:val="22"/>
            <w:szCs w:val="22"/>
            <w:u w:val="single"/>
          </w:rPr>
          <w:t xml:space="preserve">Fotocasa </w:t>
        </w:r>
        <w:proofErr w:type="spellStart"/>
        <w:r w:rsidR="00037B1E">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EAC08C7"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sidR="00037B1E">
          <w:rPr>
            <w:rFonts w:ascii="Open Sans" w:eastAsia="Open Sans" w:hAnsi="Open Sans" w:cs="Open Sans"/>
            <w:b/>
            <w:bCs/>
            <w:color w:val="0000FF"/>
            <w:sz w:val="22"/>
            <w:szCs w:val="22"/>
            <w:u w:val="single"/>
          </w:rPr>
          <w:t>Sala de Prensa</w:t>
        </w:r>
      </w:hyperlink>
    </w:p>
    <w:p w14:paraId="48D971BD" w14:textId="77777777" w:rsidR="00037B1E" w:rsidRDefault="00037B1E">
      <w:pPr>
        <w:spacing w:line="276" w:lineRule="auto"/>
        <w:rPr>
          <w:rFonts w:ascii="Open Sans Light" w:eastAsia="Open Sans Light" w:hAnsi="Open Sans Light" w:cs="Open Sans Light"/>
          <w:b/>
          <w:bCs/>
          <w:color w:val="303AB2"/>
        </w:rPr>
      </w:pPr>
    </w:p>
    <w:p w14:paraId="58ED4962" w14:textId="77777777" w:rsidR="00037B1E" w:rsidRDefault="00037B1E">
      <w:pPr>
        <w:spacing w:line="276" w:lineRule="auto"/>
        <w:rPr>
          <w:rFonts w:ascii="Open Sans Light" w:eastAsia="Open Sans Light" w:hAnsi="Open Sans Light" w:cs="Open Sans Light"/>
          <w:b/>
          <w:bCs/>
          <w:color w:val="303AB2"/>
        </w:rPr>
      </w:pPr>
    </w:p>
    <w:p w14:paraId="222519C2" w14:textId="77777777" w:rsidR="00037B1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Fotocasa </w:t>
      </w:r>
      <w:proofErr w:type="spellStart"/>
      <w:r>
        <w:rPr>
          <w:rFonts w:ascii="Open Sans Light" w:eastAsia="Open Sans Light" w:hAnsi="Open Sans Light" w:cs="Open Sans Light"/>
          <w:b/>
          <w:bCs/>
          <w:color w:val="303AB2"/>
        </w:rPr>
        <w:t>Group</w:t>
      </w:r>
      <w:proofErr w:type="spellEnd"/>
    </w:p>
    <w:p w14:paraId="0459E333"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76DC617"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21">
        <w:r w:rsidR="00037B1E">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proofErr w:type="spellStart"/>
        <w:r w:rsidR="00037B1E">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3">
        <w:r w:rsidR="00037B1E">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proofErr w:type="spellStart"/>
        <w:r w:rsidR="00037B1E">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5">
        <w:proofErr w:type="spellStart"/>
        <w:r w:rsidR="00037B1E">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6">
        <w:proofErr w:type="spellStart"/>
        <w:r w:rsidR="00037B1E">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9551A6D"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0E398AB"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6664C67D" w14:textId="77777777" w:rsidR="00037B1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31F98AE" w14:textId="77777777" w:rsidR="00037B1E" w:rsidRDefault="00037B1E">
      <w:pPr>
        <w:shd w:val="clear" w:color="auto" w:fill="FFFFFF"/>
        <w:spacing w:before="280" w:after="280" w:line="276" w:lineRule="auto"/>
        <w:jc w:val="both"/>
        <w:rPr>
          <w:rFonts w:ascii="Open Sans" w:eastAsia="Open Sans" w:hAnsi="Open Sans" w:cs="Open Sans"/>
          <w:sz w:val="22"/>
          <w:szCs w:val="22"/>
        </w:rPr>
      </w:pPr>
    </w:p>
    <w:p w14:paraId="2E311AF0" w14:textId="77777777" w:rsidR="00037B1E" w:rsidRDefault="00037B1E">
      <w:pPr>
        <w:spacing w:line="276" w:lineRule="auto"/>
        <w:jc w:val="right"/>
        <w:rPr>
          <w:rFonts w:ascii="Open Sans" w:eastAsia="Open Sans" w:hAnsi="Open Sans" w:cs="Open Sans"/>
        </w:rPr>
      </w:pPr>
    </w:p>
    <w:p w14:paraId="2CE326DB" w14:textId="77777777" w:rsidR="00037B1E"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15665D8" w14:textId="77777777" w:rsidR="00037B1E"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0A8DD17C" w14:textId="77777777" w:rsidR="00037B1E" w:rsidRDefault="00037B1E">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7DAA367E" w14:textId="77777777" w:rsidR="00037B1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37B1E">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D2F9A" w14:textId="77777777" w:rsidR="00DD68AD" w:rsidRDefault="00DD68AD">
      <w:r>
        <w:separator/>
      </w:r>
    </w:p>
  </w:endnote>
  <w:endnote w:type="continuationSeparator" w:id="0">
    <w:p w14:paraId="330D0571" w14:textId="77777777" w:rsidR="00DD68AD" w:rsidRDefault="00DD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085A99F-3546-4145-99C4-E8FDF1F5C1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721F5D-FC0C-43BF-A820-2CC07E647912}"/>
    <w:embedBold r:id="rId3" w:fontKey="{F20C19E0-8561-43ED-895D-CA3A5057262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754E98C-3B1F-44DC-9CDB-DE9B33F37FFE}"/>
  </w:font>
  <w:font w:name="Georgia">
    <w:panose1 w:val="02040502050405020303"/>
    <w:charset w:val="00"/>
    <w:family w:val="roman"/>
    <w:pitch w:val="variable"/>
    <w:sig w:usb0="00000287" w:usb1="00000000" w:usb2="00000000" w:usb3="00000000" w:csb0="0000009F" w:csb1="00000000"/>
    <w:embedItalic r:id="rId5" w:fontKey="{8707D949-06B6-402A-BA33-8C788E22302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51C98CA2-6F80-42C2-959D-78402A4ABD74}"/>
    <w:embedBold r:id="rId7" w:fontKey="{A8EB6603-D14B-47C3-9650-6644CE68BC89}"/>
    <w:embedBoldItalic r:id="rId8" w:fontKey="{95BF8500-78E7-4BE0-806D-83E9363DB5FC}"/>
  </w:font>
  <w:font w:name="Open Sans Light">
    <w:charset w:val="00"/>
    <w:family w:val="swiss"/>
    <w:pitch w:val="variable"/>
    <w:sig w:usb0="E00002EF" w:usb1="4000205B" w:usb2="00000028" w:usb3="00000000" w:csb0="0000019F" w:csb1="00000000"/>
    <w:embedBold r:id="rId9" w:fontKey="{378B7635-3878-4F56-AB4B-CD356A1B54E4}"/>
    <w:embedBoldItalic r:id="rId10" w:fontKey="{D13FD4FB-A989-4F40-95F1-B0E43782C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623F" w14:textId="77777777" w:rsidR="00037B1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040E93B" wp14:editId="654067BB">
          <wp:simplePos x="0" y="0"/>
          <wp:positionH relativeFrom="column">
            <wp:posOffset>-1068043</wp:posOffset>
          </wp:positionH>
          <wp:positionV relativeFrom="paragraph">
            <wp:posOffset>174608</wp:posOffset>
          </wp:positionV>
          <wp:extent cx="7670550" cy="45131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EA493" w14:textId="77777777" w:rsidR="00DD68AD" w:rsidRDefault="00DD68AD">
      <w:r>
        <w:separator/>
      </w:r>
    </w:p>
  </w:footnote>
  <w:footnote w:type="continuationSeparator" w:id="0">
    <w:p w14:paraId="7C1439D0" w14:textId="77777777" w:rsidR="00DD68AD" w:rsidRDefault="00DD6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5A30E9"/>
    <w:multiLevelType w:val="multilevel"/>
    <w:tmpl w:val="13226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635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1E"/>
    <w:rsid w:val="00037B1E"/>
    <w:rsid w:val="00221A8B"/>
    <w:rsid w:val="002E7C7C"/>
    <w:rsid w:val="008D5A3D"/>
    <w:rsid w:val="00B7336A"/>
    <w:rsid w:val="00D7697B"/>
    <w:rsid w:val="00DD68AD"/>
    <w:rsid w:val="00DD747A"/>
    <w:rsid w:val="00EF40DA"/>
    <w:rsid w:val="00F301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585B"/>
  <w15:docId w15:val="{CFE551DD-93C3-4D29-BFC0-84EE40DF2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36360.pcdn.co/wp-content/uploads/2025/11/Informe-Radiografia-en-el-mercado-de-la-vivienda-segundo-semestre-2025.pdf"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s36360.pcdn.co/wp-content/uploads/2025/11/Informe-Radiografia-en-el-mercado-de-la-vivienda-segundo-semestre-2025.pdf" TargetMode="External"/><Relationship Id="rId17" Type="http://schemas.openxmlformats.org/officeDocument/2006/relationships/image" Target="media/image2.png"/><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s36360.pcdn.co/wp-content/uploads/2025/11/Informe-Radiografia-en-el-mercado-de-la-vivienda-segundo-semestre-2025.pdf" TargetMode="External"/><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5/11/Informe-Radiografia-en-el-mercado-de-la-vivienda-segundo-semestre-2025.pdf" TargetMode="External"/><Relationship Id="rId24" Type="http://schemas.openxmlformats.org/officeDocument/2006/relationships/hyperlink" Target="https://datavenues.com/"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profesionales.fotocasa.es/" TargetMode="External"/><Relationship Id="rId28" Type="http://schemas.openxmlformats.org/officeDocument/2006/relationships/footer" Target="footer1.xml"/><Relationship Id="rId10" Type="http://schemas.openxmlformats.org/officeDocument/2006/relationships/hyperlink" Target="https://s36360.pcdn.co/wp-content/uploads/2025/11/Informe-Radiografia-en-el-mercado-de-la-vivienda-segundo-semestre-2025.pdf" TargetMode="External"/><Relationship Id="rId19" Type="http://schemas.openxmlformats.org/officeDocument/2006/relationships/hyperlink" Target="https://www.research.fotocasa.es" TargetMode="External"/><Relationship Id="rId4" Type="http://schemas.openxmlformats.org/officeDocument/2006/relationships/settings" Target="settings.xml"/><Relationship Id="rId9" Type="http://schemas.openxmlformats.org/officeDocument/2006/relationships/hyperlink" Target="https://youtu.be/-vT0Y02eNIc" TargetMode="External"/><Relationship Id="rId14" Type="http://schemas.openxmlformats.org/officeDocument/2006/relationships/hyperlink" Target="https://research.fotocasa.es/" TargetMode="External"/><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ZGuyUvCz1fTdBRKjAXNuiArcA==">CgMxLjA4AHIhMTZDTlRWRk5fdzZkTUhlVnBZbjgyOWlfTnNEVlAtbkZZ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960</Words>
  <Characters>5283</Characters>
  <Application>Microsoft Office Word</Application>
  <DocSecurity>0</DocSecurity>
  <Lines>44</Lines>
  <Paragraphs>12</Paragraphs>
  <ScaleCrop>false</ScaleCrop>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2025-11-12T07:40:00Z</dcterms:modified>
</cp:coreProperties>
</file>