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D92F3" w14:textId="77777777" w:rsidR="00203A4F" w:rsidRDefault="00000000">
      <w:r>
        <w:rPr>
          <w:noProof/>
        </w:rPr>
        <w:drawing>
          <wp:anchor distT="0" distB="0" distL="114300" distR="114300" simplePos="0" relativeHeight="251658240" behindDoc="0" locked="0" layoutInCell="1" hidden="0" allowOverlap="1" wp14:anchorId="11490CEA" wp14:editId="3A8137B6">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72B6559" w14:textId="77777777" w:rsidR="00203A4F" w:rsidRDefault="00203A4F">
      <w:pPr>
        <w:jc w:val="right"/>
        <w:rPr>
          <w:rFonts w:ascii="National" w:eastAsia="National" w:hAnsi="National" w:cs="National"/>
          <w:color w:val="303AB2"/>
          <w:sz w:val="36"/>
          <w:szCs w:val="36"/>
        </w:rPr>
      </w:pPr>
    </w:p>
    <w:p w14:paraId="26DBBE8E" w14:textId="77777777" w:rsidR="00203A4F" w:rsidRDefault="00203A4F">
      <w:pPr>
        <w:rPr>
          <w:rFonts w:ascii="National" w:eastAsia="National" w:hAnsi="National" w:cs="National"/>
          <w:b/>
          <w:bCs/>
          <w:color w:val="1DBDC5"/>
          <w:sz w:val="34"/>
          <w:szCs w:val="34"/>
        </w:rPr>
      </w:pPr>
    </w:p>
    <w:p w14:paraId="572A2267" w14:textId="77777777" w:rsidR="00203A4F" w:rsidRPr="00686CA4" w:rsidRDefault="00000000">
      <w:pPr>
        <w:jc w:val="center"/>
        <w:rPr>
          <w:rFonts w:ascii="National" w:eastAsia="National" w:hAnsi="National" w:cs="National"/>
          <w:b/>
          <w:bCs/>
          <w:color w:val="1DBDC5"/>
          <w:sz w:val="36"/>
          <w:szCs w:val="36"/>
        </w:rPr>
      </w:pPr>
      <w:r w:rsidRPr="00686CA4">
        <w:rPr>
          <w:rFonts w:ascii="National" w:eastAsia="National" w:hAnsi="National" w:cs="National"/>
          <w:b/>
          <w:bCs/>
          <w:color w:val="1DBDC5"/>
          <w:sz w:val="36"/>
          <w:szCs w:val="36"/>
        </w:rPr>
        <w:t>RADIOGRAFÍA DEL MERCADO DE LA VIVIENDA</w:t>
      </w:r>
    </w:p>
    <w:p w14:paraId="0676BAF0" w14:textId="77777777" w:rsidR="00203A4F" w:rsidRPr="00686CA4" w:rsidRDefault="00000000">
      <w:pPr>
        <w:jc w:val="center"/>
        <w:rPr>
          <w:rFonts w:ascii="National" w:eastAsia="National" w:hAnsi="National" w:cs="National"/>
          <w:b/>
          <w:bCs/>
          <w:color w:val="303AB2"/>
          <w:sz w:val="52"/>
          <w:szCs w:val="52"/>
        </w:rPr>
      </w:pPr>
      <w:r w:rsidRPr="00686CA4">
        <w:rPr>
          <w:rFonts w:ascii="National" w:eastAsia="National" w:hAnsi="National" w:cs="National"/>
          <w:b/>
          <w:bCs/>
          <w:color w:val="303AB2"/>
          <w:sz w:val="52"/>
          <w:szCs w:val="52"/>
        </w:rPr>
        <w:t>Auge por la compra de vivienda: el 51% de la demanda busca comprar frente al 37% que busca alquilar</w:t>
      </w:r>
    </w:p>
    <w:p w14:paraId="13EE43C9" w14:textId="77777777" w:rsidR="00203A4F" w:rsidRDefault="00203A4F">
      <w:pPr>
        <w:rPr>
          <w:rFonts w:ascii="Open Sans" w:eastAsia="Open Sans" w:hAnsi="Open Sans" w:cs="Open Sans"/>
          <w:color w:val="303AB2"/>
        </w:rPr>
      </w:pPr>
    </w:p>
    <w:p w14:paraId="6717A453" w14:textId="77777777" w:rsidR="00686CA4" w:rsidRDefault="00686CA4" w:rsidP="00686CA4">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6AB2B25" w14:textId="7B6B8699" w:rsidR="00203A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propiedad se impone en el mercado: un 51% busca únicamente comprar, un récord en la serie histórica</w:t>
      </w:r>
    </w:p>
    <w:p w14:paraId="5FA2FBF6" w14:textId="77777777" w:rsidR="00203A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Mientras la demanda de vivienda de compra sube tres puntos en doce meses, el porcentaje de potenciales inquilinos retrocede cuatro puntos, hasta el 37%</w:t>
      </w:r>
    </w:p>
    <w:p w14:paraId="0AA8FE30" w14:textId="77777777" w:rsidR="00203A4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Ambos mercados habían estado tradicionalmente igualados en las preferencias de los demandantes, pero ahora la propiedad aventaja en 14 puntos porcentuales al alquiler</w:t>
      </w:r>
    </w:p>
    <w:p w14:paraId="102C278B" w14:textId="77777777" w:rsidR="00203A4F" w:rsidRDefault="00203A4F">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r>
          <w:rPr>
            <w:rFonts w:ascii="Open Sans Light" w:eastAsia="Open Sans Light" w:hAnsi="Open Sans Light" w:cs="Open Sans Light"/>
            <w:b/>
            <w:bCs/>
            <w:color w:val="0000FF"/>
            <w:u w:val="single"/>
          </w:rPr>
          <w:t>Aquí se puede ver el informe completo “</w:t>
        </w:r>
      </w:hyperlink>
      <w:hyperlink r:id="rId10">
        <w:r>
          <w:rPr>
            <w:rFonts w:ascii="Open Sans Light" w:eastAsia="Open Sans Light" w:hAnsi="Open Sans Light" w:cs="Open Sans Light"/>
            <w:b/>
            <w:bCs/>
            <w:i/>
            <w:iCs/>
            <w:color w:val="0000FF"/>
            <w:u w:val="single"/>
          </w:rPr>
          <w:t>Radiografía del mercado de la vivienda en el segundo semestre de 2025</w:t>
        </w:r>
      </w:hyperlink>
      <w:hyperlink r:id="rId11">
        <w:r>
          <w:rPr>
            <w:rFonts w:ascii="Open Sans Light" w:eastAsia="Open Sans Light" w:hAnsi="Open Sans Light" w:cs="Open Sans Light"/>
            <w:b/>
            <w:bCs/>
            <w:color w:val="0000FF"/>
            <w:u w:val="single"/>
          </w:rPr>
          <w:t>”</w:t>
        </w:r>
      </w:hyperlink>
    </w:p>
    <w:p w14:paraId="08F5CA81" w14:textId="77777777" w:rsidR="00203A4F" w:rsidRDefault="00203A4F">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58666385" w14:textId="77777777" w:rsidR="00203A4F"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24 de noviembre de 2025</w:t>
      </w:r>
      <w:r>
        <w:rPr>
          <w:rFonts w:ascii="Open Sans Light" w:eastAsia="Open Sans Light" w:hAnsi="Open Sans Light" w:cs="Open Sans Light"/>
          <w:b/>
          <w:bCs/>
          <w:color w:val="303AB2"/>
        </w:rPr>
        <w:tab/>
      </w:r>
    </w:p>
    <w:p w14:paraId="6B04C90B" w14:textId="77777777" w:rsidR="00203A4F" w:rsidRDefault="00203A4F">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1A1A222" w14:textId="77777777" w:rsidR="00203A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demanda en el mercado de la vivienda en España se está desplazando claramente hacia el segmento de la compra, hasta el punto de marcar durante el segundo semestre de 2025 un récord en la serie histórica, mientras que el alquiler ha ido perdiendo atractivo durante los últimos años. Si se atiende a la distribución de los demandantes españoles de vivienda en su conjunto, </w:t>
      </w:r>
      <w:r>
        <w:rPr>
          <w:rFonts w:ascii="Open Sans" w:eastAsia="Open Sans" w:hAnsi="Open Sans" w:cs="Open Sans"/>
          <w:b/>
          <w:bCs/>
        </w:rPr>
        <w:t>el 51% de estos se han relacionado únicamente con la compra durante los últimos doce meses (tres puntos porcentuales más que hace un año)</w:t>
      </w:r>
      <w:r>
        <w:rPr>
          <w:rFonts w:ascii="Open Sans" w:eastAsia="Open Sans" w:hAnsi="Open Sans" w:cs="Open Sans"/>
        </w:rPr>
        <w:t xml:space="preserve">, frente al 37% que lo ha hecho solo con el alquiler (cinco puntos menos que en 2024). Estas son algunas de las principales conclusiones que refleja el informe </w:t>
      </w:r>
      <w:r>
        <w:rPr>
          <w:rFonts w:ascii="Open Sans" w:eastAsia="Open Sans" w:hAnsi="Open Sans" w:cs="Open Sans"/>
          <w:b/>
          <w:bCs/>
        </w:rPr>
        <w:t>“</w:t>
      </w:r>
      <w:hyperlink r:id="rId12">
        <w:r w:rsidR="00203A4F">
          <w:rPr>
            <w:rFonts w:ascii="Open Sans" w:eastAsia="Open Sans" w:hAnsi="Open Sans" w:cs="Open Sans"/>
            <w:b/>
            <w:bCs/>
            <w:i/>
            <w:iCs/>
            <w:color w:val="0000FF"/>
            <w:u w:val="single"/>
          </w:rPr>
          <w:t>Radiografía del mercado de la vivienda en el segundo semestre de 2025</w:t>
        </w:r>
      </w:hyperlink>
      <w:r>
        <w:rPr>
          <w:rFonts w:ascii="Open Sans" w:eastAsia="Open Sans" w:hAnsi="Open Sans" w:cs="Open Sans"/>
          <w:b/>
          <w:bCs/>
        </w:rPr>
        <w:t xml:space="preserve">”, realizado por </w:t>
      </w:r>
      <w:hyperlink r:id="rId13">
        <w:r w:rsidR="00203A4F">
          <w:rPr>
            <w:rFonts w:ascii="Open Sans" w:eastAsia="Open Sans" w:hAnsi="Open Sans" w:cs="Open Sans"/>
            <w:b/>
            <w:bCs/>
            <w:color w:val="0000FF"/>
            <w:u w:val="single"/>
          </w:rPr>
          <w:t xml:space="preserve">Fotocasa </w:t>
        </w:r>
        <w:proofErr w:type="spellStart"/>
        <w:r w:rsidR="00203A4F">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20D5C500" w14:textId="77777777" w:rsidR="00203A4F" w:rsidRDefault="00203A4F">
      <w:pPr>
        <w:pBdr>
          <w:top w:val="nil"/>
          <w:left w:val="nil"/>
          <w:bottom w:val="nil"/>
          <w:right w:val="nil"/>
          <w:between w:val="nil"/>
        </w:pBdr>
        <w:spacing w:line="276" w:lineRule="auto"/>
        <w:jc w:val="both"/>
        <w:rPr>
          <w:rFonts w:ascii="Open Sans" w:eastAsia="Open Sans" w:hAnsi="Open Sans" w:cs="Open Sans"/>
        </w:rPr>
      </w:pPr>
    </w:p>
    <w:p w14:paraId="43F351E3" w14:textId="1B7C8651" w:rsidR="00203A4F"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demanda de compra se ha convertido en la auténtica protagonista del mercado. Quien se acerca hoy al sector lo hace, sobre todo, con la intención de adquirir vivienda y no de alquilarla. Esta tendencia, iniciada durante la pandemia, </w:t>
      </w:r>
      <w:r>
        <w:rPr>
          <w:rFonts w:ascii="Open Sans" w:eastAsia="Open Sans" w:hAnsi="Open Sans" w:cs="Open Sans"/>
        </w:rPr>
        <w:lastRenderedPageBreak/>
        <w:t xml:space="preserve">responde a un fundamento económico claro. La mejora de las condiciones hipotecarias, unida al fuerte encarecimiento del alquiler, está inclinando las decisiones hacia la compra. Además, factores como la creación de patrimonio o la percepción de una inversión segura en momentos de incertidumbre económica refuerzan aún más esta opción frente a la flexibilidad que tradicionalmente ofrece el alquiler”, </w:t>
      </w:r>
      <w:r>
        <w:rPr>
          <w:rFonts w:ascii="Open Sans" w:eastAsia="Open Sans" w:hAnsi="Open Sans" w:cs="Open Sans"/>
          <w:b/>
          <w:bCs/>
        </w:rPr>
        <w:t xml:space="preserve">explica María Matos, directora de Estudios y portavoz de </w:t>
      </w:r>
      <w:hyperlink r:id="rId14" w:history="1">
        <w:r w:rsidRPr="00686CA4">
          <w:rPr>
            <w:rStyle w:val="Hipervnculo"/>
            <w:rFonts w:ascii="Open Sans" w:eastAsia="Open Sans" w:hAnsi="Open Sans" w:cs="Open Sans"/>
            <w:b/>
            <w:bCs/>
          </w:rPr>
          <w:t>Fotocasa</w:t>
        </w:r>
      </w:hyperlink>
      <w:r>
        <w:rPr>
          <w:rFonts w:ascii="Open Sans" w:eastAsia="Open Sans" w:hAnsi="Open Sans" w:cs="Open Sans"/>
          <w:b/>
          <w:bCs/>
        </w:rPr>
        <w:t>.</w:t>
      </w:r>
    </w:p>
    <w:p w14:paraId="689956D7" w14:textId="77777777" w:rsidR="00203A4F" w:rsidRDefault="00203A4F">
      <w:pPr>
        <w:pBdr>
          <w:top w:val="nil"/>
          <w:left w:val="nil"/>
          <w:bottom w:val="nil"/>
          <w:right w:val="nil"/>
          <w:between w:val="nil"/>
        </w:pBdr>
        <w:spacing w:line="276" w:lineRule="auto"/>
        <w:jc w:val="both"/>
        <w:rPr>
          <w:rFonts w:ascii="Open Sans" w:eastAsia="Open Sans" w:hAnsi="Open Sans" w:cs="Open Sans"/>
          <w:b/>
          <w:bCs/>
        </w:rPr>
      </w:pPr>
    </w:p>
    <w:p w14:paraId="5DA56D17" w14:textId="77777777" w:rsidR="00203A4F"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Una tendencia que se ha intensificado desde 2022</w:t>
      </w:r>
    </w:p>
    <w:p w14:paraId="742086E1" w14:textId="77777777" w:rsidR="00686CA4" w:rsidRDefault="00686CA4">
      <w:pPr>
        <w:pBdr>
          <w:top w:val="nil"/>
          <w:left w:val="nil"/>
          <w:bottom w:val="nil"/>
          <w:right w:val="nil"/>
          <w:between w:val="nil"/>
        </w:pBdr>
        <w:spacing w:line="276" w:lineRule="auto"/>
        <w:jc w:val="both"/>
        <w:rPr>
          <w:rFonts w:ascii="Open Sans" w:eastAsia="Open Sans" w:hAnsi="Open Sans" w:cs="Open Sans"/>
        </w:rPr>
      </w:pPr>
    </w:p>
    <w:p w14:paraId="511C33CF" w14:textId="5E761C17" w:rsidR="00203A4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Como puede observarse en el gráfico, en buena parte de la serie histórica, estos porcentajes estaban prácticamente igualados, o incluso con la demanda total de alquiler superando a la de compra durante amplios periodos de tiempo. No obstante, esta tendencia se ha revertido en los últimos años, especialmente a partir de 2022, y </w:t>
      </w:r>
      <w:r>
        <w:rPr>
          <w:rFonts w:ascii="Open Sans" w:eastAsia="Open Sans" w:hAnsi="Open Sans" w:cs="Open Sans"/>
          <w:b/>
          <w:bCs/>
        </w:rPr>
        <w:t>actualmente quienes optan exclusivamente por la demanda de vivienda en propiedad aventajan en 14 puntos porcentuales a quienes solo buscan alquilar</w:t>
      </w:r>
      <w:r>
        <w:rPr>
          <w:rFonts w:ascii="Open Sans" w:eastAsia="Open Sans" w:hAnsi="Open Sans" w:cs="Open Sans"/>
        </w:rPr>
        <w:t>.</w:t>
      </w:r>
    </w:p>
    <w:p w14:paraId="7D501935" w14:textId="77777777" w:rsidR="00686CA4" w:rsidRDefault="00686CA4">
      <w:pPr>
        <w:pBdr>
          <w:top w:val="nil"/>
          <w:left w:val="nil"/>
          <w:bottom w:val="nil"/>
          <w:right w:val="nil"/>
          <w:between w:val="nil"/>
        </w:pBdr>
        <w:spacing w:line="276" w:lineRule="auto"/>
        <w:jc w:val="both"/>
        <w:rPr>
          <w:rFonts w:ascii="Open Sans" w:eastAsia="Open Sans" w:hAnsi="Open Sans" w:cs="Open Sans"/>
        </w:rPr>
      </w:pPr>
    </w:p>
    <w:p w14:paraId="37888E54" w14:textId="0CC8F9FF" w:rsidR="00686CA4" w:rsidRDefault="00686CA4">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152B5812" wp14:editId="376C7539">
            <wp:extent cx="5722620" cy="3322320"/>
            <wp:effectExtent l="0" t="0" r="0" b="0"/>
            <wp:docPr id="2066816616" name="image3.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El contenido generado por IA puede ser incorrecto."/>
                    <pic:cNvPicPr preferRelativeResize="0"/>
                  </pic:nvPicPr>
                  <pic:blipFill>
                    <a:blip r:embed="rId15"/>
                    <a:srcRect/>
                    <a:stretch>
                      <a:fillRect/>
                    </a:stretch>
                  </pic:blipFill>
                  <pic:spPr>
                    <a:xfrm>
                      <a:off x="0" y="0"/>
                      <a:ext cx="5723791" cy="3323000"/>
                    </a:xfrm>
                    <a:prstGeom prst="rect">
                      <a:avLst/>
                    </a:prstGeom>
                    <a:ln/>
                  </pic:spPr>
                </pic:pic>
              </a:graphicData>
            </a:graphic>
          </wp:inline>
        </w:drawing>
      </w:r>
    </w:p>
    <w:p w14:paraId="41FC5AA6" w14:textId="77777777" w:rsidR="00203A4F" w:rsidRDefault="00203A4F">
      <w:pPr>
        <w:pBdr>
          <w:top w:val="nil"/>
          <w:left w:val="nil"/>
          <w:bottom w:val="nil"/>
          <w:right w:val="nil"/>
          <w:between w:val="nil"/>
        </w:pBdr>
        <w:spacing w:line="276" w:lineRule="auto"/>
        <w:jc w:val="both"/>
        <w:rPr>
          <w:rFonts w:ascii="Open Sans" w:eastAsia="Open Sans" w:hAnsi="Open Sans" w:cs="Open Sans"/>
        </w:rPr>
      </w:pPr>
    </w:p>
    <w:p w14:paraId="092E72F7" w14:textId="77777777" w:rsidR="00203A4F"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De esta forma, tras varios vaivenes, los demandantes de vivienda en España se han desplazado claramente hacia la compraventa, acrecentando progresivamente la distancia con relación a aquellos que buscan exclusivamente un inmueble de alquiler. Por su lado, </w:t>
      </w:r>
      <w:r>
        <w:rPr>
          <w:rFonts w:ascii="Open Sans" w:eastAsia="Open Sans" w:hAnsi="Open Sans" w:cs="Open Sans"/>
          <w:b/>
          <w:bCs/>
        </w:rPr>
        <w:t xml:space="preserve">el porcentaje de particulares que demandan vivienda en </w:t>
      </w:r>
      <w:r>
        <w:rPr>
          <w:rFonts w:ascii="Open Sans" w:eastAsia="Open Sans" w:hAnsi="Open Sans" w:cs="Open Sans"/>
          <w:b/>
          <w:bCs/>
        </w:rPr>
        <w:lastRenderedPageBreak/>
        <w:t>ambos mercados ha ido creciendo de forma constante en los últimos ejercicios, llegando al 12% en la actualidad (dos puntos más que en el segundo semestre de 2024)</w:t>
      </w:r>
      <w:r>
        <w:rPr>
          <w:rFonts w:ascii="Open Sans" w:eastAsia="Open Sans" w:hAnsi="Open Sans" w:cs="Open Sans"/>
        </w:rPr>
        <w:t>.</w:t>
      </w:r>
    </w:p>
    <w:p w14:paraId="7600A38D" w14:textId="77777777" w:rsidR="00686CA4" w:rsidRDefault="00686CA4">
      <w:pPr>
        <w:spacing w:line="276" w:lineRule="auto"/>
        <w:jc w:val="right"/>
        <w:rPr>
          <w:rFonts w:ascii="Open Sans Light" w:eastAsia="Open Sans Light" w:hAnsi="Open Sans Light" w:cs="Open Sans Light"/>
          <w:b/>
          <w:bCs/>
          <w:color w:val="303AB2"/>
        </w:rPr>
      </w:pPr>
    </w:p>
    <w:p w14:paraId="5331C2C6" w14:textId="27E0CC0C" w:rsidR="00203A4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370A0A8F"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1743E79E"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203A4F">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23195FCF"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sidR="00203A4F">
          <w:rPr>
            <w:rFonts w:ascii="Open Sans" w:eastAsia="Open Sans" w:hAnsi="Open Sans" w:cs="Open Sans"/>
            <w:b/>
            <w:bCs/>
            <w:color w:val="0000FF"/>
            <w:sz w:val="22"/>
            <w:szCs w:val="22"/>
            <w:u w:val="single"/>
          </w:rPr>
          <w:t xml:space="preserve">Fotocasa </w:t>
        </w:r>
        <w:proofErr w:type="spellStart"/>
        <w:r w:rsidR="00203A4F">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F7D3FA6"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203A4F">
          <w:rPr>
            <w:rFonts w:ascii="Open Sans" w:eastAsia="Open Sans" w:hAnsi="Open Sans" w:cs="Open Sans"/>
            <w:b/>
            <w:bCs/>
            <w:color w:val="0000FF"/>
            <w:sz w:val="22"/>
            <w:szCs w:val="22"/>
            <w:u w:val="single"/>
          </w:rPr>
          <w:t>Sala de Prensa</w:t>
        </w:r>
      </w:hyperlink>
    </w:p>
    <w:p w14:paraId="22FF86AB" w14:textId="77777777" w:rsidR="00203A4F" w:rsidRDefault="00203A4F">
      <w:pPr>
        <w:spacing w:line="276" w:lineRule="auto"/>
        <w:rPr>
          <w:rFonts w:ascii="Open Sans Light" w:eastAsia="Open Sans Light" w:hAnsi="Open Sans Light" w:cs="Open Sans Light"/>
          <w:b/>
          <w:bCs/>
          <w:color w:val="303AB2"/>
        </w:rPr>
      </w:pPr>
    </w:p>
    <w:p w14:paraId="3FDE0CE9" w14:textId="77777777" w:rsidR="00203A4F" w:rsidRDefault="00203A4F">
      <w:pPr>
        <w:spacing w:line="276" w:lineRule="auto"/>
        <w:rPr>
          <w:rFonts w:ascii="Open Sans Light" w:eastAsia="Open Sans Light" w:hAnsi="Open Sans Light" w:cs="Open Sans Light"/>
          <w:b/>
          <w:bCs/>
          <w:color w:val="303AB2"/>
        </w:rPr>
      </w:pPr>
    </w:p>
    <w:p w14:paraId="44A228BA" w14:textId="77777777" w:rsidR="00203A4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Fotocasa </w:t>
      </w:r>
      <w:proofErr w:type="spellStart"/>
      <w:r>
        <w:rPr>
          <w:rFonts w:ascii="Open Sans Light" w:eastAsia="Open Sans Light" w:hAnsi="Open Sans Light" w:cs="Open Sans Light"/>
          <w:b/>
          <w:bCs/>
          <w:color w:val="303AB2"/>
        </w:rPr>
        <w:t>Group</w:t>
      </w:r>
      <w:proofErr w:type="spellEnd"/>
    </w:p>
    <w:p w14:paraId="1C01387F"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5E11A34"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9">
        <w:r w:rsidR="00203A4F">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sidR="00203A4F">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sidR="00203A4F">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sidR="00203A4F">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sidR="00203A4F">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sidR="00203A4F">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7B73453"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2A5F42AC" w14:textId="77777777" w:rsidR="00203A4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09F05921" w14:textId="118F4519" w:rsidR="00203A4F" w:rsidRPr="00686CA4" w:rsidRDefault="00000000" w:rsidP="00686CA4">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64980986" w14:textId="77777777" w:rsidR="00203A4F" w:rsidRDefault="00203A4F">
      <w:pPr>
        <w:spacing w:line="276" w:lineRule="auto"/>
        <w:jc w:val="right"/>
        <w:rPr>
          <w:rFonts w:ascii="Open Sans" w:eastAsia="Open Sans" w:hAnsi="Open Sans" w:cs="Open Sans"/>
        </w:rPr>
      </w:pPr>
    </w:p>
    <w:p w14:paraId="37B23EE9" w14:textId="77777777" w:rsidR="00203A4F"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4C243355" w14:textId="77777777" w:rsidR="00203A4F" w:rsidRDefault="00203A4F">
      <w:pPr>
        <w:spacing w:line="276" w:lineRule="auto"/>
        <w:rPr>
          <w:rFonts w:ascii="Open Sans Light" w:eastAsia="Open Sans Light" w:hAnsi="Open Sans Light" w:cs="Open Sans Light"/>
          <w:b/>
          <w:bCs/>
          <w:color w:val="303AB2"/>
          <w:sz w:val="22"/>
          <w:szCs w:val="22"/>
        </w:rPr>
      </w:pPr>
    </w:p>
    <w:p w14:paraId="23D210AF" w14:textId="77777777" w:rsidR="00203A4F"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4CD6C405" w14:textId="77777777" w:rsidR="00203A4F" w:rsidRDefault="00203A4F">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62AC15D" w14:textId="77777777" w:rsidR="00203A4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203A4F">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F472" w14:textId="77777777" w:rsidR="006463CE" w:rsidRDefault="006463CE">
      <w:r>
        <w:separator/>
      </w:r>
    </w:p>
  </w:endnote>
  <w:endnote w:type="continuationSeparator" w:id="0">
    <w:p w14:paraId="75B86E69" w14:textId="77777777" w:rsidR="006463CE" w:rsidRDefault="0064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36B928-CACB-4D8C-9B6A-39430522CE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3C15D8-5AB5-4B66-95C7-DFA122873E6F}"/>
    <w:embedBold r:id="rId3" w:fontKey="{BE283D04-3345-4E98-B82C-FAAC249B5D1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CBF2A0C-F168-4824-80D9-42611AD3140B}"/>
  </w:font>
  <w:font w:name="Georgia">
    <w:panose1 w:val="02040502050405020303"/>
    <w:charset w:val="00"/>
    <w:family w:val="roman"/>
    <w:pitch w:val="variable"/>
    <w:sig w:usb0="00000287" w:usb1="00000000" w:usb2="00000000" w:usb3="00000000" w:csb0="0000009F" w:csb1="00000000"/>
    <w:embedItalic r:id="rId5" w:fontKey="{FEF300AF-D6E0-4A4E-9994-4741F31EA20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DE1888D3-7A0A-43DC-9F6B-770BAC79C06C}"/>
    <w:embedBold r:id="rId7" w:fontKey="{A6D14ACB-3787-40CC-B84E-F16D9BA4075A}"/>
    <w:embedBoldItalic r:id="rId8" w:fontKey="{A24B2DA2-B0B5-4556-BACA-143CC5AB896C}"/>
  </w:font>
  <w:font w:name="Open Sans Light">
    <w:charset w:val="00"/>
    <w:family w:val="swiss"/>
    <w:pitch w:val="variable"/>
    <w:sig w:usb0="E00002EF" w:usb1="4000205B" w:usb2="00000028" w:usb3="00000000" w:csb0="0000019F" w:csb1="00000000"/>
    <w:embedBold r:id="rId9" w:fontKey="{755492D1-76FA-4D59-9D9F-F00808371579}"/>
    <w:embedBoldItalic r:id="rId10" w:fontKey="{D92431C1-9806-4EEB-82BB-6B221F008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01F87" w14:textId="77777777" w:rsidR="00203A4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6C3E898" wp14:editId="74BED6B3">
          <wp:simplePos x="0" y="0"/>
          <wp:positionH relativeFrom="column">
            <wp:posOffset>-1068043</wp:posOffset>
          </wp:positionH>
          <wp:positionV relativeFrom="paragraph">
            <wp:posOffset>174608</wp:posOffset>
          </wp:positionV>
          <wp:extent cx="7670550" cy="45131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F89EA" w14:textId="77777777" w:rsidR="006463CE" w:rsidRDefault="006463CE">
      <w:r>
        <w:separator/>
      </w:r>
    </w:p>
  </w:footnote>
  <w:footnote w:type="continuationSeparator" w:id="0">
    <w:p w14:paraId="286CD2B0" w14:textId="77777777" w:rsidR="006463CE" w:rsidRDefault="0064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A275C8"/>
    <w:multiLevelType w:val="multilevel"/>
    <w:tmpl w:val="89F87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072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4F"/>
    <w:rsid w:val="00203A4F"/>
    <w:rsid w:val="005167AD"/>
    <w:rsid w:val="006463CE"/>
    <w:rsid w:val="00686CA4"/>
    <w:rsid w:val="007324C0"/>
    <w:rsid w:val="00746030"/>
    <w:rsid w:val="007843B8"/>
    <w:rsid w:val="00C906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4584"/>
  <w15:docId w15:val="{326B3C85-BAD4-4C9D-A789-9B56EAC4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hyperlink" Target="https://s36360.pcdn.co/wp-content/uploads/2025/11/Informe-Radiografia-en-el-mercado-de-la-vivienda-segundo-semestre-2025.pdf" TargetMode="External"/><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5/11/Informe-Radiografia-en-el-mercado-de-la-vivienda-segundo-semestre-2025.pdf"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get.witei.com/en/" TargetMode="External"/><Relationship Id="rId28" Type="http://schemas.openxmlformats.org/officeDocument/2006/relationships/theme" Target="theme/theme1.xml"/><Relationship Id="rId10" Type="http://schemas.openxmlformats.org/officeDocument/2006/relationships/hyperlink" Target="https://s36360.pcdn.co/wp-content/uploads/2025/11/Informe-Radiografia-en-el-mercado-de-la-vivienda-segundo-semestre-2025.pdf"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s36360.pcdn.co/wp-content/uploads/2025/11/Informe-Radiografia-en-el-mercado-de-la-vivienda-segundo-semestre-2025.pdf" TargetMode="External"/><Relationship Id="rId14" Type="http://schemas.openxmlformats.org/officeDocument/2006/relationships/hyperlink" Target="https://www.fotocasa.es" TargetMode="External"/><Relationship Id="rId22" Type="http://schemas.openxmlformats.org/officeDocument/2006/relationships/hyperlink" Target="https://datavenue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vguYBhgubHNq2ta//nVWscIyw==">CgMxLjA4AHIhMUFEbHJYSV9nY1RnRUZUU0xreVFHSnZVZmxlVDJRbkV3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953</Words>
  <Characters>5242</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2025-11-18T11:43:00Z</dcterms:modified>
</cp:coreProperties>
</file>