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124F21" w14:textId="77777777" w:rsidR="00D34FD4" w:rsidRDefault="00000000">
      <w:r>
        <w:rPr>
          <w:noProof/>
        </w:rPr>
        <w:drawing>
          <wp:anchor distT="0" distB="0" distL="114300" distR="114300" simplePos="0" relativeHeight="251658240" behindDoc="0" locked="0" layoutInCell="1" hidden="0" allowOverlap="1" wp14:anchorId="07D395F0" wp14:editId="5B2BDDF2">
            <wp:simplePos x="0" y="0"/>
            <wp:positionH relativeFrom="column">
              <wp:posOffset>-1080118</wp:posOffset>
            </wp:positionH>
            <wp:positionV relativeFrom="paragraph">
              <wp:posOffset>-654667</wp:posOffset>
            </wp:positionV>
            <wp:extent cx="7581265" cy="1019175"/>
            <wp:effectExtent l="0" t="0" r="0" b="0"/>
            <wp:wrapNone/>
            <wp:docPr id="20853703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53728D5D" w14:textId="77777777" w:rsidR="00D34FD4" w:rsidRDefault="00D34FD4">
      <w:pPr>
        <w:jc w:val="right"/>
        <w:rPr>
          <w:rFonts w:ascii="National" w:eastAsia="National" w:hAnsi="National" w:cs="National"/>
          <w:color w:val="303AB2"/>
          <w:sz w:val="36"/>
          <w:szCs w:val="36"/>
        </w:rPr>
      </w:pPr>
    </w:p>
    <w:p w14:paraId="6CA60399" w14:textId="77777777" w:rsidR="00D34FD4" w:rsidRDefault="00D34FD4">
      <w:pPr>
        <w:rPr>
          <w:rFonts w:ascii="National" w:eastAsia="National" w:hAnsi="National" w:cs="National"/>
          <w:color w:val="303AB2"/>
          <w:sz w:val="18"/>
          <w:szCs w:val="18"/>
        </w:rPr>
      </w:pPr>
    </w:p>
    <w:p w14:paraId="0E93AA10" w14:textId="77777777" w:rsidR="00A13866" w:rsidRDefault="00A13866">
      <w:pPr>
        <w:jc w:val="center"/>
        <w:rPr>
          <w:rFonts w:ascii="National" w:eastAsia="National" w:hAnsi="National" w:cs="National"/>
          <w:b/>
          <w:color w:val="1DBDC5"/>
          <w:sz w:val="26"/>
          <w:szCs w:val="26"/>
        </w:rPr>
      </w:pPr>
    </w:p>
    <w:p w14:paraId="37E4E41E" w14:textId="39B92380" w:rsidR="00D34FD4" w:rsidRDefault="00000000">
      <w:pPr>
        <w:jc w:val="center"/>
        <w:rPr>
          <w:rFonts w:ascii="National" w:eastAsia="National" w:hAnsi="National" w:cs="National"/>
          <w:b/>
          <w:color w:val="1DBDC5"/>
          <w:sz w:val="26"/>
          <w:szCs w:val="26"/>
        </w:rPr>
      </w:pPr>
      <w:r>
        <w:rPr>
          <w:rFonts w:ascii="National" w:eastAsia="National" w:hAnsi="National" w:cs="National"/>
          <w:b/>
          <w:color w:val="1DBDC5"/>
          <w:sz w:val="26"/>
          <w:szCs w:val="26"/>
        </w:rPr>
        <w:t>RADIOGRAFÍA DEL MERCADO DE LA VIVIENDA EN EL SEGUNDO SEMESTRE DE 2025</w:t>
      </w:r>
    </w:p>
    <w:p w14:paraId="63101D27" w14:textId="77777777" w:rsidR="00D34FD4" w:rsidRPr="00A13866" w:rsidRDefault="00000000">
      <w:pPr>
        <w:jc w:val="center"/>
        <w:rPr>
          <w:rFonts w:ascii="National" w:eastAsia="National" w:hAnsi="National" w:cs="National"/>
          <w:b/>
          <w:color w:val="303AB2"/>
          <w:sz w:val="50"/>
          <w:szCs w:val="50"/>
        </w:rPr>
      </w:pPr>
      <w:r w:rsidRPr="00A13866">
        <w:rPr>
          <w:rFonts w:ascii="National" w:eastAsia="National" w:hAnsi="National" w:cs="National"/>
          <w:b/>
          <w:color w:val="303AB2"/>
          <w:sz w:val="50"/>
          <w:szCs w:val="50"/>
        </w:rPr>
        <w:t>La actividad inmobiliaria roza máximos: uno de cada tres españoles participa en el mercado de la vivienda</w:t>
      </w:r>
    </w:p>
    <w:p w14:paraId="7C3B3B3A" w14:textId="77777777" w:rsidR="00D34FD4" w:rsidRDefault="00D34FD4">
      <w:pPr>
        <w:jc w:val="center"/>
        <w:rPr>
          <w:rFonts w:ascii="Open Sans" w:eastAsia="Open Sans" w:hAnsi="Open Sans" w:cs="Open Sans"/>
          <w:color w:val="303AB2"/>
        </w:rPr>
      </w:pPr>
    </w:p>
    <w:p w14:paraId="7AE48A3B" w14:textId="77777777" w:rsidR="00A13866" w:rsidRDefault="00A13866" w:rsidP="00A13866">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075C2D04" w14:textId="51EFE301" w:rsidR="00D34FD4"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 actividad en el segmento de la vivienda en propiedad crece hasta el 21%, mientras que el alquiler se estanca en el 17%</w:t>
      </w:r>
    </w:p>
    <w:p w14:paraId="76379930" w14:textId="77777777" w:rsidR="00D34FD4"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La demanda de vivienda en general crece hasta el 29%, mientras que la oferta total se mantiene en un 7%, incrementando el desequilibrio en el mercado</w:t>
      </w:r>
    </w:p>
    <w:p w14:paraId="4DFCC31E" w14:textId="77777777" w:rsidR="00D34FD4"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Aumenta la demanda inefectiva de vivienda, tanto en la vertiente de la compra como en la de alquiler</w:t>
      </w:r>
    </w:p>
    <w:p w14:paraId="74D63953" w14:textId="77777777" w:rsidR="00D34FD4" w:rsidRPr="00A13866"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hyperlink r:id="rId9">
        <w:r w:rsidRPr="00A13866">
          <w:rPr>
            <w:rFonts w:ascii="Open Sans Light" w:eastAsia="Open Sans Light" w:hAnsi="Open Sans Light" w:cs="Open Sans Light"/>
            <w:b/>
            <w:bCs/>
            <w:color w:val="0000FF"/>
            <w:u w:val="single"/>
          </w:rPr>
          <w:t>Aquí se puede ver un vídeo de la directora de Estudios de Fotocasa</w:t>
        </w:r>
      </w:hyperlink>
    </w:p>
    <w:p w14:paraId="3BBA8829" w14:textId="57E8624F" w:rsidR="000924D7" w:rsidRDefault="000924D7">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hyperlink r:id="rId10" w:history="1">
        <w:r w:rsidRPr="000924D7">
          <w:rPr>
            <w:rStyle w:val="Hipervnculo"/>
            <w:rFonts w:ascii="Open Sans Light" w:eastAsia="Open Sans Light" w:hAnsi="Open Sans Light" w:cs="Open Sans Light"/>
            <w:b/>
          </w:rPr>
          <w:t>A</w:t>
        </w:r>
        <w:r w:rsidRPr="000924D7">
          <w:rPr>
            <w:rStyle w:val="Hipervnculo"/>
            <w:rFonts w:ascii="Open Sans Light" w:eastAsia="Open Sans Light" w:hAnsi="Open Sans Light" w:cs="Open Sans Light"/>
            <w:b/>
          </w:rPr>
          <w:t>quí se puede ver el informe completo “</w:t>
        </w:r>
        <w:r w:rsidRPr="00A13866">
          <w:rPr>
            <w:rStyle w:val="Hipervnculo"/>
            <w:rFonts w:ascii="Open Sans Light" w:eastAsia="Open Sans Light" w:hAnsi="Open Sans Light" w:cs="Open Sans Light"/>
            <w:b/>
            <w:i/>
            <w:iCs/>
          </w:rPr>
          <w:t>Radiografía del mercado de la vivienda en el segundo semestre de 2025</w:t>
        </w:r>
        <w:r w:rsidRPr="000924D7">
          <w:rPr>
            <w:rStyle w:val="Hipervnculo"/>
            <w:rFonts w:ascii="Open Sans Light" w:eastAsia="Open Sans Light" w:hAnsi="Open Sans Light" w:cs="Open Sans Light"/>
            <w:b/>
          </w:rPr>
          <w:t>”</w:t>
        </w:r>
      </w:hyperlink>
    </w:p>
    <w:p w14:paraId="596226C7" w14:textId="77777777" w:rsidR="00D34FD4" w:rsidRDefault="00D34FD4">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2576836D" w14:textId="2C97F6B7" w:rsidR="00D34FD4"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5 de noviembre de 2025</w:t>
      </w:r>
      <w:r>
        <w:rPr>
          <w:rFonts w:ascii="Open Sans Light" w:eastAsia="Open Sans Light" w:hAnsi="Open Sans Light" w:cs="Open Sans Light"/>
          <w:b/>
          <w:color w:val="303AB2"/>
        </w:rPr>
        <w:tab/>
      </w:r>
    </w:p>
    <w:p w14:paraId="4E9CABFD" w14:textId="77777777" w:rsidR="00D34FD4" w:rsidRDefault="00D34FD4">
      <w:pPr>
        <w:pBdr>
          <w:top w:val="nil"/>
          <w:left w:val="nil"/>
          <w:bottom w:val="nil"/>
          <w:right w:val="nil"/>
          <w:between w:val="nil"/>
        </w:pBdr>
        <w:tabs>
          <w:tab w:val="left" w:pos="6589"/>
        </w:tabs>
        <w:spacing w:line="276" w:lineRule="auto"/>
        <w:jc w:val="both"/>
        <w:rPr>
          <w:rFonts w:ascii="Open Sans Light" w:eastAsia="Open Sans Light" w:hAnsi="Open Sans Light" w:cs="Open Sans Light"/>
          <w:b/>
          <w:color w:val="303AB2"/>
        </w:rPr>
      </w:pPr>
    </w:p>
    <w:p w14:paraId="6B7ED602" w14:textId="30715BA4" w:rsidR="00D34FD4"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mercado de la vivienda mantiene su dinamismo en el segundo semestre del año y consolida su tendencia al alza. Un </w:t>
      </w:r>
      <w:r>
        <w:rPr>
          <w:rFonts w:ascii="Open Sans" w:eastAsia="Open Sans" w:hAnsi="Open Sans" w:cs="Open Sans"/>
          <w:b/>
        </w:rPr>
        <w:t>33% de los españoles mayores de 18 años</w:t>
      </w:r>
      <w:r>
        <w:rPr>
          <w:rFonts w:ascii="Open Sans" w:eastAsia="Open Sans" w:hAnsi="Open Sans" w:cs="Open Sans"/>
        </w:rPr>
        <w:t xml:space="preserve"> </w:t>
      </w:r>
      <w:r>
        <w:rPr>
          <w:rFonts w:ascii="Open Sans" w:eastAsia="Open Sans" w:hAnsi="Open Sans" w:cs="Open Sans"/>
          <w:b/>
        </w:rPr>
        <w:t>ha realizado alguna acción en el mercado inmobiliario</w:t>
      </w:r>
      <w:r>
        <w:rPr>
          <w:rFonts w:ascii="Open Sans" w:eastAsia="Open Sans" w:hAnsi="Open Sans" w:cs="Open Sans"/>
        </w:rPr>
        <w:t xml:space="preserve"> en los últimos doce meses, tanto desde el punto de vista de la oferta y de la demanda, y supone dos puntos más que en agosto de 2024 (31%). La actividad se acelera impulsada sobre todo por la compraventa, especialmente por la demanda insatisfecha, mientras que el mercado del alquiler se mantiene estable. Estas son algunas de las principales conclusiones que refleja el informe </w:t>
      </w:r>
      <w:r>
        <w:rPr>
          <w:rFonts w:ascii="Open Sans" w:eastAsia="Open Sans" w:hAnsi="Open Sans" w:cs="Open Sans"/>
          <w:b/>
        </w:rPr>
        <w:t>“</w:t>
      </w:r>
      <w:hyperlink r:id="rId11" w:history="1">
        <w:r w:rsidRPr="000924D7">
          <w:rPr>
            <w:rStyle w:val="Hipervnculo"/>
            <w:rFonts w:ascii="Open Sans" w:eastAsia="Open Sans" w:hAnsi="Open Sans" w:cs="Open Sans"/>
            <w:b/>
            <w:i/>
          </w:rPr>
          <w:t>Radiografía del mercado de la vivienda en el segundo semestre de 2025</w:t>
        </w:r>
      </w:hyperlink>
      <w:r>
        <w:rPr>
          <w:rFonts w:ascii="Open Sans" w:eastAsia="Open Sans" w:hAnsi="Open Sans" w:cs="Open Sans"/>
          <w:b/>
        </w:rPr>
        <w:t xml:space="preserve">”, realizado por </w:t>
      </w:r>
      <w:hyperlink r:id="rId12">
        <w:r>
          <w:rPr>
            <w:rFonts w:ascii="Open Sans" w:eastAsia="Open Sans" w:hAnsi="Open Sans" w:cs="Open Sans"/>
            <w:b/>
            <w:color w:val="0000FF"/>
            <w:u w:val="single"/>
          </w:rPr>
          <w:t xml:space="preserve">Fotocasa </w:t>
        </w:r>
        <w:proofErr w:type="spellStart"/>
        <w:r>
          <w:rPr>
            <w:rFonts w:ascii="Open Sans" w:eastAsia="Open Sans" w:hAnsi="Open Sans" w:cs="Open Sans"/>
            <w:b/>
            <w:color w:val="0000FF"/>
            <w:u w:val="single"/>
          </w:rPr>
          <w:t>Research</w:t>
        </w:r>
        <w:proofErr w:type="spellEnd"/>
      </w:hyperlink>
      <w:r>
        <w:rPr>
          <w:rFonts w:ascii="Open Sans" w:eastAsia="Open Sans" w:hAnsi="Open Sans" w:cs="Open Sans"/>
        </w:rPr>
        <w:t>.</w:t>
      </w:r>
    </w:p>
    <w:p w14:paraId="7BE50767" w14:textId="77777777" w:rsidR="00D34FD4" w:rsidRDefault="00D34FD4">
      <w:pPr>
        <w:pBdr>
          <w:top w:val="nil"/>
          <w:left w:val="nil"/>
          <w:bottom w:val="nil"/>
          <w:right w:val="nil"/>
          <w:between w:val="nil"/>
        </w:pBdr>
        <w:spacing w:line="276" w:lineRule="auto"/>
        <w:jc w:val="both"/>
        <w:rPr>
          <w:rFonts w:ascii="Open Sans" w:eastAsia="Open Sans" w:hAnsi="Open Sans" w:cs="Open Sans"/>
        </w:rPr>
      </w:pPr>
    </w:p>
    <w:p w14:paraId="54E53BE0" w14:textId="77777777" w:rsidR="00A13866" w:rsidRDefault="00A13866">
      <w:pPr>
        <w:pBdr>
          <w:top w:val="nil"/>
          <w:left w:val="nil"/>
          <w:bottom w:val="nil"/>
          <w:right w:val="nil"/>
          <w:between w:val="nil"/>
        </w:pBdr>
        <w:spacing w:line="276" w:lineRule="auto"/>
        <w:jc w:val="both"/>
        <w:rPr>
          <w:rFonts w:ascii="Open Sans" w:eastAsia="Open Sans" w:hAnsi="Open Sans" w:cs="Open Sans"/>
        </w:rPr>
      </w:pPr>
    </w:p>
    <w:p w14:paraId="4997938E" w14:textId="77777777" w:rsidR="00A13866" w:rsidRDefault="00A13866">
      <w:pPr>
        <w:pBdr>
          <w:top w:val="nil"/>
          <w:left w:val="nil"/>
          <w:bottom w:val="nil"/>
          <w:right w:val="nil"/>
          <w:between w:val="nil"/>
        </w:pBdr>
        <w:spacing w:line="276" w:lineRule="auto"/>
        <w:jc w:val="both"/>
        <w:rPr>
          <w:rFonts w:ascii="Open Sans" w:eastAsia="Open Sans" w:hAnsi="Open Sans" w:cs="Open Sans"/>
        </w:rPr>
      </w:pPr>
    </w:p>
    <w:p w14:paraId="65907CA5" w14:textId="77777777" w:rsidR="00A13866" w:rsidRDefault="00A13866">
      <w:pPr>
        <w:pBdr>
          <w:top w:val="nil"/>
          <w:left w:val="nil"/>
          <w:bottom w:val="nil"/>
          <w:right w:val="nil"/>
          <w:between w:val="nil"/>
        </w:pBdr>
        <w:spacing w:line="276" w:lineRule="auto"/>
        <w:jc w:val="both"/>
        <w:rPr>
          <w:rFonts w:ascii="Open Sans" w:eastAsia="Open Sans" w:hAnsi="Open Sans" w:cs="Open Sans"/>
        </w:rPr>
      </w:pPr>
    </w:p>
    <w:p w14:paraId="1C5A0437" w14:textId="238BCCA0" w:rsidR="00D34FD4" w:rsidRDefault="00000000">
      <w:pPr>
        <w:pBdr>
          <w:top w:val="nil"/>
          <w:left w:val="nil"/>
          <w:bottom w:val="nil"/>
          <w:right w:val="nil"/>
          <w:between w:val="nil"/>
        </w:pBdr>
        <w:spacing w:line="276" w:lineRule="auto"/>
        <w:jc w:val="both"/>
        <w:rPr>
          <w:rFonts w:ascii="Open Sans" w:eastAsia="Open Sans" w:hAnsi="Open Sans" w:cs="Open Sans"/>
          <w:b/>
        </w:rPr>
      </w:pPr>
      <w:r>
        <w:rPr>
          <w:rFonts w:ascii="Open Sans" w:eastAsia="Open Sans" w:hAnsi="Open Sans" w:cs="Open Sans"/>
        </w:rPr>
        <w:lastRenderedPageBreak/>
        <w:t>“El mercado de la vivienda se encuentra muy activo. La compraventa de vivienda</w:t>
      </w:r>
      <w:r w:rsidR="000924D7">
        <w:rPr>
          <w:rFonts w:ascii="Open Sans" w:eastAsia="Open Sans" w:hAnsi="Open Sans" w:cs="Open Sans"/>
        </w:rPr>
        <w:t xml:space="preserve"> </w:t>
      </w:r>
      <w:r>
        <w:rPr>
          <w:rFonts w:ascii="Open Sans" w:eastAsia="Open Sans" w:hAnsi="Open Sans" w:cs="Open Sans"/>
        </w:rPr>
        <w:t xml:space="preserve">es la auténtica protagonista del mercado y se consolida como el motor que marca un nuevo ciclo expansivo, impulsado por condiciones hipotecarias más atractivas. Sin embargo, las principales tendencias del mercado, como la escasez de oferta y la subida de precios, son las causantes de que un volumen creciente de demandantes no logre materializar su compra. Cada vez son más los que no encuentran una alternativa compatible con su capacidad económica ni con sus expectativas. Esta dificultad, especialmente acusada entre los jóvenes y los hogares con menor poder adquisitivo, evidencia la ampliación de la brecha entre el deseo de acceder a una vivienda y la viabilidad de hacerlo, o lo que es lo mismo, la inaccesibilidad al mercado podrá frenar la expansión de este”, </w:t>
      </w:r>
      <w:r>
        <w:rPr>
          <w:rFonts w:ascii="Open Sans" w:eastAsia="Open Sans" w:hAnsi="Open Sans" w:cs="Open Sans"/>
          <w:b/>
        </w:rPr>
        <w:t xml:space="preserve">explica María Matos, directora de Estudios y portavoz de </w:t>
      </w:r>
      <w:hyperlink r:id="rId13">
        <w:r>
          <w:rPr>
            <w:rFonts w:ascii="Open Sans" w:eastAsia="Open Sans" w:hAnsi="Open Sans" w:cs="Open Sans"/>
            <w:b/>
            <w:color w:val="0000FF"/>
            <w:u w:val="single"/>
          </w:rPr>
          <w:t>Fotocasa</w:t>
        </w:r>
      </w:hyperlink>
      <w:r>
        <w:rPr>
          <w:rFonts w:ascii="Open Sans" w:eastAsia="Open Sans" w:hAnsi="Open Sans" w:cs="Open Sans"/>
          <w:b/>
        </w:rPr>
        <w:t>.</w:t>
      </w:r>
    </w:p>
    <w:p w14:paraId="446066F4" w14:textId="77777777" w:rsidR="00D34FD4" w:rsidRDefault="00D34FD4">
      <w:pPr>
        <w:pBdr>
          <w:top w:val="nil"/>
          <w:left w:val="nil"/>
          <w:bottom w:val="nil"/>
          <w:right w:val="nil"/>
          <w:between w:val="nil"/>
        </w:pBdr>
        <w:spacing w:line="276" w:lineRule="auto"/>
        <w:jc w:val="both"/>
        <w:rPr>
          <w:rFonts w:ascii="Open Sans" w:eastAsia="Open Sans" w:hAnsi="Open Sans" w:cs="Open Sans"/>
          <w:b/>
        </w:rPr>
      </w:pPr>
    </w:p>
    <w:p w14:paraId="415A8897" w14:textId="77777777" w:rsidR="00D34FD4" w:rsidRDefault="00000000">
      <w:pPr>
        <w:pBdr>
          <w:top w:val="nil"/>
          <w:left w:val="nil"/>
          <w:bottom w:val="nil"/>
          <w:right w:val="nil"/>
          <w:between w:val="nil"/>
        </w:pBdr>
        <w:spacing w:line="276" w:lineRule="auto"/>
        <w:jc w:val="center"/>
        <w:rPr>
          <w:rFonts w:ascii="Open Sans" w:eastAsia="Open Sans" w:hAnsi="Open Sans" w:cs="Open Sans"/>
          <w:b/>
        </w:rPr>
      </w:pPr>
      <w:hyperlink r:id="rId14">
        <w:r>
          <w:rPr>
            <w:rFonts w:ascii="Open Sans" w:eastAsia="Open Sans" w:hAnsi="Open Sans" w:cs="Open Sans"/>
            <w:b/>
            <w:color w:val="0000FF"/>
            <w:u w:val="single"/>
          </w:rPr>
          <w:t>Declaraciones de María Matos, directora de Estudios de Fotocasa</w:t>
        </w:r>
      </w:hyperlink>
    </w:p>
    <w:p w14:paraId="4936DC8D" w14:textId="77777777" w:rsidR="00D34FD4" w:rsidRDefault="00D34FD4">
      <w:pPr>
        <w:pBdr>
          <w:top w:val="nil"/>
          <w:left w:val="nil"/>
          <w:bottom w:val="nil"/>
          <w:right w:val="nil"/>
          <w:between w:val="nil"/>
        </w:pBdr>
        <w:spacing w:line="276" w:lineRule="auto"/>
        <w:jc w:val="both"/>
        <w:rPr>
          <w:rFonts w:ascii="Open Sans" w:eastAsia="Open Sans" w:hAnsi="Open Sans" w:cs="Open Sans"/>
          <w:b/>
        </w:rPr>
      </w:pPr>
    </w:p>
    <w:p w14:paraId="58B7E2F0" w14:textId="77777777" w:rsidR="00D34FD4"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noProof/>
        </w:rPr>
        <w:drawing>
          <wp:inline distT="0" distB="0" distL="0" distR="0" wp14:anchorId="3CEE6AE0" wp14:editId="2186E4AD">
            <wp:extent cx="5760720" cy="3013075"/>
            <wp:effectExtent l="0" t="0" r="0" b="0"/>
            <wp:docPr id="2085370331" name="image5.png" descr="Mujer con playera de color azul&#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Mujer con playera de color azul&#10;&#10;El contenido generado por IA puede ser incorrecto."/>
                    <pic:cNvPicPr preferRelativeResize="0"/>
                  </pic:nvPicPr>
                  <pic:blipFill>
                    <a:blip r:embed="rId15"/>
                    <a:srcRect/>
                    <a:stretch>
                      <a:fillRect/>
                    </a:stretch>
                  </pic:blipFill>
                  <pic:spPr>
                    <a:xfrm>
                      <a:off x="0" y="0"/>
                      <a:ext cx="5760720" cy="3013075"/>
                    </a:xfrm>
                    <a:prstGeom prst="rect">
                      <a:avLst/>
                    </a:prstGeom>
                    <a:ln/>
                  </pic:spPr>
                </pic:pic>
              </a:graphicData>
            </a:graphic>
          </wp:inline>
        </w:drawing>
      </w:r>
    </w:p>
    <w:p w14:paraId="218A0999" w14:textId="77777777" w:rsidR="00D34FD4" w:rsidRDefault="00D34FD4">
      <w:pPr>
        <w:pBdr>
          <w:top w:val="nil"/>
          <w:left w:val="nil"/>
          <w:bottom w:val="nil"/>
          <w:right w:val="nil"/>
          <w:between w:val="nil"/>
        </w:pBdr>
        <w:spacing w:line="276" w:lineRule="auto"/>
        <w:jc w:val="both"/>
        <w:rPr>
          <w:rFonts w:ascii="Open Sans" w:eastAsia="Open Sans" w:hAnsi="Open Sans" w:cs="Open Sans"/>
        </w:rPr>
      </w:pPr>
    </w:p>
    <w:p w14:paraId="479F0873" w14:textId="77777777" w:rsidR="00D34FD4" w:rsidRDefault="00D34FD4">
      <w:pPr>
        <w:pBdr>
          <w:top w:val="nil"/>
          <w:left w:val="nil"/>
          <w:bottom w:val="nil"/>
          <w:right w:val="nil"/>
          <w:between w:val="nil"/>
        </w:pBdr>
        <w:spacing w:line="276" w:lineRule="auto"/>
        <w:jc w:val="both"/>
        <w:rPr>
          <w:rFonts w:ascii="Open Sans" w:eastAsia="Open Sans" w:hAnsi="Open Sans" w:cs="Open Sans"/>
        </w:rPr>
      </w:pPr>
    </w:p>
    <w:p w14:paraId="3B1403C3" w14:textId="77777777" w:rsidR="00D34FD4"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Así, el 33% de participación registrado en el mercado </w:t>
      </w:r>
      <w:r>
        <w:rPr>
          <w:rFonts w:ascii="Open Sans" w:eastAsia="Open Sans" w:hAnsi="Open Sans" w:cs="Open Sans"/>
          <w:b/>
        </w:rPr>
        <w:t>es el registro más alto en los últimos tres años y el tercero más alto en los nueve años</w:t>
      </w:r>
      <w:r>
        <w:rPr>
          <w:rFonts w:ascii="Open Sans" w:eastAsia="Open Sans" w:hAnsi="Open Sans" w:cs="Open Sans"/>
        </w:rPr>
        <w:t xml:space="preserve"> que alcanza el histórico de </w:t>
      </w:r>
      <w:hyperlink r:id="rId16">
        <w:r>
          <w:rPr>
            <w:rFonts w:ascii="Open Sans" w:eastAsia="Open Sans" w:hAnsi="Open Sans" w:cs="Open Sans"/>
            <w:color w:val="0000FF"/>
            <w:u w:val="single"/>
          </w:rPr>
          <w:t xml:space="preserve">Fotocasa </w:t>
        </w:r>
        <w:proofErr w:type="spellStart"/>
        <w:r>
          <w:rPr>
            <w:rFonts w:ascii="Open Sans" w:eastAsia="Open Sans" w:hAnsi="Open Sans" w:cs="Open Sans"/>
            <w:color w:val="0000FF"/>
            <w:u w:val="single"/>
          </w:rPr>
          <w:t>Research</w:t>
        </w:r>
        <w:proofErr w:type="spellEnd"/>
      </w:hyperlink>
      <w:r>
        <w:rPr>
          <w:rFonts w:ascii="Open Sans" w:eastAsia="Open Sans" w:hAnsi="Open Sans" w:cs="Open Sans"/>
        </w:rPr>
        <w:t>.</w:t>
      </w:r>
    </w:p>
    <w:p w14:paraId="09E11D78" w14:textId="77777777" w:rsidR="00D34FD4" w:rsidRDefault="00D34FD4">
      <w:pPr>
        <w:pBdr>
          <w:top w:val="nil"/>
          <w:left w:val="nil"/>
          <w:bottom w:val="nil"/>
          <w:right w:val="nil"/>
          <w:between w:val="nil"/>
        </w:pBdr>
        <w:spacing w:line="276" w:lineRule="auto"/>
        <w:jc w:val="both"/>
        <w:rPr>
          <w:rFonts w:ascii="Open Sans" w:eastAsia="Open Sans" w:hAnsi="Open Sans" w:cs="Open Sans"/>
          <w:b/>
        </w:rPr>
      </w:pPr>
    </w:p>
    <w:p w14:paraId="1C343EF7" w14:textId="77777777" w:rsidR="00D34FD4" w:rsidRDefault="00000000">
      <w:pPr>
        <w:pBdr>
          <w:top w:val="nil"/>
          <w:left w:val="nil"/>
          <w:bottom w:val="nil"/>
          <w:right w:val="nil"/>
          <w:between w:val="nil"/>
        </w:pBdr>
        <w:spacing w:line="276" w:lineRule="auto"/>
        <w:jc w:val="center"/>
        <w:rPr>
          <w:rFonts w:ascii="Open Sans" w:eastAsia="Open Sans" w:hAnsi="Open Sans" w:cs="Open Sans"/>
          <w:b/>
        </w:rPr>
      </w:pPr>
      <w:r>
        <w:rPr>
          <w:noProof/>
        </w:rPr>
        <w:lastRenderedPageBreak/>
        <w:drawing>
          <wp:inline distT="0" distB="0" distL="0" distR="0" wp14:anchorId="4EFF7765" wp14:editId="39944086">
            <wp:extent cx="5789402" cy="2779713"/>
            <wp:effectExtent l="0" t="0" r="0" b="0"/>
            <wp:docPr id="2085370330" name="image3.png" descr="Gráfico, Gráfico de líne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Gráfico, Gráfico de líneas&#10;&#10;El contenido generado por IA puede ser incorrecto."/>
                    <pic:cNvPicPr preferRelativeResize="0"/>
                  </pic:nvPicPr>
                  <pic:blipFill>
                    <a:blip r:embed="rId17"/>
                    <a:srcRect/>
                    <a:stretch>
                      <a:fillRect/>
                    </a:stretch>
                  </pic:blipFill>
                  <pic:spPr>
                    <a:xfrm>
                      <a:off x="0" y="0"/>
                      <a:ext cx="5789402" cy="2779713"/>
                    </a:xfrm>
                    <a:prstGeom prst="rect">
                      <a:avLst/>
                    </a:prstGeom>
                    <a:ln/>
                  </pic:spPr>
                </pic:pic>
              </a:graphicData>
            </a:graphic>
          </wp:inline>
        </w:drawing>
      </w:r>
    </w:p>
    <w:p w14:paraId="1B605051" w14:textId="77777777" w:rsidR="00D34FD4" w:rsidRDefault="00D34FD4">
      <w:pPr>
        <w:pBdr>
          <w:top w:val="nil"/>
          <w:left w:val="nil"/>
          <w:bottom w:val="nil"/>
          <w:right w:val="nil"/>
          <w:between w:val="nil"/>
        </w:pBdr>
        <w:spacing w:line="276" w:lineRule="auto"/>
        <w:jc w:val="both"/>
        <w:rPr>
          <w:rFonts w:ascii="Open Sans" w:eastAsia="Open Sans" w:hAnsi="Open Sans" w:cs="Open Sans"/>
          <w:b/>
        </w:rPr>
      </w:pPr>
    </w:p>
    <w:p w14:paraId="58F5EAF2" w14:textId="77777777" w:rsidR="00D34FD4"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Si se desglosa esta actividad total por segmentos, </w:t>
      </w:r>
      <w:r>
        <w:rPr>
          <w:rFonts w:ascii="Open Sans" w:eastAsia="Open Sans" w:hAnsi="Open Sans" w:cs="Open Sans"/>
          <w:b/>
        </w:rPr>
        <w:t>la participación en el mercado de compraventa</w:t>
      </w:r>
      <w:r>
        <w:rPr>
          <w:rFonts w:ascii="Open Sans" w:eastAsia="Open Sans" w:hAnsi="Open Sans" w:cs="Open Sans"/>
        </w:rPr>
        <w:t xml:space="preserve"> se ha disparado especialmente durante los últimos doce meses. Así,</w:t>
      </w:r>
      <w:r>
        <w:rPr>
          <w:rFonts w:ascii="Open Sans" w:eastAsia="Open Sans" w:hAnsi="Open Sans" w:cs="Open Sans"/>
          <w:b/>
        </w:rPr>
        <w:t xml:space="preserve"> el 21% de los particulares ha participado en el mercado de compraventa en el último año, tanto desde el punto de vista de la oferta como desde la demanda, frente al 18% registrado en agosto de 2024</w:t>
      </w:r>
      <w:r>
        <w:rPr>
          <w:rFonts w:ascii="Open Sans" w:eastAsia="Open Sans" w:hAnsi="Open Sans" w:cs="Open Sans"/>
        </w:rPr>
        <w:t>, lo que supone un incremento de tres puntos porcentuales. Esta tasa del 21% es una de las más elevadas de la serie histórica, únicamente igualada por el mismo porcentaje registrado en agosto de 2019, antes de la pandemia. En cambio, el mercado del alquiler se mantiene en el 17%, sin apenas variaciones respecto al año anterior.</w:t>
      </w:r>
    </w:p>
    <w:p w14:paraId="6D43369B" w14:textId="77777777" w:rsidR="00D34FD4" w:rsidRDefault="00D34FD4">
      <w:pPr>
        <w:pBdr>
          <w:top w:val="nil"/>
          <w:left w:val="nil"/>
          <w:bottom w:val="nil"/>
          <w:right w:val="nil"/>
          <w:between w:val="nil"/>
        </w:pBdr>
        <w:spacing w:line="276" w:lineRule="auto"/>
        <w:jc w:val="both"/>
        <w:rPr>
          <w:rFonts w:ascii="Open Sans" w:eastAsia="Open Sans" w:hAnsi="Open Sans" w:cs="Open Sans"/>
        </w:rPr>
      </w:pPr>
    </w:p>
    <w:p w14:paraId="4692B957" w14:textId="77777777" w:rsidR="00D34FD4" w:rsidRDefault="00000000">
      <w:pPr>
        <w:pBdr>
          <w:top w:val="nil"/>
          <w:left w:val="nil"/>
          <w:bottom w:val="nil"/>
          <w:right w:val="nil"/>
          <w:between w:val="nil"/>
        </w:pBdr>
        <w:spacing w:line="276" w:lineRule="auto"/>
        <w:jc w:val="center"/>
        <w:rPr>
          <w:rFonts w:ascii="Open Sans" w:eastAsia="Open Sans" w:hAnsi="Open Sans" w:cs="Open Sans"/>
        </w:rPr>
      </w:pPr>
      <w:r>
        <w:rPr>
          <w:rFonts w:ascii="Open Sans" w:eastAsia="Open Sans" w:hAnsi="Open Sans" w:cs="Open Sans"/>
          <w:noProof/>
        </w:rPr>
        <w:drawing>
          <wp:inline distT="0" distB="0" distL="0" distR="0" wp14:anchorId="077C1E90" wp14:editId="3FAD3189">
            <wp:extent cx="5788229" cy="2906875"/>
            <wp:effectExtent l="0" t="0" r="0" b="0"/>
            <wp:docPr id="2085370333" name="image2.png" descr="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Gráfico&#10;&#10;El contenido generado por IA puede ser incorrecto."/>
                    <pic:cNvPicPr preferRelativeResize="0"/>
                  </pic:nvPicPr>
                  <pic:blipFill>
                    <a:blip r:embed="rId18"/>
                    <a:srcRect/>
                    <a:stretch>
                      <a:fillRect/>
                    </a:stretch>
                  </pic:blipFill>
                  <pic:spPr>
                    <a:xfrm>
                      <a:off x="0" y="0"/>
                      <a:ext cx="5788229" cy="2906875"/>
                    </a:xfrm>
                    <a:prstGeom prst="rect">
                      <a:avLst/>
                    </a:prstGeom>
                    <a:ln/>
                  </pic:spPr>
                </pic:pic>
              </a:graphicData>
            </a:graphic>
          </wp:inline>
        </w:drawing>
      </w:r>
    </w:p>
    <w:p w14:paraId="05DD2124" w14:textId="77777777" w:rsidR="00D34FD4" w:rsidRDefault="00D34FD4">
      <w:pPr>
        <w:pBdr>
          <w:top w:val="nil"/>
          <w:left w:val="nil"/>
          <w:bottom w:val="nil"/>
          <w:right w:val="nil"/>
          <w:between w:val="nil"/>
        </w:pBdr>
        <w:spacing w:line="276" w:lineRule="auto"/>
        <w:jc w:val="both"/>
        <w:rPr>
          <w:rFonts w:ascii="National" w:eastAsia="National" w:hAnsi="National" w:cs="National"/>
          <w:b/>
          <w:color w:val="303AB2"/>
          <w:sz w:val="32"/>
          <w:szCs w:val="32"/>
        </w:rPr>
      </w:pPr>
    </w:p>
    <w:p w14:paraId="0F4D1016" w14:textId="77777777" w:rsidR="00D34FD4" w:rsidRDefault="00000000">
      <w:pPr>
        <w:pBdr>
          <w:top w:val="nil"/>
          <w:left w:val="nil"/>
          <w:bottom w:val="nil"/>
          <w:right w:val="nil"/>
          <w:between w:val="nil"/>
        </w:pBd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lastRenderedPageBreak/>
        <w:t>Un mercado desequilibrado entre la oferta escasa y una demanda en máximos</w:t>
      </w:r>
    </w:p>
    <w:p w14:paraId="1A6EE3B4" w14:textId="77777777" w:rsidR="00D34FD4" w:rsidRDefault="00D34FD4">
      <w:pPr>
        <w:pBdr>
          <w:top w:val="nil"/>
          <w:left w:val="nil"/>
          <w:bottom w:val="nil"/>
          <w:right w:val="nil"/>
          <w:between w:val="nil"/>
        </w:pBdr>
        <w:spacing w:line="276" w:lineRule="auto"/>
        <w:jc w:val="both"/>
        <w:rPr>
          <w:rFonts w:ascii="Open Sans" w:eastAsia="Open Sans" w:hAnsi="Open Sans" w:cs="Open Sans"/>
          <w:b/>
        </w:rPr>
      </w:pPr>
    </w:p>
    <w:p w14:paraId="2B221D59" w14:textId="77777777" w:rsidR="00D34FD4"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Uno de los datos más reveladores del informe se centra en la oferta y la demanda de vivienda. Así, la demanda de vivienda ya sea de venta o de alquiler, se sitúa en el 29% y es el dato más alto de toda la serie histórica de </w:t>
      </w:r>
      <w:hyperlink r:id="rId19">
        <w:r>
          <w:rPr>
            <w:rFonts w:ascii="Open Sans" w:eastAsia="Open Sans" w:hAnsi="Open Sans" w:cs="Open Sans"/>
            <w:color w:val="0000FF"/>
            <w:u w:val="single"/>
          </w:rPr>
          <w:t xml:space="preserve">Fotocasa </w:t>
        </w:r>
        <w:proofErr w:type="spellStart"/>
        <w:r>
          <w:rPr>
            <w:rFonts w:ascii="Open Sans" w:eastAsia="Open Sans" w:hAnsi="Open Sans" w:cs="Open Sans"/>
            <w:color w:val="0000FF"/>
            <w:u w:val="single"/>
          </w:rPr>
          <w:t>Research</w:t>
        </w:r>
        <w:proofErr w:type="spellEnd"/>
      </w:hyperlink>
      <w:r>
        <w:rPr>
          <w:rFonts w:ascii="Open Sans" w:eastAsia="Open Sans" w:hAnsi="Open Sans" w:cs="Open Sans"/>
        </w:rPr>
        <w:t>. Esto quiere decir que desde que hay datos desde 2017 nunca había habido una demanda de vivienda tan elevada, superando el anterior récord de 2021 cuando se llegó hasta el 28%.</w:t>
      </w:r>
    </w:p>
    <w:p w14:paraId="56CCB892" w14:textId="77777777" w:rsidR="00D34FD4" w:rsidRDefault="00D34FD4">
      <w:pPr>
        <w:pBdr>
          <w:top w:val="nil"/>
          <w:left w:val="nil"/>
          <w:bottom w:val="nil"/>
          <w:right w:val="nil"/>
          <w:between w:val="nil"/>
        </w:pBdr>
        <w:spacing w:line="276" w:lineRule="auto"/>
        <w:jc w:val="both"/>
        <w:rPr>
          <w:rFonts w:ascii="Open Sans" w:eastAsia="Open Sans" w:hAnsi="Open Sans" w:cs="Open Sans"/>
        </w:rPr>
      </w:pPr>
    </w:p>
    <w:p w14:paraId="06D19FB2" w14:textId="77777777" w:rsidR="00D34FD4"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noProof/>
        </w:rPr>
        <w:drawing>
          <wp:inline distT="0" distB="0" distL="0" distR="0" wp14:anchorId="72522996" wp14:editId="55125102">
            <wp:extent cx="5760720" cy="3302635"/>
            <wp:effectExtent l="0" t="0" r="0" b="0"/>
            <wp:docPr id="2085370332" name="image6.png" descr="Gráfico, Gráfico de líne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6.png" descr="Gráfico, Gráfico de líneas&#10;&#10;El contenido generado por IA puede ser incorrecto."/>
                    <pic:cNvPicPr preferRelativeResize="0"/>
                  </pic:nvPicPr>
                  <pic:blipFill>
                    <a:blip r:embed="rId20"/>
                    <a:srcRect/>
                    <a:stretch>
                      <a:fillRect/>
                    </a:stretch>
                  </pic:blipFill>
                  <pic:spPr>
                    <a:xfrm>
                      <a:off x="0" y="0"/>
                      <a:ext cx="5760720" cy="3302635"/>
                    </a:xfrm>
                    <a:prstGeom prst="rect">
                      <a:avLst/>
                    </a:prstGeom>
                    <a:ln/>
                  </pic:spPr>
                </pic:pic>
              </a:graphicData>
            </a:graphic>
          </wp:inline>
        </w:drawing>
      </w:r>
    </w:p>
    <w:p w14:paraId="32E81D4C" w14:textId="77777777" w:rsidR="00D34FD4" w:rsidRDefault="00D34FD4">
      <w:pPr>
        <w:pBdr>
          <w:top w:val="nil"/>
          <w:left w:val="nil"/>
          <w:bottom w:val="nil"/>
          <w:right w:val="nil"/>
          <w:between w:val="nil"/>
        </w:pBdr>
        <w:spacing w:line="276" w:lineRule="auto"/>
        <w:jc w:val="both"/>
        <w:rPr>
          <w:rFonts w:ascii="Open Sans" w:eastAsia="Open Sans" w:hAnsi="Open Sans" w:cs="Open Sans"/>
          <w:b/>
        </w:rPr>
      </w:pPr>
    </w:p>
    <w:p w14:paraId="0DB8B7D7" w14:textId="77777777" w:rsidR="00D34FD4" w:rsidRDefault="00D34FD4">
      <w:pPr>
        <w:pBdr>
          <w:top w:val="nil"/>
          <w:left w:val="nil"/>
          <w:bottom w:val="nil"/>
          <w:right w:val="nil"/>
          <w:between w:val="nil"/>
        </w:pBdr>
        <w:spacing w:line="276" w:lineRule="auto"/>
        <w:jc w:val="both"/>
        <w:rPr>
          <w:rFonts w:ascii="Open Sans" w:eastAsia="Open Sans" w:hAnsi="Open Sans" w:cs="Open Sans"/>
          <w:b/>
        </w:rPr>
      </w:pPr>
    </w:p>
    <w:p w14:paraId="027174AC" w14:textId="77777777" w:rsidR="00D34FD4"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rPr>
        <w:t>Y es que la demanda de compra se afianza como el gran motor del mercado</w:t>
      </w:r>
      <w:r>
        <w:rPr>
          <w:rFonts w:ascii="Open Sans" w:eastAsia="Open Sans" w:hAnsi="Open Sans" w:cs="Open Sans"/>
        </w:rPr>
        <w:t xml:space="preserve">: el 18% de los españoles compró o intentó comprar una vivienda en los últimos 12 meses, tres puntos más que en 2024. Este fuerte empuje de la compraventa se debe sobre todo al crecimiento de la demanda no efectiva, es decir, la de quienes buscan sin lograr culminar la operación. </w:t>
      </w:r>
      <w:r>
        <w:rPr>
          <w:rFonts w:ascii="Open Sans" w:eastAsia="Open Sans" w:hAnsi="Open Sans" w:cs="Open Sans"/>
          <w:b/>
        </w:rPr>
        <w:t>En el caso de la compra, esta demanda frustrada se ha disparado del 11% al 14% en un año</w:t>
      </w:r>
      <w:r>
        <w:rPr>
          <w:rFonts w:ascii="Open Sans" w:eastAsia="Open Sans" w:hAnsi="Open Sans" w:cs="Open Sans"/>
        </w:rPr>
        <w:t>, mientras que la compra efectiva de vivienda ha pasado del 4% al 5% en los últimos doce meses. En el lado de la oferta, los vendedores efectivos caen levemente del 5% al 4%.</w:t>
      </w:r>
    </w:p>
    <w:p w14:paraId="55959B7D" w14:textId="77777777" w:rsidR="00D34FD4" w:rsidRDefault="00D34FD4">
      <w:pPr>
        <w:pBdr>
          <w:top w:val="nil"/>
          <w:left w:val="nil"/>
          <w:bottom w:val="nil"/>
          <w:right w:val="nil"/>
          <w:between w:val="nil"/>
        </w:pBdr>
        <w:spacing w:line="276" w:lineRule="auto"/>
        <w:jc w:val="both"/>
        <w:rPr>
          <w:rFonts w:ascii="Open Sans" w:eastAsia="Open Sans" w:hAnsi="Open Sans" w:cs="Open Sans"/>
        </w:rPr>
      </w:pPr>
    </w:p>
    <w:p w14:paraId="677ADC4F" w14:textId="77777777" w:rsidR="00D34FD4" w:rsidRDefault="00D34FD4">
      <w:pPr>
        <w:pBdr>
          <w:top w:val="nil"/>
          <w:left w:val="nil"/>
          <w:bottom w:val="nil"/>
          <w:right w:val="nil"/>
          <w:between w:val="nil"/>
        </w:pBdr>
        <w:spacing w:line="276" w:lineRule="auto"/>
        <w:jc w:val="both"/>
        <w:rPr>
          <w:rFonts w:ascii="Open Sans" w:eastAsia="Open Sans" w:hAnsi="Open Sans" w:cs="Open Sans"/>
        </w:rPr>
      </w:pPr>
    </w:p>
    <w:p w14:paraId="6F62A1A1" w14:textId="77777777" w:rsidR="00D34FD4" w:rsidRDefault="00000000">
      <w:pPr>
        <w:pBdr>
          <w:top w:val="nil"/>
          <w:left w:val="nil"/>
          <w:bottom w:val="nil"/>
          <w:right w:val="nil"/>
          <w:between w:val="nil"/>
        </w:pBd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lastRenderedPageBreak/>
        <w:t>Baja la demanda efectiva de alquiler</w:t>
      </w:r>
    </w:p>
    <w:p w14:paraId="35DFA303" w14:textId="77777777" w:rsidR="00D34FD4" w:rsidRDefault="00D34FD4">
      <w:pPr>
        <w:pBdr>
          <w:top w:val="nil"/>
          <w:left w:val="nil"/>
          <w:bottom w:val="nil"/>
          <w:right w:val="nil"/>
          <w:between w:val="nil"/>
        </w:pBdr>
        <w:spacing w:line="276" w:lineRule="auto"/>
        <w:jc w:val="both"/>
        <w:rPr>
          <w:rFonts w:ascii="Open Sans" w:eastAsia="Open Sans" w:hAnsi="Open Sans" w:cs="Open Sans"/>
        </w:rPr>
      </w:pPr>
    </w:p>
    <w:p w14:paraId="5F7D77F0" w14:textId="77777777" w:rsidR="00D34FD4"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Por su lado, el segmento del alquiler se ha estancado en el último año, manteniendo su actividad en el mencionado 17% de los encuestados. </w:t>
      </w:r>
      <w:r>
        <w:rPr>
          <w:rFonts w:ascii="Open Sans" w:eastAsia="Open Sans" w:hAnsi="Open Sans" w:cs="Open Sans"/>
          <w:b/>
        </w:rPr>
        <w:t>Si se observa la vertiente de la demanda, el porcentaje de personas que alquilaron efectivamente una vivienda para vivir en ella desciende del 7% al 6%</w:t>
      </w:r>
      <w:r>
        <w:rPr>
          <w:rFonts w:ascii="Open Sans" w:eastAsia="Open Sans" w:hAnsi="Open Sans" w:cs="Open Sans"/>
        </w:rPr>
        <w:t xml:space="preserve"> </w:t>
      </w:r>
      <w:r>
        <w:rPr>
          <w:rFonts w:ascii="Open Sans" w:eastAsia="Open Sans" w:hAnsi="Open Sans" w:cs="Open Sans"/>
          <w:b/>
        </w:rPr>
        <w:t>en un año</w:t>
      </w:r>
      <w:r>
        <w:rPr>
          <w:rFonts w:ascii="Open Sans" w:eastAsia="Open Sans" w:hAnsi="Open Sans" w:cs="Open Sans"/>
        </w:rPr>
        <w:t xml:space="preserve">. Por su parte, la demanda inefectiva en alquiler (quienes buscaron sin éxito) sube del 5% al 6%, reflejo de un mercado cada vez más tensionado y con menor disponibilidad. Asimismo, se mantienen los porcentajes de quienes demandan una habitación en un piso compartido, tanto de forma efectiva como inefectiva (un 2% en ambos casos), mientras que se consolida en un </w:t>
      </w:r>
      <w:r>
        <w:rPr>
          <w:rFonts w:ascii="Open Sans" w:eastAsia="Open Sans" w:hAnsi="Open Sans" w:cs="Open Sans"/>
          <w:b/>
        </w:rPr>
        <w:t>4% el porcentaje de españoles que ofertan un inmueble de alquiler</w:t>
      </w:r>
      <w:r>
        <w:rPr>
          <w:rFonts w:ascii="Open Sans" w:eastAsia="Open Sans" w:hAnsi="Open Sans" w:cs="Open Sans"/>
        </w:rPr>
        <w:t>.</w:t>
      </w:r>
    </w:p>
    <w:p w14:paraId="6B6F27D3" w14:textId="77777777" w:rsidR="00D34FD4" w:rsidRDefault="00D34FD4">
      <w:pPr>
        <w:pBdr>
          <w:top w:val="nil"/>
          <w:left w:val="nil"/>
          <w:bottom w:val="nil"/>
          <w:right w:val="nil"/>
          <w:between w:val="nil"/>
        </w:pBdr>
        <w:spacing w:line="276" w:lineRule="auto"/>
        <w:rPr>
          <w:rFonts w:ascii="Open Sans" w:eastAsia="Open Sans" w:hAnsi="Open Sans" w:cs="Open Sans"/>
        </w:rPr>
      </w:pPr>
    </w:p>
    <w:p w14:paraId="2257AA3D" w14:textId="77777777" w:rsidR="00D34FD4" w:rsidRDefault="00D34FD4">
      <w:pPr>
        <w:spacing w:line="276" w:lineRule="auto"/>
        <w:jc w:val="right"/>
        <w:rPr>
          <w:rFonts w:ascii="Open Sans Light" w:eastAsia="Open Sans Light" w:hAnsi="Open Sans Light" w:cs="Open Sans Light"/>
          <w:b/>
          <w:color w:val="303AB2"/>
        </w:rPr>
      </w:pPr>
    </w:p>
    <w:p w14:paraId="182A9EE2" w14:textId="77777777" w:rsidR="00D34FD4"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361E0AD6" w14:textId="77777777" w:rsidR="00D34FD4"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sz w:val="22"/>
          <w:szCs w:val="22"/>
        </w:rPr>
        <w:t xml:space="preserve">Fotocasa </w:t>
      </w:r>
      <w:proofErr w:type="spellStart"/>
      <w:r>
        <w:rPr>
          <w:rFonts w:ascii="Open Sans" w:eastAsia="Open Sans" w:hAnsi="Open Sans" w:cs="Open Sans"/>
          <w:b/>
          <w:sz w:val="22"/>
          <w:szCs w:val="22"/>
        </w:rPr>
        <w:t>Group</w:t>
      </w:r>
      <w:proofErr w:type="spellEnd"/>
      <w:r>
        <w:rPr>
          <w:rFonts w:ascii="Open Sans" w:eastAsia="Open Sans" w:hAnsi="Open Sans" w:cs="Open Sans"/>
          <w:sz w:val="22"/>
          <w:szCs w:val="22"/>
        </w:rPr>
        <w:t xml:space="preserve">. </w:t>
      </w:r>
    </w:p>
    <w:p w14:paraId="39927934" w14:textId="77777777" w:rsidR="00D34FD4"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21">
        <w:r>
          <w:rPr>
            <w:rFonts w:ascii="Open Sans" w:eastAsia="Open Sans" w:hAnsi="Open Sans" w:cs="Open Sans"/>
            <w:b/>
            <w:color w:val="0000FF"/>
            <w:sz w:val="22"/>
            <w:szCs w:val="22"/>
            <w:u w:val="single"/>
          </w:rPr>
          <w:t>Índice inmobiliario Fotocasa</w:t>
        </w:r>
      </w:hyperlink>
      <w:r>
        <w:rPr>
          <w:rFonts w:ascii="Open Sans" w:eastAsia="Open Sans" w:hAnsi="Open Sans" w:cs="Open Sans"/>
          <w:sz w:val="22"/>
          <w:szCs w:val="22"/>
        </w:rPr>
        <w:t>, un informe de referencia que analiza la evolución del precio medio de la vivienda en España, tanto en venta como en alquiler.</w:t>
      </w:r>
    </w:p>
    <w:p w14:paraId="434081FA" w14:textId="77777777" w:rsidR="00D34FD4"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Desde 2017, desarrolla además estudios sociológicos bajo el sello </w:t>
      </w:r>
      <w:hyperlink r:id="rId22">
        <w:r>
          <w:rPr>
            <w:rFonts w:ascii="Open Sans" w:eastAsia="Open Sans" w:hAnsi="Open Sans" w:cs="Open Sans"/>
            <w:b/>
            <w:color w:val="0000FF"/>
            <w:sz w:val="22"/>
            <w:szCs w:val="22"/>
            <w:u w:val="single"/>
          </w:rPr>
          <w:t xml:space="preserve">Fotocasa </w:t>
        </w:r>
        <w:proofErr w:type="spellStart"/>
        <w:r>
          <w:rPr>
            <w:rFonts w:ascii="Open Sans" w:eastAsia="Open Sans" w:hAnsi="Open Sans" w:cs="Open Sans"/>
            <w:b/>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1CC7359B" w14:textId="77777777" w:rsidR="00D34FD4"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23">
        <w:r>
          <w:rPr>
            <w:rFonts w:ascii="Open Sans" w:eastAsia="Open Sans" w:hAnsi="Open Sans" w:cs="Open Sans"/>
            <w:b/>
            <w:color w:val="0000FF"/>
            <w:sz w:val="22"/>
            <w:szCs w:val="22"/>
            <w:u w:val="single"/>
          </w:rPr>
          <w:t>Sala de Prensa</w:t>
        </w:r>
      </w:hyperlink>
    </w:p>
    <w:p w14:paraId="022C03FB" w14:textId="77777777" w:rsidR="00D34FD4" w:rsidRDefault="00D34FD4">
      <w:pPr>
        <w:spacing w:line="276" w:lineRule="auto"/>
        <w:rPr>
          <w:rFonts w:ascii="Open Sans Light" w:eastAsia="Open Sans Light" w:hAnsi="Open Sans Light" w:cs="Open Sans Light"/>
          <w:b/>
          <w:color w:val="303AB2"/>
        </w:rPr>
      </w:pPr>
    </w:p>
    <w:p w14:paraId="6DA15D64" w14:textId="77777777" w:rsidR="00D34FD4"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Fotocasa </w:t>
      </w:r>
      <w:proofErr w:type="spellStart"/>
      <w:r>
        <w:rPr>
          <w:rFonts w:ascii="Open Sans Light" w:eastAsia="Open Sans Light" w:hAnsi="Open Sans Light" w:cs="Open Sans Light"/>
          <w:b/>
          <w:color w:val="303AB2"/>
        </w:rPr>
        <w:t>Group</w:t>
      </w:r>
      <w:proofErr w:type="spellEnd"/>
    </w:p>
    <w:p w14:paraId="6288C1C9" w14:textId="77777777" w:rsidR="00D34FD4"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sz w:val="22"/>
          <w:szCs w:val="22"/>
        </w:rPr>
        <w:t xml:space="preserve">Fotocasa </w:t>
      </w:r>
      <w:proofErr w:type="spellStart"/>
      <w:r>
        <w:rPr>
          <w:rFonts w:ascii="Open Sans" w:eastAsia="Open Sans" w:hAnsi="Open Sans" w:cs="Open Sans"/>
          <w:b/>
          <w:sz w:val="22"/>
          <w:szCs w:val="22"/>
        </w:rPr>
        <w:t>Group</w:t>
      </w:r>
      <w:proofErr w:type="spellEnd"/>
      <w:r>
        <w:rPr>
          <w:rFonts w:ascii="Open Sans" w:eastAsia="Open Sans" w:hAnsi="Open Sans" w:cs="Open Sans"/>
          <w:sz w:val="22"/>
          <w:szCs w:val="22"/>
        </w:rPr>
        <w:t xml:space="preserve"> es un referente del sector inmobiliario en España, </w:t>
      </w:r>
      <w:r>
        <w:rPr>
          <w:rFonts w:ascii="Open Sans" w:eastAsia="Open Sans" w:hAnsi="Open Sans" w:cs="Open Sans"/>
          <w:b/>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337F218C" w14:textId="77777777" w:rsidR="00D34FD4"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Bajo su marca paraguas, Fotocasa </w:t>
      </w:r>
      <w:proofErr w:type="spellStart"/>
      <w:r>
        <w:rPr>
          <w:rFonts w:ascii="Open Sans" w:eastAsia="Open Sans" w:hAnsi="Open Sans" w:cs="Open Sans"/>
          <w:sz w:val="22"/>
          <w:szCs w:val="22"/>
        </w:rPr>
        <w:t>Group</w:t>
      </w:r>
      <w:proofErr w:type="spellEnd"/>
      <w:r>
        <w:rPr>
          <w:rFonts w:ascii="Open Sans" w:eastAsia="Open Sans" w:hAnsi="Open Sans" w:cs="Open Sans"/>
          <w:sz w:val="22"/>
          <w:szCs w:val="22"/>
        </w:rPr>
        <w:t> impulsa y da visibilidad a un ecosistema de marcas líderes —</w:t>
      </w:r>
      <w:hyperlink r:id="rId24">
        <w:r>
          <w:rPr>
            <w:rFonts w:ascii="Open Sans" w:eastAsia="Open Sans" w:hAnsi="Open Sans" w:cs="Open Sans"/>
            <w:b/>
            <w:color w:val="0000FF"/>
            <w:sz w:val="22"/>
            <w:szCs w:val="22"/>
            <w:u w:val="single"/>
          </w:rPr>
          <w:t>Fotocasa</w:t>
        </w:r>
      </w:hyperlink>
      <w:r>
        <w:rPr>
          <w:rFonts w:ascii="Open Sans" w:eastAsia="Open Sans" w:hAnsi="Open Sans" w:cs="Open Sans"/>
          <w:sz w:val="22"/>
          <w:szCs w:val="22"/>
        </w:rPr>
        <w:t xml:space="preserve">, </w:t>
      </w:r>
      <w:hyperlink r:id="rId25">
        <w:proofErr w:type="spellStart"/>
        <w:r>
          <w:rPr>
            <w:rFonts w:ascii="Open Sans" w:eastAsia="Open Sans" w:hAnsi="Open Sans" w:cs="Open Sans"/>
            <w:b/>
            <w:color w:val="0000FF"/>
            <w:sz w:val="22"/>
            <w:szCs w:val="22"/>
            <w:u w:val="single"/>
          </w:rPr>
          <w:t>habitaclia</w:t>
        </w:r>
        <w:proofErr w:type="spellEnd"/>
      </w:hyperlink>
      <w:r>
        <w:rPr>
          <w:rFonts w:ascii="Open Sans" w:eastAsia="Open Sans" w:hAnsi="Open Sans" w:cs="Open Sans"/>
          <w:sz w:val="22"/>
          <w:szCs w:val="22"/>
        </w:rPr>
        <w:t xml:space="preserve">, </w:t>
      </w:r>
      <w:hyperlink r:id="rId26">
        <w:r>
          <w:rPr>
            <w:rFonts w:ascii="Open Sans" w:eastAsia="Open Sans" w:hAnsi="Open Sans" w:cs="Open Sans"/>
            <w:b/>
            <w:color w:val="0000FF"/>
            <w:sz w:val="22"/>
            <w:szCs w:val="22"/>
            <w:u w:val="single"/>
          </w:rPr>
          <w:t>Fotocasa Pro</w:t>
        </w:r>
      </w:hyperlink>
      <w:r>
        <w:rPr>
          <w:rFonts w:ascii="Open Sans" w:eastAsia="Open Sans" w:hAnsi="Open Sans" w:cs="Open Sans"/>
          <w:sz w:val="22"/>
          <w:szCs w:val="22"/>
        </w:rPr>
        <w:t xml:space="preserve">, </w:t>
      </w:r>
      <w:hyperlink r:id="rId27">
        <w:proofErr w:type="spellStart"/>
        <w:r>
          <w:rPr>
            <w:rFonts w:ascii="Open Sans" w:eastAsia="Open Sans" w:hAnsi="Open Sans" w:cs="Open Sans"/>
            <w:b/>
            <w:color w:val="0000FF"/>
            <w:sz w:val="22"/>
            <w:szCs w:val="22"/>
            <w:u w:val="single"/>
          </w:rPr>
          <w:t>Datavenues</w:t>
        </w:r>
        <w:proofErr w:type="spellEnd"/>
      </w:hyperlink>
      <w:r>
        <w:rPr>
          <w:rFonts w:ascii="Open Sans" w:eastAsia="Open Sans" w:hAnsi="Open Sans" w:cs="Open Sans"/>
          <w:sz w:val="22"/>
          <w:szCs w:val="22"/>
        </w:rPr>
        <w:t xml:space="preserve">, </w:t>
      </w:r>
      <w:hyperlink r:id="rId28">
        <w:proofErr w:type="spellStart"/>
        <w:r>
          <w:rPr>
            <w:rFonts w:ascii="Open Sans" w:eastAsia="Open Sans" w:hAnsi="Open Sans" w:cs="Open Sans"/>
            <w:b/>
            <w:color w:val="0000FF"/>
            <w:sz w:val="22"/>
            <w:szCs w:val="22"/>
            <w:u w:val="single"/>
          </w:rPr>
          <w:t>Witei</w:t>
        </w:r>
        <w:proofErr w:type="spellEnd"/>
      </w:hyperlink>
      <w:r>
        <w:rPr>
          <w:rFonts w:ascii="Open Sans" w:eastAsia="Open Sans" w:hAnsi="Open Sans" w:cs="Open Sans"/>
          <w:sz w:val="22"/>
          <w:szCs w:val="22"/>
        </w:rPr>
        <w:t xml:space="preserve"> e </w:t>
      </w:r>
      <w:hyperlink r:id="rId29">
        <w:proofErr w:type="spellStart"/>
        <w:r>
          <w:rPr>
            <w:rFonts w:ascii="Open Sans" w:eastAsia="Open Sans" w:hAnsi="Open Sans" w:cs="Open Sans"/>
            <w:b/>
            <w:color w:val="0000FF"/>
            <w:sz w:val="22"/>
            <w:szCs w:val="22"/>
          </w:rPr>
          <w:t>Inmoweb</w:t>
        </w:r>
        <w:proofErr w:type="spellEnd"/>
      </w:hyperlink>
      <w:r>
        <w:rPr>
          <w:rFonts w:ascii="Open Sans" w:eastAsia="Open Sans" w:hAnsi="Open Sans" w:cs="Open Sans"/>
          <w:sz w:val="22"/>
          <w:szCs w:val="22"/>
        </w:rPr>
        <w:t xml:space="preserve">— </w:t>
      </w:r>
      <w:r>
        <w:rPr>
          <w:rFonts w:ascii="Open Sans" w:eastAsia="Open Sans" w:hAnsi="Open Sans" w:cs="Open Sans"/>
          <w:sz w:val="22"/>
          <w:szCs w:val="22"/>
        </w:rPr>
        <w:lastRenderedPageBreak/>
        <w:t xml:space="preserve">que ofrecen soluciones integrales tanto </w:t>
      </w:r>
      <w:r>
        <w:rPr>
          <w:rFonts w:ascii="Open Sans" w:eastAsia="Open Sans" w:hAnsi="Open Sans" w:cs="Open Sans"/>
          <w:b/>
          <w:sz w:val="22"/>
          <w:szCs w:val="22"/>
        </w:rPr>
        <w:t>para particulares como para profesionales del sector</w:t>
      </w:r>
      <w:r>
        <w:rPr>
          <w:rFonts w:ascii="Open Sans" w:eastAsia="Open Sans" w:hAnsi="Open Sans" w:cs="Open Sans"/>
          <w:sz w:val="22"/>
          <w:szCs w:val="22"/>
        </w:rPr>
        <w:t>.</w:t>
      </w:r>
    </w:p>
    <w:p w14:paraId="2F36D66C" w14:textId="77777777" w:rsidR="00D34FD4"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sz w:val="22"/>
          <w:szCs w:val="22"/>
        </w:rPr>
        <w:t>referente del mercado inmobiliario</w:t>
      </w:r>
      <w:r>
        <w:rPr>
          <w:rFonts w:ascii="Open Sans" w:eastAsia="Open Sans" w:hAnsi="Open Sans" w:cs="Open Sans"/>
          <w:sz w:val="22"/>
          <w:szCs w:val="22"/>
        </w:rPr>
        <w:t>.</w:t>
      </w:r>
    </w:p>
    <w:p w14:paraId="65CCA98D" w14:textId="77777777" w:rsidR="00D34FD4"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En Fotocasa </w:t>
      </w:r>
      <w:proofErr w:type="spellStart"/>
      <w:r>
        <w:rPr>
          <w:rFonts w:ascii="Open Sans" w:eastAsia="Open Sans" w:hAnsi="Open Sans" w:cs="Open Sans"/>
          <w:sz w:val="22"/>
          <w:szCs w:val="22"/>
        </w:rPr>
        <w:t>Group</w:t>
      </w:r>
      <w:proofErr w:type="spellEnd"/>
      <w:r>
        <w:rPr>
          <w:rFonts w:ascii="Open Sans" w:eastAsia="Open Sans" w:hAnsi="Open Sans" w:cs="Open Sans"/>
          <w:sz w:val="22"/>
          <w:szCs w:val="22"/>
        </w:rPr>
        <w:t>, </w:t>
      </w:r>
      <w:r>
        <w:rPr>
          <w:rFonts w:ascii="Open Sans" w:eastAsia="Open Sans" w:hAnsi="Open Sans" w:cs="Open Sans"/>
          <w:b/>
          <w:sz w:val="22"/>
          <w:szCs w:val="22"/>
        </w:rPr>
        <w:t>unimos personas y propiedades</w:t>
      </w:r>
      <w:r>
        <w:rPr>
          <w:rFonts w:ascii="Open Sans" w:eastAsia="Open Sans" w:hAnsi="Open Sans" w:cs="Open Sans"/>
          <w:sz w:val="22"/>
          <w:szCs w:val="22"/>
        </w:rPr>
        <w:t> a través de una plataforma inteligente, diseñada para hacer que </w:t>
      </w:r>
      <w:r>
        <w:rPr>
          <w:rFonts w:ascii="Open Sans" w:eastAsia="Open Sans" w:hAnsi="Open Sans" w:cs="Open Sans"/>
          <w:b/>
          <w:sz w:val="22"/>
          <w:szCs w:val="22"/>
        </w:rPr>
        <w:t>buscar, comprar o alquilar vivienda</w:t>
      </w:r>
      <w:r>
        <w:rPr>
          <w:rFonts w:ascii="Open Sans" w:eastAsia="Open Sans" w:hAnsi="Open Sans" w:cs="Open Sans"/>
          <w:sz w:val="22"/>
          <w:szCs w:val="22"/>
        </w:rPr>
        <w:t> sea una experiencia más fácil, transparente y eficiente.</w:t>
      </w:r>
    </w:p>
    <w:p w14:paraId="77916887" w14:textId="77777777" w:rsidR="00D34FD4"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Nuestra visión es clara</w:t>
      </w:r>
      <w:r>
        <w:rPr>
          <w:rFonts w:ascii="Open Sans" w:eastAsia="Open Sans" w:hAnsi="Open Sans" w:cs="Open Sans"/>
          <w:b/>
          <w:sz w:val="22"/>
          <w:szCs w:val="22"/>
        </w:rPr>
        <w:t>: ser el lugar donde tu nuevo hogar te encuentra</w:t>
      </w:r>
      <w:r>
        <w:rPr>
          <w:rFonts w:ascii="Open Sans" w:eastAsia="Open Sans" w:hAnsi="Open Sans" w:cs="Open Sans"/>
          <w:sz w:val="22"/>
          <w:szCs w:val="22"/>
        </w:rPr>
        <w:t>.</w:t>
      </w:r>
    </w:p>
    <w:p w14:paraId="2063E8DF" w14:textId="77777777" w:rsidR="00D34FD4" w:rsidRDefault="00D34FD4">
      <w:pPr>
        <w:shd w:val="clear" w:color="auto" w:fill="FFFFFF"/>
        <w:spacing w:before="280" w:after="280" w:line="276" w:lineRule="auto"/>
        <w:jc w:val="both"/>
        <w:rPr>
          <w:rFonts w:ascii="Open Sans" w:eastAsia="Open Sans" w:hAnsi="Open Sans" w:cs="Open Sans"/>
          <w:sz w:val="22"/>
          <w:szCs w:val="22"/>
        </w:rPr>
      </w:pPr>
    </w:p>
    <w:p w14:paraId="33E98728" w14:textId="77777777" w:rsidR="00D34FD4" w:rsidRDefault="00D34FD4">
      <w:pPr>
        <w:spacing w:line="276" w:lineRule="auto"/>
        <w:jc w:val="right"/>
        <w:rPr>
          <w:rFonts w:ascii="Open Sans" w:eastAsia="Open Sans" w:hAnsi="Open Sans" w:cs="Open Sans"/>
        </w:rPr>
      </w:pPr>
    </w:p>
    <w:p w14:paraId="20F2E2B3" w14:textId="77777777" w:rsidR="00D34FD4"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20EFA65A" w14:textId="77777777" w:rsidR="00D34FD4"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24CD7C73" w14:textId="77777777" w:rsidR="00D34FD4" w:rsidRDefault="00000000">
      <w:pPr>
        <w:shd w:val="clear" w:color="auto" w:fill="FFFFFF"/>
        <w:spacing w:line="276" w:lineRule="auto"/>
        <w:rPr>
          <w:rFonts w:ascii="Open Sans" w:eastAsia="Open Sans" w:hAnsi="Open Sans" w:cs="Open Sans"/>
          <w:color w:val="0000FF"/>
          <w:sz w:val="22"/>
          <w:szCs w:val="22"/>
          <w:u w:val="single"/>
        </w:rPr>
      </w:pPr>
      <w:hyperlink r:id="rId30">
        <w:r>
          <w:rPr>
            <w:rFonts w:ascii="Open Sans" w:eastAsia="Open Sans" w:hAnsi="Open Sans" w:cs="Open Sans"/>
            <w:color w:val="0000FF"/>
            <w:sz w:val="22"/>
            <w:szCs w:val="22"/>
            <w:u w:val="single"/>
          </w:rPr>
          <w:t>comunicacion@fotocasa.es</w:t>
        </w:r>
      </w:hyperlink>
    </w:p>
    <w:p w14:paraId="7A2C12A1" w14:textId="77777777" w:rsidR="00D34FD4"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D34FD4">
      <w:footerReference w:type="default" r:id="rId31"/>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7B669" w14:textId="77777777" w:rsidR="00FE223C" w:rsidRDefault="00FE223C">
      <w:r>
        <w:separator/>
      </w:r>
    </w:p>
  </w:endnote>
  <w:endnote w:type="continuationSeparator" w:id="0">
    <w:p w14:paraId="1E8400B1" w14:textId="77777777" w:rsidR="00FE223C" w:rsidRDefault="00FE2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C727E14-DA21-4F5D-B23E-7B879EF3CE7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3B7C0B3-73E1-4982-B807-2F1CE40B3912}"/>
    <w:embedBold r:id="rId3" w:fontKey="{1BA3F670-F7C7-4EEB-940C-6D35032D30A5}"/>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2B8D5002-DE23-4038-8C48-9AE72ABA35BD}"/>
  </w:font>
  <w:font w:name="Georgia">
    <w:panose1 w:val="02040502050405020303"/>
    <w:charset w:val="00"/>
    <w:family w:val="roman"/>
    <w:pitch w:val="variable"/>
    <w:sig w:usb0="00000287" w:usb1="00000000" w:usb2="00000000" w:usb3="00000000" w:csb0="0000009F" w:csb1="00000000"/>
    <w:embedRegular r:id="rId5" w:fontKey="{B61CB350-C6D1-4179-928D-6B333CF07D23}"/>
    <w:embedItalic r:id="rId6" w:fontKey="{008D9CCE-DDCF-44D4-BA0C-16A7677EEFFD}"/>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7ADE7C9D-B6ED-49F6-9BB9-69DBC2AC61B4}"/>
    <w:embedBold r:id="rId8" w:fontKey="{ABDF9872-BB71-4202-8B6A-ABB517CF3ECC}"/>
    <w:embedBoldItalic r:id="rId9" w:fontKey="{94C40FE6-46AC-4FF4-BB9F-900D5CA616CD}"/>
  </w:font>
  <w:font w:name="Open Sans Light">
    <w:charset w:val="00"/>
    <w:family w:val="swiss"/>
    <w:pitch w:val="variable"/>
    <w:sig w:usb0="E00002EF" w:usb1="4000205B" w:usb2="00000028" w:usb3="00000000" w:csb0="0000019F" w:csb1="00000000"/>
    <w:embedRegular r:id="rId10" w:fontKey="{1B232E43-ABB1-4AEA-8735-BFC8E35AEE72}"/>
    <w:embedBold r:id="rId11" w:fontKey="{C5D0CC48-87B0-4095-A014-D60AC6C85655}"/>
    <w:embedItalic r:id="rId12" w:fontKey="{E5DAC7D5-6109-4113-8E9B-DC660F78EBD8}"/>
    <w:embedBoldItalic r:id="rId13" w:fontKey="{3FB60200-538D-4AB5-BA25-35106485A2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6C885" w14:textId="77777777" w:rsidR="00D34FD4"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2424AFDB" wp14:editId="2E7B212D">
          <wp:simplePos x="0" y="0"/>
          <wp:positionH relativeFrom="column">
            <wp:posOffset>-1068043</wp:posOffset>
          </wp:positionH>
          <wp:positionV relativeFrom="paragraph">
            <wp:posOffset>174608</wp:posOffset>
          </wp:positionV>
          <wp:extent cx="7670550" cy="451315"/>
          <wp:effectExtent l="0" t="0" r="0" b="0"/>
          <wp:wrapNone/>
          <wp:docPr id="20853703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D3EB6D" w14:textId="77777777" w:rsidR="00FE223C" w:rsidRDefault="00FE223C">
      <w:r>
        <w:separator/>
      </w:r>
    </w:p>
  </w:footnote>
  <w:footnote w:type="continuationSeparator" w:id="0">
    <w:p w14:paraId="2A2C32A3" w14:textId="77777777" w:rsidR="00FE223C" w:rsidRDefault="00FE22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423AA"/>
    <w:multiLevelType w:val="multilevel"/>
    <w:tmpl w:val="1474F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2839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FD4"/>
    <w:rsid w:val="000924D7"/>
    <w:rsid w:val="003D565D"/>
    <w:rsid w:val="00A13866"/>
    <w:rsid w:val="00D34FD4"/>
    <w:rsid w:val="00FE22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E8799"/>
  <w15:docId w15:val="{3DCE89C4-6EF9-40B4-BB35-876D681E8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a">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6"/>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3"/>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8"/>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fotocasa.es" TargetMode="External"/><Relationship Id="rId18" Type="http://schemas.openxmlformats.org/officeDocument/2006/relationships/image" Target="media/image4.png"/><Relationship Id="rId26" Type="http://schemas.openxmlformats.org/officeDocument/2006/relationships/hyperlink" Target="https://profesionales.fotocasa.es/" TargetMode="External"/><Relationship Id="rId3" Type="http://schemas.openxmlformats.org/officeDocument/2006/relationships/styles" Target="styles.xml"/><Relationship Id="rId21" Type="http://schemas.openxmlformats.org/officeDocument/2006/relationships/hyperlink" Target="https://www.fotocasa.es/indice/" TargetMode="External"/><Relationship Id="rId7" Type="http://schemas.openxmlformats.org/officeDocument/2006/relationships/endnotes" Target="endnotes.xml"/><Relationship Id="rId12" Type="http://schemas.openxmlformats.org/officeDocument/2006/relationships/hyperlink" Target="https://research.fotocasa.es/" TargetMode="External"/><Relationship Id="rId17" Type="http://schemas.openxmlformats.org/officeDocument/2006/relationships/image" Target="media/image3.png"/><Relationship Id="rId25" Type="http://schemas.openxmlformats.org/officeDocument/2006/relationships/hyperlink" Target="https://www.habitaclia.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esearch.fotocasa.es/" TargetMode="External"/><Relationship Id="rId20" Type="http://schemas.openxmlformats.org/officeDocument/2006/relationships/image" Target="media/image5.png"/><Relationship Id="rId29" Type="http://schemas.openxmlformats.org/officeDocument/2006/relationships/hyperlink" Target="https://www.inmoweb.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36360.pcdn.co/wp-content/uploads/2025/11/Informe-Radiografia-en-el-mercado-de-la-vivienda-segundo-semestre-2025.pdf" TargetMode="External"/><Relationship Id="rId24" Type="http://schemas.openxmlformats.org/officeDocument/2006/relationships/hyperlink" Target="https://www.fotocasa.e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prensa.fotocasa.es" TargetMode="External"/><Relationship Id="rId28" Type="http://schemas.openxmlformats.org/officeDocument/2006/relationships/hyperlink" Target="https://get.witei.com/en/" TargetMode="External"/><Relationship Id="rId10" Type="http://schemas.openxmlformats.org/officeDocument/2006/relationships/hyperlink" Target="https://s36360.pcdn.co/wp-content/uploads/2025/11/Informe-Radiografia-en-el-mercado-de-la-vivienda-segundo-semestre-2025.pdf" TargetMode="External"/><Relationship Id="rId19" Type="http://schemas.openxmlformats.org/officeDocument/2006/relationships/hyperlink" Target="https://www.research.fotocasa.es"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youtu.be/-vT0Y02eNIc" TargetMode="External"/><Relationship Id="rId14" Type="http://schemas.openxmlformats.org/officeDocument/2006/relationships/hyperlink" Target="https://youtu.be/-vT0Y02eNIc" TargetMode="External"/><Relationship Id="rId22" Type="http://schemas.openxmlformats.org/officeDocument/2006/relationships/hyperlink" Target="https://www.research.fotocasa.es" TargetMode="External"/><Relationship Id="rId27" Type="http://schemas.openxmlformats.org/officeDocument/2006/relationships/hyperlink" Target="https://datavenues.com/" TargetMode="External"/><Relationship Id="rId30" Type="http://schemas.openxmlformats.org/officeDocument/2006/relationships/hyperlink" Target="mailto:comunicacion@fotocasa.es"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wqV02sIkn05vJKVrDvqaGHjH6Q==">CgMxLjA4AHIhMWVkNjFHS2J1d1U2enB6aXhUSDR0U1RPVnh1NXlmTmRJ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1249</Words>
  <Characters>6873</Characters>
  <Application>Microsoft Office Word</Application>
  <DocSecurity>0</DocSecurity>
  <Lines>57</Lines>
  <Paragraphs>16</Paragraphs>
  <ScaleCrop>false</ScaleCrop>
  <Company/>
  <LinksUpToDate>false</LinksUpToDate>
  <CharactersWithSpaces>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dcterms:created xsi:type="dcterms:W3CDTF">2024-02-06T13:46:00Z</dcterms:created>
  <dcterms:modified xsi:type="dcterms:W3CDTF">2025-11-04T09:34:00Z</dcterms:modified>
</cp:coreProperties>
</file>