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A8E20" w14:textId="77777777" w:rsidR="00786FCC" w:rsidRDefault="00000000">
      <w:r>
        <w:rPr>
          <w:noProof/>
        </w:rPr>
        <w:drawing>
          <wp:anchor distT="0" distB="0" distL="114300" distR="114300" simplePos="0" relativeHeight="251658240" behindDoc="0" locked="0" layoutInCell="1" hidden="0" allowOverlap="1" wp14:anchorId="6AF2F31E" wp14:editId="0565A390">
            <wp:simplePos x="0" y="0"/>
            <wp:positionH relativeFrom="column">
              <wp:posOffset>-1080120</wp:posOffset>
            </wp:positionH>
            <wp:positionV relativeFrom="paragraph">
              <wp:posOffset>-654670</wp:posOffset>
            </wp:positionV>
            <wp:extent cx="7581265" cy="1019175"/>
            <wp:effectExtent l="0" t="0" r="0" b="0"/>
            <wp:wrapNone/>
            <wp:docPr id="20668166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B9B2822" w14:textId="77777777" w:rsidR="00786FCC" w:rsidRDefault="00786FCC">
      <w:pPr>
        <w:jc w:val="right"/>
        <w:rPr>
          <w:rFonts w:ascii="National" w:eastAsia="National" w:hAnsi="National" w:cs="National"/>
          <w:color w:val="303AB2"/>
          <w:sz w:val="36"/>
          <w:szCs w:val="36"/>
        </w:rPr>
      </w:pPr>
    </w:p>
    <w:p w14:paraId="3A5F8E46" w14:textId="77777777" w:rsidR="00786FCC" w:rsidRDefault="00786FCC">
      <w:pPr>
        <w:rPr>
          <w:rFonts w:ascii="National" w:eastAsia="National" w:hAnsi="National" w:cs="National"/>
          <w:color w:val="303AB2"/>
          <w:sz w:val="18"/>
          <w:szCs w:val="18"/>
        </w:rPr>
      </w:pPr>
    </w:p>
    <w:p w14:paraId="394A64EA" w14:textId="77777777" w:rsidR="00786FCC"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LOS JÓVENES Y EL MERCADO DE LA VIVIENDA EN 2025</w:t>
      </w:r>
    </w:p>
    <w:p w14:paraId="760E46F0" w14:textId="77777777" w:rsidR="00786FCC"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Mujer soltera, de 27 años y con ingresos medios: el perfil del demandante joven de vivienda de alquiler en España</w:t>
      </w:r>
    </w:p>
    <w:p w14:paraId="1CC44E8A" w14:textId="77777777" w:rsidR="00786FCC" w:rsidRDefault="00786FCC">
      <w:pPr>
        <w:jc w:val="center"/>
        <w:rPr>
          <w:rFonts w:ascii="Open Sans" w:eastAsia="Open Sans" w:hAnsi="Open Sans" w:cs="Open Sans"/>
          <w:color w:val="303AB2"/>
        </w:rPr>
      </w:pPr>
    </w:p>
    <w:p w14:paraId="3205C698" w14:textId="77777777" w:rsidR="00786FCC"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perfil del comprador de vivienda es el de un hombre de 29 años, soltero y con unos ingresos más elevados</w:t>
      </w:r>
    </w:p>
    <w:p w14:paraId="22A0937B" w14:textId="77777777" w:rsidR="00786FCC"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nivel socioeconómico y el porcentaje de empleados es más alto entre los demandantes de vivienda en propiedad que entre los inquilinos</w:t>
      </w:r>
    </w:p>
    <w:p w14:paraId="05469C7F" w14:textId="77777777" w:rsidR="00786FCC"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precio, la proximidad de servicios y el número de habitaciones son los tres factores que más valoran los jóvenes en la búsqueda de vivienda</w:t>
      </w:r>
    </w:p>
    <w:p w14:paraId="00EE5A34" w14:textId="77777777" w:rsidR="00786FCC" w:rsidRDefault="00000000">
      <w:pPr>
        <w:numPr>
          <w:ilvl w:val="0"/>
          <w:numId w:val="1"/>
        </w:numPr>
        <w:spacing w:line="276" w:lineRule="auto"/>
        <w:jc w:val="both"/>
        <w:rPr>
          <w:rFonts w:ascii="Open Sans Light" w:eastAsia="Open Sans Light" w:hAnsi="Open Sans Light" w:cs="Open Sans Light"/>
          <w:b/>
          <w:color w:val="303AB2"/>
        </w:rPr>
      </w:pPr>
      <w:hyperlink r:id="rId9">
        <w:r>
          <w:rPr>
            <w:rFonts w:ascii="Open Sans Light" w:eastAsia="Open Sans Light" w:hAnsi="Open Sans Light" w:cs="Open Sans Light"/>
            <w:b/>
            <w:color w:val="0000FF"/>
            <w:u w:val="single"/>
          </w:rPr>
          <w:t>Aquí se puede descargar el informe completo “</w:t>
        </w:r>
      </w:hyperlink>
      <w:hyperlink r:id="rId10">
        <w:r>
          <w:rPr>
            <w:rFonts w:ascii="Open Sans Light" w:eastAsia="Open Sans Light" w:hAnsi="Open Sans Light" w:cs="Open Sans Light"/>
            <w:b/>
            <w:i/>
            <w:color w:val="0000FF"/>
            <w:u w:val="single"/>
          </w:rPr>
          <w:t>Los jóvenes y el mercado de la vivienda en 2025</w:t>
        </w:r>
      </w:hyperlink>
      <w:hyperlink r:id="rId11">
        <w:r>
          <w:rPr>
            <w:rFonts w:ascii="Open Sans Light" w:eastAsia="Open Sans Light" w:hAnsi="Open Sans Light" w:cs="Open Sans Light"/>
            <w:b/>
            <w:color w:val="0000FF"/>
            <w:u w:val="single"/>
          </w:rPr>
          <w:t>”</w:t>
        </w:r>
      </w:hyperlink>
    </w:p>
    <w:p w14:paraId="53073ADB" w14:textId="77777777" w:rsidR="00786FCC" w:rsidRDefault="00786FCC">
      <w:pPr>
        <w:spacing w:line="276" w:lineRule="auto"/>
        <w:ind w:left="720"/>
        <w:jc w:val="both"/>
        <w:rPr>
          <w:rFonts w:ascii="Open Sans Light" w:eastAsia="Open Sans Light" w:hAnsi="Open Sans Light" w:cs="Open Sans Light"/>
          <w:b/>
          <w:color w:val="303AB2"/>
        </w:rPr>
      </w:pPr>
    </w:p>
    <w:p w14:paraId="5769C5B7" w14:textId="698416D5" w:rsidR="00786FC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3F01D0">
        <w:rPr>
          <w:rFonts w:ascii="Open Sans Light" w:eastAsia="Open Sans Light" w:hAnsi="Open Sans Light" w:cs="Open Sans Light"/>
          <w:b/>
          <w:color w:val="303AB2"/>
        </w:rPr>
        <w:t>7</w:t>
      </w:r>
      <w:r>
        <w:rPr>
          <w:rFonts w:ascii="Open Sans Light" w:eastAsia="Open Sans Light" w:hAnsi="Open Sans Light" w:cs="Open Sans Light"/>
          <w:b/>
          <w:color w:val="303AB2"/>
        </w:rPr>
        <w:t xml:space="preserve"> de noviembre de 2025</w:t>
      </w:r>
    </w:p>
    <w:p w14:paraId="0FD2E0D7" w14:textId="77777777" w:rsidR="00786FCC" w:rsidRDefault="00786FCC">
      <w:pPr>
        <w:pBdr>
          <w:top w:val="nil"/>
          <w:left w:val="nil"/>
          <w:bottom w:val="nil"/>
          <w:right w:val="nil"/>
          <w:between w:val="nil"/>
        </w:pBdr>
        <w:spacing w:line="276" w:lineRule="auto"/>
        <w:jc w:val="both"/>
        <w:rPr>
          <w:rFonts w:ascii="Open Sans" w:eastAsia="Open Sans" w:hAnsi="Open Sans" w:cs="Open Sans"/>
        </w:rPr>
      </w:pPr>
    </w:p>
    <w:p w14:paraId="646B0B59" w14:textId="77777777" w:rsidR="00FB6FBA" w:rsidRDefault="00000000">
      <w:pPr>
        <w:spacing w:line="276" w:lineRule="auto"/>
        <w:jc w:val="both"/>
        <w:rPr>
          <w:rFonts w:ascii="Open Sans" w:eastAsia="Open Sans" w:hAnsi="Open Sans" w:cs="Open Sans"/>
        </w:rPr>
      </w:pPr>
      <w:r>
        <w:rPr>
          <w:rFonts w:ascii="Open Sans" w:eastAsia="Open Sans" w:hAnsi="Open Sans" w:cs="Open Sans"/>
        </w:rPr>
        <w:t xml:space="preserve">El perfil de los jóvenes que participan en el mercado de la vivienda en España varía de forma significativa en función de si buscan alquilar o comprar. En el caso de los inquilinos menores de 35 años, este perfil se asocia al de una mujer de 27 años, soltera y con unos ingresos inferiores a los 2.000 euros al mes. Por su lado, en el caso de los jóvenes compradores, el perfil se ajusta al de un hombre de 29 años, soltero y con unos ingresos mensuales superiores a los 2.500 euros (de hecho, el grupo más numeroso es el que cobra entre 2.500 y 3.000 euros al mes). </w:t>
      </w:r>
    </w:p>
    <w:p w14:paraId="6E81F2E2" w14:textId="77777777" w:rsidR="00FB6FBA" w:rsidRDefault="00FB6FBA">
      <w:pPr>
        <w:spacing w:line="276" w:lineRule="auto"/>
        <w:jc w:val="both"/>
        <w:rPr>
          <w:rFonts w:ascii="Open Sans" w:eastAsia="Open Sans" w:hAnsi="Open Sans" w:cs="Open Sans"/>
        </w:rPr>
      </w:pPr>
    </w:p>
    <w:p w14:paraId="6073AE5F" w14:textId="0A4FAD2F" w:rsidR="00786FCC" w:rsidRPr="00FB6FBA" w:rsidRDefault="00000000">
      <w:pPr>
        <w:spacing w:line="276" w:lineRule="auto"/>
        <w:jc w:val="both"/>
      </w:pPr>
      <w:r>
        <w:rPr>
          <w:rFonts w:ascii="Open Sans" w:eastAsia="Open Sans" w:hAnsi="Open Sans" w:cs="Open Sans"/>
        </w:rPr>
        <w:t xml:space="preserve">Además, entre los demandantes de vivienda en propiedad, existe un mayor porcentaje de jóvenes con empleo (88%) que entre los potenciales inquilinos (64%). Por el contrario, entre los demandantes de alquiler, hay un mayor número de parados (14%) y de estudiantes (17%), según las cifras del </w:t>
      </w:r>
      <w:r>
        <w:rPr>
          <w:rFonts w:ascii="Open Sans" w:eastAsia="Open Sans" w:hAnsi="Open Sans" w:cs="Open Sans"/>
          <w:b/>
        </w:rPr>
        <w:t>informe “</w:t>
      </w:r>
      <w:hyperlink r:id="rId12">
        <w:r>
          <w:rPr>
            <w:rFonts w:ascii="Open Sans" w:eastAsia="Open Sans" w:hAnsi="Open Sans" w:cs="Open Sans"/>
            <w:b/>
            <w:i/>
            <w:color w:val="0000FF"/>
            <w:u w:val="single"/>
          </w:rPr>
          <w:t>Los jóvenes y el mercado de la vivienda en 2025</w:t>
        </w:r>
      </w:hyperlink>
      <w:r>
        <w:rPr>
          <w:rFonts w:ascii="Open Sans" w:eastAsia="Open Sans" w:hAnsi="Open Sans" w:cs="Open Sans"/>
          <w:b/>
        </w:rPr>
        <w:t xml:space="preserve">”, elaborado por </w:t>
      </w:r>
      <w:hyperlink r:id="rId13">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t>.</w:t>
      </w:r>
    </w:p>
    <w:p w14:paraId="50F549F4" w14:textId="77777777" w:rsidR="00786FCC" w:rsidRDefault="00000000">
      <w:pPr>
        <w:spacing w:line="276" w:lineRule="auto"/>
        <w:jc w:val="both"/>
        <w:rPr>
          <w:rFonts w:ascii="Open Sans" w:eastAsia="Open Sans" w:hAnsi="Open Sans" w:cs="Open Sans"/>
        </w:rPr>
      </w:pPr>
      <w:r>
        <w:rPr>
          <w:noProof/>
        </w:rPr>
        <w:lastRenderedPageBreak/>
        <w:drawing>
          <wp:inline distT="0" distB="0" distL="0" distR="0" wp14:anchorId="274080E3" wp14:editId="709D596E">
            <wp:extent cx="5760720" cy="3380740"/>
            <wp:effectExtent l="0" t="0" r="0" b="0"/>
            <wp:docPr id="2066816614" name="image4.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10;&#10;El contenido generado por IA puede ser incorrecto."/>
                    <pic:cNvPicPr preferRelativeResize="0"/>
                  </pic:nvPicPr>
                  <pic:blipFill>
                    <a:blip r:embed="rId14"/>
                    <a:srcRect/>
                    <a:stretch>
                      <a:fillRect/>
                    </a:stretch>
                  </pic:blipFill>
                  <pic:spPr>
                    <a:xfrm>
                      <a:off x="0" y="0"/>
                      <a:ext cx="5760720" cy="3380740"/>
                    </a:xfrm>
                    <a:prstGeom prst="rect">
                      <a:avLst/>
                    </a:prstGeom>
                    <a:ln/>
                  </pic:spPr>
                </pic:pic>
              </a:graphicData>
            </a:graphic>
          </wp:inline>
        </w:drawing>
      </w:r>
    </w:p>
    <w:p w14:paraId="6D22EE81" w14:textId="77777777" w:rsidR="00786FCC" w:rsidRDefault="00786FCC">
      <w:pPr>
        <w:spacing w:line="276" w:lineRule="auto"/>
        <w:jc w:val="both"/>
        <w:rPr>
          <w:rFonts w:ascii="Open Sans" w:eastAsia="Open Sans" w:hAnsi="Open Sans" w:cs="Open Sans"/>
        </w:rPr>
      </w:pPr>
    </w:p>
    <w:p w14:paraId="67D1BE45" w14:textId="77777777" w:rsidR="003F01D0" w:rsidRDefault="003F01D0">
      <w:pPr>
        <w:spacing w:line="276" w:lineRule="auto"/>
        <w:jc w:val="both"/>
        <w:rPr>
          <w:rFonts w:ascii="Open Sans" w:eastAsia="Open Sans" w:hAnsi="Open Sans" w:cs="Open Sans"/>
        </w:rPr>
      </w:pPr>
    </w:p>
    <w:p w14:paraId="7024B509" w14:textId="76095AEC" w:rsidR="00786FCC" w:rsidRDefault="00000000">
      <w:pPr>
        <w:spacing w:line="276" w:lineRule="auto"/>
        <w:jc w:val="both"/>
        <w:rPr>
          <w:rFonts w:ascii="Open Sans" w:eastAsia="Open Sans" w:hAnsi="Open Sans" w:cs="Open Sans"/>
          <w:b/>
        </w:rPr>
      </w:pPr>
      <w:r>
        <w:rPr>
          <w:rFonts w:ascii="Open Sans" w:eastAsia="Open Sans" w:hAnsi="Open Sans" w:cs="Open Sans"/>
        </w:rPr>
        <w:t>“Cuando analizamos la figura de los jóvenes demandantes de vivienda detectamos dos perfiles. Por un lado, tenemos a los demandantes de alquiler, con ingresos más ajustados y mayor presencia de estudiantes y desempleados, lo que refleja la vulnerabilidad económica de este colectivo y</w:t>
      </w:r>
      <w:r w:rsidR="003F01D0">
        <w:rPr>
          <w:rFonts w:ascii="Open Sans" w:eastAsia="Open Sans" w:hAnsi="Open Sans" w:cs="Open Sans"/>
        </w:rPr>
        <w:t xml:space="preserve">, </w:t>
      </w:r>
      <w:r>
        <w:rPr>
          <w:rFonts w:ascii="Open Sans" w:eastAsia="Open Sans" w:hAnsi="Open Sans" w:cs="Open Sans"/>
        </w:rPr>
        <w:t xml:space="preserve">por otro, los compradores, que muestran un nivel socioeconómico más alto y una mayor estabilidad laboral. Sin embargo, lo que sí es común a todos es que el precio sigue siendo el gran obstáculo de acceso. Más del 30% consideran fundamental que el coste de la vivienda encaje en su presupuesto, lo que indica la enorme sensibilidad de los jóvenes a las subidas de precios. La consecuencia de un mercado cada vez más tensionado es que la búsqueda de vivienda se convierte en un proceso cada vez más condicionado por factores económicos y menos por preferencias de estilo de vida”, </w:t>
      </w:r>
      <w:r>
        <w:rPr>
          <w:rFonts w:ascii="Open Sans" w:eastAsia="Open Sans" w:hAnsi="Open Sans" w:cs="Open Sans"/>
          <w:b/>
        </w:rPr>
        <w:t xml:space="preserve">explica María Matos, directora de Estudios y portavoz de </w:t>
      </w:r>
      <w:hyperlink r:id="rId15">
        <w:r>
          <w:rPr>
            <w:rFonts w:ascii="Open Sans" w:eastAsia="Open Sans" w:hAnsi="Open Sans" w:cs="Open Sans"/>
            <w:b/>
            <w:color w:val="1155CC"/>
            <w:u w:val="single"/>
          </w:rPr>
          <w:t>Fotocasa</w:t>
        </w:r>
      </w:hyperlink>
      <w:r>
        <w:rPr>
          <w:rFonts w:ascii="Open Sans" w:eastAsia="Open Sans" w:hAnsi="Open Sans" w:cs="Open Sans"/>
          <w:b/>
        </w:rPr>
        <w:t>.</w:t>
      </w:r>
    </w:p>
    <w:p w14:paraId="4B4202F2" w14:textId="77777777" w:rsidR="00786FCC" w:rsidRDefault="00000000">
      <w:pPr>
        <w:spacing w:line="276" w:lineRule="auto"/>
        <w:jc w:val="both"/>
      </w:pPr>
      <w:r>
        <w:rPr>
          <w:noProof/>
        </w:rPr>
        <w:lastRenderedPageBreak/>
        <w:drawing>
          <wp:inline distT="0" distB="0" distL="0" distR="0" wp14:anchorId="5F7CD06A" wp14:editId="52544B4C">
            <wp:extent cx="5760720" cy="3515995"/>
            <wp:effectExtent l="0" t="0" r="0" b="0"/>
            <wp:docPr id="2066816612" name="image3.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10;&#10;El contenido generado por IA puede ser incorrecto."/>
                    <pic:cNvPicPr preferRelativeResize="0"/>
                  </pic:nvPicPr>
                  <pic:blipFill>
                    <a:blip r:embed="rId16"/>
                    <a:srcRect/>
                    <a:stretch>
                      <a:fillRect/>
                    </a:stretch>
                  </pic:blipFill>
                  <pic:spPr>
                    <a:xfrm>
                      <a:off x="0" y="0"/>
                      <a:ext cx="5760720" cy="3515995"/>
                    </a:xfrm>
                    <a:prstGeom prst="rect">
                      <a:avLst/>
                    </a:prstGeom>
                    <a:ln/>
                  </pic:spPr>
                </pic:pic>
              </a:graphicData>
            </a:graphic>
          </wp:inline>
        </w:drawing>
      </w:r>
    </w:p>
    <w:p w14:paraId="3E77CE50" w14:textId="77777777" w:rsidR="00786FCC" w:rsidRDefault="00786FCC">
      <w:pPr>
        <w:spacing w:line="276" w:lineRule="auto"/>
        <w:jc w:val="both"/>
      </w:pPr>
    </w:p>
    <w:p w14:paraId="1532A915" w14:textId="77777777" w:rsidR="00786FCC"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El precio y la proximidad de servicios, factores más determinantes</w:t>
      </w:r>
    </w:p>
    <w:p w14:paraId="538D522F" w14:textId="77777777" w:rsidR="00786FCC" w:rsidRDefault="00786FCC">
      <w:pPr>
        <w:spacing w:line="276" w:lineRule="auto"/>
        <w:jc w:val="both"/>
        <w:rPr>
          <w:rFonts w:ascii="Open Sans" w:eastAsia="Open Sans" w:hAnsi="Open Sans" w:cs="Open Sans"/>
        </w:rPr>
      </w:pPr>
    </w:p>
    <w:p w14:paraId="6F96C0D2" w14:textId="77777777" w:rsidR="00786FCC" w:rsidRDefault="00000000">
      <w:pPr>
        <w:spacing w:line="276" w:lineRule="auto"/>
        <w:jc w:val="both"/>
        <w:rPr>
          <w:rFonts w:ascii="Open Sans" w:eastAsia="Open Sans" w:hAnsi="Open Sans" w:cs="Open Sans"/>
        </w:rPr>
      </w:pPr>
      <w:r>
        <w:rPr>
          <w:rFonts w:ascii="Open Sans" w:eastAsia="Open Sans" w:hAnsi="Open Sans" w:cs="Open Sans"/>
        </w:rPr>
        <w:t xml:space="preserve">Si se observan cuáles son los atributos más destacables de una vivienda entre los jóvenes demandantes, </w:t>
      </w:r>
      <w:r>
        <w:rPr>
          <w:rFonts w:ascii="Open Sans" w:eastAsia="Open Sans" w:hAnsi="Open Sans" w:cs="Open Sans"/>
          <w:b/>
        </w:rPr>
        <w:t>el precio se sitúa claramente como el factor más decisivo: el 83% de los encuestados asegura que el coste de la vivienda debe ajustarse a su presupuesto</w:t>
      </w:r>
      <w:r>
        <w:rPr>
          <w:rFonts w:ascii="Open Sans" w:eastAsia="Open Sans" w:hAnsi="Open Sans" w:cs="Open Sans"/>
        </w:rPr>
        <w:t>, otorgándole una valoración media de 8,3 puntos sobre 10, una puntuación que se muestra muy estable en el tiempo. Tras la cuestión económica, la proximidad de servicios es el segundo aspecto más valorado. Tres de cada cuatro jóvenes lo mencionan como prioritario, y su importancia ha crecido en el último año, pasando de 7,2 a 7,5 puntos en la escala de valoración. En tercer lugar, el 69% de los demandantes subraya el número de habitaciones como un elemento fundamental en su decisión de búsqueda (un aspecto que recibe una valoración de 7,2).</w:t>
      </w:r>
    </w:p>
    <w:p w14:paraId="057019C6" w14:textId="77777777" w:rsidR="00786FCC" w:rsidRDefault="00786FCC">
      <w:pPr>
        <w:spacing w:line="276" w:lineRule="auto"/>
        <w:jc w:val="both"/>
        <w:rPr>
          <w:rFonts w:ascii="Open Sans" w:eastAsia="Open Sans" w:hAnsi="Open Sans" w:cs="Open Sans"/>
        </w:rPr>
      </w:pPr>
    </w:p>
    <w:p w14:paraId="3899808B" w14:textId="77777777" w:rsidR="00786FCC" w:rsidRDefault="00000000">
      <w:pPr>
        <w:spacing w:line="276" w:lineRule="auto"/>
        <w:jc w:val="both"/>
        <w:rPr>
          <w:rFonts w:ascii="Open Sans" w:eastAsia="Open Sans" w:hAnsi="Open Sans" w:cs="Open Sans"/>
        </w:rPr>
      </w:pPr>
      <w:r>
        <w:rPr>
          <w:rFonts w:ascii="Open Sans" w:eastAsia="Open Sans" w:hAnsi="Open Sans" w:cs="Open Sans"/>
        </w:rPr>
        <w:t xml:space="preserve">Otros aspectos también notablemente valorados por los jóvenes españoles en la búsqueda de una vivienda son, por ejemplo, </w:t>
      </w:r>
      <w:r>
        <w:rPr>
          <w:rFonts w:ascii="Open Sans" w:eastAsia="Open Sans" w:hAnsi="Open Sans" w:cs="Open Sans"/>
          <w:b/>
        </w:rPr>
        <w:t>que no tengan que invertir dinero en reformas (un punto que obtiene una valoración de 7,2), que el barrio y los vecinos sean de su agrado (7,0), que tenga buenas conexiones de transporte público (6,9)</w:t>
      </w:r>
      <w:r>
        <w:rPr>
          <w:rFonts w:ascii="Open Sans" w:eastAsia="Open Sans" w:hAnsi="Open Sans" w:cs="Open Sans"/>
        </w:rPr>
        <w:t xml:space="preserve">, que esté cerca del centro de trabajo o de estudios (6,9), la distribución del inmueble (6,8), o los materiales de la vivienda (6,8). En el extremo opuesto, hay características que apenas influyen en la toma de decisiones de los </w:t>
      </w:r>
      <w:r>
        <w:rPr>
          <w:rFonts w:ascii="Open Sans" w:eastAsia="Open Sans" w:hAnsi="Open Sans" w:cs="Open Sans"/>
        </w:rPr>
        <w:lastRenderedPageBreak/>
        <w:t>jóvenes. La presencia de piscina continúa siendo el atributo menos relevante, junto con la existencia de trastero o la cercanía de colegios. Otras variables como la disponibilidad de zonas comunes, que la vivienda esté en una zona en crecimiento o que sea de nueva construcción también reciben valoraciones bajas.</w:t>
      </w:r>
    </w:p>
    <w:p w14:paraId="73E53680" w14:textId="77777777" w:rsidR="00786FCC" w:rsidRDefault="00786FCC">
      <w:pPr>
        <w:spacing w:line="276" w:lineRule="auto"/>
        <w:jc w:val="both"/>
        <w:rPr>
          <w:rFonts w:ascii="Open Sans" w:eastAsia="Open Sans" w:hAnsi="Open Sans" w:cs="Open Sans"/>
        </w:rPr>
      </w:pPr>
    </w:p>
    <w:p w14:paraId="3B68BCD1" w14:textId="77777777" w:rsidR="00786FCC" w:rsidRDefault="00786FCC">
      <w:pPr>
        <w:spacing w:line="276" w:lineRule="auto"/>
        <w:jc w:val="right"/>
        <w:rPr>
          <w:rFonts w:ascii="Open Sans Light" w:eastAsia="Open Sans Light" w:hAnsi="Open Sans Light" w:cs="Open Sans Light"/>
          <w:b/>
          <w:color w:val="303AB2"/>
        </w:rPr>
      </w:pPr>
    </w:p>
    <w:p w14:paraId="7E452339" w14:textId="77777777" w:rsidR="003F01D0" w:rsidRDefault="003F01D0" w:rsidP="003F01D0">
      <w:pPr>
        <w:spacing w:line="276" w:lineRule="auto"/>
        <w:ind w:right="-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D652AAF" w14:textId="77777777" w:rsidR="003F01D0" w:rsidRPr="00413AF8" w:rsidRDefault="003F01D0" w:rsidP="003F01D0">
      <w:pPr>
        <w:shd w:val="clear" w:color="auto" w:fill="FFFFFF"/>
        <w:spacing w:before="280" w:after="280" w:line="276" w:lineRule="auto"/>
        <w:ind w:right="-1"/>
        <w:jc w:val="both"/>
        <w:rPr>
          <w:rFonts w:ascii="Open Sans" w:eastAsia="Open Sans" w:hAnsi="Open Sans" w:cs="Open Sans"/>
          <w:sz w:val="22"/>
          <w:szCs w:val="22"/>
        </w:rPr>
      </w:pPr>
      <w:r w:rsidRPr="00413AF8">
        <w:rPr>
          <w:rFonts w:ascii="Open Sans" w:eastAsia="Open Sans" w:hAnsi="Open Sans" w:cs="Open Sans"/>
          <w:sz w:val="22"/>
          <w:szCs w:val="22"/>
        </w:rPr>
        <w:t>Fotocasa es uno de los principales portales inmobiliarios de España, con una amplia oferta de viviendas de segund</w:t>
      </w:r>
      <w:r>
        <w:rPr>
          <w:rFonts w:ascii="Open Sans" w:eastAsia="Open Sans" w:hAnsi="Open Sans" w:cs="Open Sans"/>
          <w:sz w:val="22"/>
          <w:szCs w:val="22"/>
        </w:rPr>
        <w:t>a</w:t>
      </w:r>
      <w:r w:rsidRPr="00413AF8">
        <w:rPr>
          <w:rFonts w:ascii="Open Sans" w:eastAsia="Open Sans" w:hAnsi="Open Sans" w:cs="Open Sans"/>
          <w:sz w:val="22"/>
          <w:szCs w:val="22"/>
        </w:rPr>
        <w:t xml:space="preserve"> mano, promociones de obra nueva y alquileres</w:t>
      </w:r>
      <w:r>
        <w:rPr>
          <w:rFonts w:ascii="Open Sans" w:eastAsia="Open Sans" w:hAnsi="Open Sans" w:cs="Open Sans"/>
          <w:sz w:val="22"/>
          <w:szCs w:val="22"/>
        </w:rPr>
        <w:t xml:space="preserve"> que pertenece a </w:t>
      </w:r>
      <w:r w:rsidRPr="00413AF8">
        <w:rPr>
          <w:rFonts w:ascii="Open Sans" w:eastAsia="Open Sans" w:hAnsi="Open Sans" w:cs="Open Sans"/>
          <w:b/>
          <w:bCs/>
          <w:sz w:val="22"/>
          <w:szCs w:val="22"/>
        </w:rPr>
        <w:t xml:space="preserve">Fotocasa </w:t>
      </w:r>
      <w:proofErr w:type="spellStart"/>
      <w:r w:rsidRPr="00413AF8">
        <w:rPr>
          <w:rFonts w:ascii="Open Sans" w:eastAsia="Open Sans" w:hAnsi="Open Sans" w:cs="Open Sans"/>
          <w:b/>
          <w:bCs/>
          <w:sz w:val="22"/>
          <w:szCs w:val="22"/>
        </w:rPr>
        <w:t>Group</w:t>
      </w:r>
      <w:proofErr w:type="spellEnd"/>
      <w:r>
        <w:rPr>
          <w:rFonts w:ascii="Open Sans" w:eastAsia="Open Sans" w:hAnsi="Open Sans" w:cs="Open Sans"/>
          <w:sz w:val="22"/>
          <w:szCs w:val="22"/>
        </w:rPr>
        <w:t xml:space="preserve">. </w:t>
      </w:r>
    </w:p>
    <w:p w14:paraId="6D23417B" w14:textId="77777777" w:rsidR="003F01D0" w:rsidRPr="00413AF8" w:rsidRDefault="003F01D0" w:rsidP="003F01D0">
      <w:pPr>
        <w:shd w:val="clear" w:color="auto" w:fill="FFFFFF"/>
        <w:spacing w:before="280" w:after="280" w:line="276" w:lineRule="auto"/>
        <w:ind w:right="-1"/>
        <w:jc w:val="both"/>
        <w:rPr>
          <w:rFonts w:ascii="Open Sans" w:eastAsia="Open Sans" w:hAnsi="Open Sans" w:cs="Open Sans"/>
          <w:sz w:val="22"/>
          <w:szCs w:val="22"/>
        </w:rPr>
      </w:pPr>
      <w:r w:rsidRPr="00413AF8">
        <w:rPr>
          <w:rFonts w:ascii="Open Sans" w:eastAsia="Open Sans" w:hAnsi="Open Sans" w:cs="Open Sans"/>
          <w:sz w:val="22"/>
          <w:szCs w:val="22"/>
        </w:rPr>
        <w:t xml:space="preserve">Mensualmente, elabora el </w:t>
      </w:r>
      <w:hyperlink r:id="rId17">
        <w:r w:rsidRPr="00413AF8">
          <w:rPr>
            <w:rFonts w:ascii="Open Sans" w:eastAsia="Open Sans" w:hAnsi="Open Sans" w:cs="Open Sans"/>
            <w:b/>
            <w:bCs/>
            <w:color w:val="0000FF"/>
            <w:sz w:val="22"/>
            <w:szCs w:val="22"/>
            <w:u w:val="single"/>
          </w:rPr>
          <w:t>Índice inmobiliario Fotocasa</w:t>
        </w:r>
      </w:hyperlink>
      <w:r w:rsidRPr="00413AF8">
        <w:rPr>
          <w:rFonts w:ascii="Open Sans" w:eastAsia="Open Sans" w:hAnsi="Open Sans" w:cs="Open Sans"/>
          <w:sz w:val="22"/>
          <w:szCs w:val="22"/>
        </w:rPr>
        <w:t>, un informe de referencia que analiza la evolución del precio medio de la vivienda en España, tanto en venta como en alquiler.</w:t>
      </w:r>
    </w:p>
    <w:p w14:paraId="7C93F794" w14:textId="77777777" w:rsidR="003F01D0" w:rsidRPr="00413AF8" w:rsidRDefault="003F01D0" w:rsidP="003F01D0">
      <w:pPr>
        <w:shd w:val="clear" w:color="auto" w:fill="FFFFFF"/>
        <w:spacing w:before="280" w:after="280" w:line="276" w:lineRule="auto"/>
        <w:ind w:right="-1"/>
        <w:jc w:val="both"/>
        <w:rPr>
          <w:rFonts w:ascii="Open Sans" w:eastAsia="Open Sans" w:hAnsi="Open Sans" w:cs="Open Sans"/>
          <w:sz w:val="22"/>
          <w:szCs w:val="22"/>
        </w:rPr>
      </w:pPr>
      <w:r w:rsidRPr="00413AF8">
        <w:rPr>
          <w:rFonts w:ascii="Open Sans" w:eastAsia="Open Sans" w:hAnsi="Open Sans" w:cs="Open Sans"/>
          <w:sz w:val="22"/>
          <w:szCs w:val="22"/>
        </w:rPr>
        <w:t>Desde 2017, desarrolla además estudios sociológicos bajo el sell</w:t>
      </w:r>
      <w:r>
        <w:rPr>
          <w:rFonts w:ascii="Open Sans" w:eastAsia="Open Sans" w:hAnsi="Open Sans" w:cs="Open Sans"/>
          <w:sz w:val="22"/>
          <w:szCs w:val="22"/>
        </w:rPr>
        <w:t xml:space="preserve">o </w:t>
      </w:r>
      <w:hyperlink r:id="rId18" w:history="1">
        <w:r w:rsidRPr="00413AF8">
          <w:rPr>
            <w:rFonts w:ascii="Open Sans" w:hAnsi="Open Sans" w:cs="Open Sans"/>
            <w:b/>
            <w:bCs/>
            <w:color w:val="0000FF"/>
            <w:sz w:val="22"/>
            <w:szCs w:val="22"/>
            <w:u w:val="single"/>
          </w:rPr>
          <w:t xml:space="preserve">Fotocasa </w:t>
        </w:r>
        <w:proofErr w:type="spellStart"/>
        <w:r w:rsidRPr="00413AF8">
          <w:rPr>
            <w:rFonts w:ascii="Open Sans" w:hAnsi="Open Sans" w:cs="Open Sans"/>
            <w:b/>
            <w:bCs/>
            <w:color w:val="0000FF"/>
            <w:sz w:val="22"/>
            <w:szCs w:val="22"/>
            <w:u w:val="single"/>
          </w:rPr>
          <w:t>Research</w:t>
        </w:r>
        <w:proofErr w:type="spellEnd"/>
      </w:hyperlink>
      <w:r w:rsidRPr="00413AF8">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538DD82F" w14:textId="77777777" w:rsidR="003F01D0" w:rsidRDefault="003F01D0" w:rsidP="003F01D0">
      <w:pPr>
        <w:shd w:val="clear" w:color="auto" w:fill="FFFFFF"/>
        <w:spacing w:before="280" w:after="280" w:line="276" w:lineRule="auto"/>
        <w:ind w:right="-1"/>
        <w:jc w:val="both"/>
        <w:rPr>
          <w:rFonts w:ascii="Open Sans" w:eastAsia="Open Sans" w:hAnsi="Open Sans" w:cs="Open Sans"/>
          <w:sz w:val="22"/>
          <w:szCs w:val="22"/>
        </w:rPr>
      </w:pPr>
      <w:r w:rsidRPr="00413AF8">
        <w:rPr>
          <w:rFonts w:ascii="Open Sans" w:eastAsia="Open Sans" w:hAnsi="Open Sans" w:cs="Open Sans"/>
          <w:sz w:val="22"/>
          <w:szCs w:val="22"/>
        </w:rPr>
        <w:t>Toda la información y los últimos comunicados están disponibles en su</w:t>
      </w:r>
      <w:r>
        <w:rPr>
          <w:rFonts w:ascii="Open Sans" w:eastAsia="Open Sans" w:hAnsi="Open Sans" w:cs="Open Sans"/>
          <w:sz w:val="22"/>
          <w:szCs w:val="22"/>
        </w:rPr>
        <w:t xml:space="preserve"> </w:t>
      </w:r>
      <w:hyperlink r:id="rId19">
        <w:r w:rsidRPr="00413AF8">
          <w:rPr>
            <w:rFonts w:ascii="Open Sans" w:eastAsia="Open Sans" w:hAnsi="Open Sans" w:cs="Open Sans"/>
            <w:b/>
            <w:bCs/>
            <w:color w:val="0000FF"/>
            <w:sz w:val="22"/>
            <w:szCs w:val="22"/>
            <w:u w:val="single"/>
          </w:rPr>
          <w:t>Sala de Prensa</w:t>
        </w:r>
      </w:hyperlink>
    </w:p>
    <w:p w14:paraId="03AB60D0" w14:textId="77777777" w:rsidR="003F01D0" w:rsidRDefault="003F01D0" w:rsidP="003F01D0">
      <w:pPr>
        <w:spacing w:line="276" w:lineRule="auto"/>
        <w:ind w:right="-1"/>
        <w:rPr>
          <w:rFonts w:ascii="Open Sans Light" w:eastAsia="Open Sans Light" w:hAnsi="Open Sans Light" w:cs="Open Sans Light"/>
          <w:b/>
          <w:color w:val="303AB2"/>
        </w:rPr>
      </w:pPr>
    </w:p>
    <w:p w14:paraId="60ADC7F4" w14:textId="77777777" w:rsidR="003F01D0" w:rsidRDefault="003F01D0" w:rsidP="003F01D0">
      <w:pPr>
        <w:spacing w:line="276" w:lineRule="auto"/>
        <w:ind w:right="-1"/>
        <w:rPr>
          <w:rFonts w:ascii="Open Sans Light" w:eastAsia="Open Sans Light" w:hAnsi="Open Sans Light" w:cs="Open Sans Light"/>
          <w:b/>
          <w:color w:val="303AB2"/>
        </w:rPr>
      </w:pPr>
    </w:p>
    <w:p w14:paraId="05DCC4EB" w14:textId="77777777" w:rsidR="003F01D0" w:rsidRDefault="003F01D0" w:rsidP="003F01D0">
      <w:pPr>
        <w:spacing w:line="276" w:lineRule="auto"/>
        <w:ind w:right="-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Fotocasa </w:t>
      </w:r>
      <w:proofErr w:type="spellStart"/>
      <w:r>
        <w:rPr>
          <w:rFonts w:ascii="Open Sans Light" w:eastAsia="Open Sans Light" w:hAnsi="Open Sans Light" w:cs="Open Sans Light"/>
          <w:b/>
          <w:color w:val="303AB2"/>
        </w:rPr>
        <w:t>Group</w:t>
      </w:r>
      <w:proofErr w:type="spellEnd"/>
    </w:p>
    <w:p w14:paraId="017B26B8" w14:textId="77777777" w:rsidR="003F01D0" w:rsidRDefault="003F01D0" w:rsidP="003F01D0">
      <w:pPr>
        <w:shd w:val="clear" w:color="auto" w:fill="FFFFFF"/>
        <w:spacing w:before="280" w:after="280" w:line="276" w:lineRule="auto"/>
        <w:jc w:val="both"/>
        <w:rPr>
          <w:rFonts w:ascii="Open Sans" w:eastAsia="Open Sans" w:hAnsi="Open Sans" w:cs="Open Sans"/>
          <w:sz w:val="22"/>
          <w:szCs w:val="22"/>
        </w:rPr>
      </w:pPr>
      <w:r w:rsidRPr="00AA07FC">
        <w:rPr>
          <w:rFonts w:ascii="Open Sans" w:eastAsia="Open Sans" w:hAnsi="Open Sans" w:cs="Open Sans"/>
          <w:b/>
          <w:bCs/>
          <w:sz w:val="22"/>
          <w:szCs w:val="22"/>
        </w:rPr>
        <w:t xml:space="preserve">Fotocasa </w:t>
      </w:r>
      <w:proofErr w:type="spellStart"/>
      <w:r w:rsidRPr="00AA07FC">
        <w:rPr>
          <w:rFonts w:ascii="Open Sans" w:eastAsia="Open Sans" w:hAnsi="Open Sans" w:cs="Open Sans"/>
          <w:b/>
          <w:bCs/>
          <w:sz w:val="22"/>
          <w:szCs w:val="22"/>
        </w:rPr>
        <w:t>Group</w:t>
      </w:r>
      <w:proofErr w:type="spellEnd"/>
      <w:r w:rsidRPr="00413AF8">
        <w:rPr>
          <w:rFonts w:ascii="Open Sans" w:eastAsia="Open Sans" w:hAnsi="Open Sans" w:cs="Open Sans"/>
          <w:sz w:val="22"/>
          <w:szCs w:val="22"/>
        </w:rPr>
        <w:t xml:space="preserve"> es un referente del sector inmobiliario en España, </w:t>
      </w:r>
      <w:r w:rsidRPr="00AA07FC">
        <w:rPr>
          <w:rFonts w:ascii="Open Sans" w:eastAsia="Open Sans" w:hAnsi="Open Sans" w:cs="Open Sans"/>
          <w:b/>
          <w:bCs/>
          <w:sz w:val="22"/>
          <w:szCs w:val="22"/>
        </w:rPr>
        <w:t>con más de 25 años de experiencia</w:t>
      </w:r>
      <w:r w:rsidRPr="00413AF8">
        <w:rPr>
          <w:rFonts w:ascii="Open Sans" w:eastAsia="Open Sans" w:hAnsi="Open Sans" w:cs="Open Sans"/>
          <w:sz w:val="22"/>
          <w:szCs w:val="22"/>
        </w:rPr>
        <w:t> liderando la transformación del </w:t>
      </w:r>
      <w:r w:rsidRPr="00AA07FC">
        <w:rPr>
          <w:rFonts w:ascii="Open Sans" w:eastAsia="Open Sans" w:hAnsi="Open Sans" w:cs="Open Sans"/>
          <w:sz w:val="22"/>
          <w:szCs w:val="22"/>
        </w:rPr>
        <w:t>real estate</w:t>
      </w:r>
      <w:r w:rsidRPr="00413AF8">
        <w:rPr>
          <w:rFonts w:ascii="Open Sans" w:eastAsia="Open Sans" w:hAnsi="Open Sans" w:cs="Open Sans"/>
          <w:sz w:val="22"/>
          <w:szCs w:val="22"/>
        </w:rPr>
        <w:t> a través de la innovación, los datos y la tecnología.</w:t>
      </w:r>
    </w:p>
    <w:p w14:paraId="6C890EEC" w14:textId="77777777" w:rsidR="003F01D0" w:rsidRDefault="003F01D0" w:rsidP="003F01D0">
      <w:pPr>
        <w:shd w:val="clear" w:color="auto" w:fill="FFFFFF"/>
        <w:spacing w:before="280" w:after="280" w:line="276" w:lineRule="auto"/>
        <w:jc w:val="both"/>
        <w:rPr>
          <w:rFonts w:ascii="Open Sans" w:eastAsia="Open Sans" w:hAnsi="Open Sans" w:cs="Open Sans"/>
          <w:sz w:val="22"/>
          <w:szCs w:val="22"/>
        </w:rPr>
      </w:pPr>
      <w:r w:rsidRPr="00413AF8">
        <w:rPr>
          <w:rFonts w:ascii="Open Sans" w:eastAsia="Open Sans" w:hAnsi="Open Sans" w:cs="Open Sans"/>
          <w:sz w:val="22"/>
          <w:szCs w:val="22"/>
        </w:rPr>
        <w:t>Bajo su marca paraguas, </w:t>
      </w:r>
      <w:r w:rsidRPr="00AA07FC">
        <w:rPr>
          <w:rFonts w:ascii="Open Sans" w:eastAsia="Open Sans" w:hAnsi="Open Sans" w:cs="Open Sans"/>
          <w:sz w:val="22"/>
          <w:szCs w:val="22"/>
        </w:rPr>
        <w:t xml:space="preserve">Fotocasa </w:t>
      </w:r>
      <w:proofErr w:type="spellStart"/>
      <w:r w:rsidRPr="00AA07FC">
        <w:rPr>
          <w:rFonts w:ascii="Open Sans" w:eastAsia="Open Sans" w:hAnsi="Open Sans" w:cs="Open Sans"/>
          <w:sz w:val="22"/>
          <w:szCs w:val="22"/>
        </w:rPr>
        <w:t>Group</w:t>
      </w:r>
      <w:proofErr w:type="spellEnd"/>
      <w:r w:rsidRPr="00413AF8">
        <w:rPr>
          <w:rFonts w:ascii="Open Sans" w:eastAsia="Open Sans" w:hAnsi="Open Sans" w:cs="Open Sans"/>
          <w:sz w:val="22"/>
          <w:szCs w:val="22"/>
        </w:rPr>
        <w:t> impulsa y da visibilidad a un ecosistema de marcas líderes —</w:t>
      </w:r>
      <w:hyperlink r:id="rId20" w:history="1">
        <w:r w:rsidRPr="00B27579">
          <w:rPr>
            <w:rFonts w:ascii="Open Sans" w:hAnsi="Open Sans" w:cs="Open Sans"/>
            <w:b/>
            <w:bCs/>
            <w:color w:val="0000FF"/>
            <w:sz w:val="22"/>
            <w:szCs w:val="22"/>
            <w:u w:val="single"/>
          </w:rPr>
          <w:t>Fotocasa</w:t>
        </w:r>
      </w:hyperlink>
      <w:r w:rsidRPr="00B27579">
        <w:rPr>
          <w:rFonts w:ascii="Open Sans" w:eastAsia="Open Sans" w:hAnsi="Open Sans" w:cs="Open Sans"/>
          <w:sz w:val="22"/>
          <w:szCs w:val="22"/>
        </w:rPr>
        <w:t xml:space="preserve">, </w:t>
      </w:r>
      <w:hyperlink r:id="rId21" w:history="1">
        <w:proofErr w:type="spellStart"/>
        <w:r w:rsidRPr="00B27579">
          <w:rPr>
            <w:rFonts w:ascii="Open Sans" w:hAnsi="Open Sans" w:cs="Open Sans"/>
            <w:b/>
            <w:bCs/>
            <w:color w:val="0000FF"/>
            <w:sz w:val="22"/>
            <w:szCs w:val="22"/>
            <w:u w:val="single"/>
          </w:rPr>
          <w:t>habitaclia</w:t>
        </w:r>
        <w:proofErr w:type="spellEnd"/>
      </w:hyperlink>
      <w:r w:rsidRPr="00B27579">
        <w:rPr>
          <w:rFonts w:ascii="Open Sans" w:eastAsia="Open Sans" w:hAnsi="Open Sans" w:cs="Open Sans"/>
          <w:sz w:val="22"/>
          <w:szCs w:val="22"/>
        </w:rPr>
        <w:t xml:space="preserve">, </w:t>
      </w:r>
      <w:hyperlink r:id="rId22" w:history="1">
        <w:r w:rsidRPr="00B27579">
          <w:rPr>
            <w:rFonts w:ascii="Open Sans" w:hAnsi="Open Sans" w:cs="Open Sans"/>
            <w:b/>
            <w:bCs/>
            <w:color w:val="0000FF"/>
            <w:sz w:val="22"/>
            <w:szCs w:val="22"/>
            <w:u w:val="single"/>
          </w:rPr>
          <w:t>Fotocasa Pro</w:t>
        </w:r>
      </w:hyperlink>
      <w:r w:rsidRPr="00B27579">
        <w:rPr>
          <w:rFonts w:ascii="Open Sans" w:eastAsia="Open Sans" w:hAnsi="Open Sans" w:cs="Open Sans"/>
          <w:sz w:val="22"/>
          <w:szCs w:val="22"/>
        </w:rPr>
        <w:t xml:space="preserve">, </w:t>
      </w:r>
      <w:hyperlink r:id="rId23" w:history="1">
        <w:proofErr w:type="spellStart"/>
        <w:r w:rsidRPr="00B27579">
          <w:rPr>
            <w:rFonts w:ascii="Open Sans" w:hAnsi="Open Sans" w:cs="Open Sans"/>
            <w:b/>
            <w:bCs/>
            <w:color w:val="0000FF"/>
            <w:sz w:val="22"/>
            <w:szCs w:val="22"/>
            <w:u w:val="single"/>
          </w:rPr>
          <w:t>Datavenues</w:t>
        </w:r>
        <w:proofErr w:type="spellEnd"/>
      </w:hyperlink>
      <w:r w:rsidRPr="00B27579">
        <w:rPr>
          <w:rFonts w:ascii="Open Sans" w:eastAsia="Open Sans" w:hAnsi="Open Sans" w:cs="Open Sans"/>
          <w:sz w:val="22"/>
          <w:szCs w:val="22"/>
        </w:rPr>
        <w:t xml:space="preserve">, </w:t>
      </w:r>
      <w:hyperlink r:id="rId24" w:history="1">
        <w:proofErr w:type="spellStart"/>
        <w:r w:rsidRPr="00B27579">
          <w:rPr>
            <w:rFonts w:ascii="Open Sans" w:hAnsi="Open Sans" w:cs="Open Sans"/>
            <w:b/>
            <w:bCs/>
            <w:color w:val="0000FF"/>
            <w:sz w:val="22"/>
            <w:szCs w:val="22"/>
            <w:u w:val="single"/>
          </w:rPr>
          <w:t>Witei</w:t>
        </w:r>
        <w:proofErr w:type="spellEnd"/>
      </w:hyperlink>
      <w:r w:rsidRPr="00AA07FC">
        <w:rPr>
          <w:rFonts w:ascii="Open Sans" w:eastAsia="Open Sans" w:hAnsi="Open Sans" w:cs="Open Sans"/>
          <w:sz w:val="22"/>
          <w:szCs w:val="22"/>
        </w:rPr>
        <w:t xml:space="preserve"> e </w:t>
      </w:r>
      <w:hyperlink r:id="rId25" w:history="1">
        <w:proofErr w:type="spellStart"/>
        <w:r w:rsidRPr="00B27579">
          <w:rPr>
            <w:rFonts w:ascii="Open Sans" w:hAnsi="Open Sans" w:cs="Open Sans"/>
            <w:b/>
            <w:bCs/>
            <w:color w:val="0000FF"/>
            <w:sz w:val="22"/>
            <w:szCs w:val="22"/>
          </w:rPr>
          <w:t>Inmoweb</w:t>
        </w:r>
        <w:proofErr w:type="spellEnd"/>
      </w:hyperlink>
      <w:r w:rsidRPr="00413AF8">
        <w:rPr>
          <w:rFonts w:ascii="Open Sans" w:eastAsia="Open Sans" w:hAnsi="Open Sans" w:cs="Open Sans"/>
          <w:sz w:val="22"/>
          <w:szCs w:val="22"/>
        </w:rPr>
        <w:t xml:space="preserve">— que ofrecen soluciones integrales tanto </w:t>
      </w:r>
      <w:r w:rsidRPr="00AA07FC">
        <w:rPr>
          <w:rFonts w:ascii="Open Sans" w:eastAsia="Open Sans" w:hAnsi="Open Sans" w:cs="Open Sans"/>
          <w:b/>
          <w:bCs/>
          <w:sz w:val="22"/>
          <w:szCs w:val="22"/>
        </w:rPr>
        <w:t>para particulares como para profesionales del sector</w:t>
      </w:r>
      <w:r w:rsidRPr="00413AF8">
        <w:rPr>
          <w:rFonts w:ascii="Open Sans" w:eastAsia="Open Sans" w:hAnsi="Open Sans" w:cs="Open Sans"/>
          <w:sz w:val="22"/>
          <w:szCs w:val="22"/>
        </w:rPr>
        <w:t>.</w:t>
      </w:r>
    </w:p>
    <w:p w14:paraId="610E68C6" w14:textId="77777777" w:rsidR="003F01D0" w:rsidRDefault="003F01D0" w:rsidP="003F01D0">
      <w:pPr>
        <w:shd w:val="clear" w:color="auto" w:fill="FFFFFF"/>
        <w:spacing w:before="280" w:after="280" w:line="276" w:lineRule="auto"/>
        <w:jc w:val="both"/>
        <w:rPr>
          <w:rFonts w:ascii="Open Sans" w:eastAsia="Open Sans" w:hAnsi="Open Sans" w:cs="Open Sans"/>
          <w:sz w:val="22"/>
          <w:szCs w:val="22"/>
        </w:rPr>
      </w:pPr>
      <w:r w:rsidRPr="00AA07FC">
        <w:rPr>
          <w:rFonts w:ascii="Open Sans" w:eastAsia="Open Sans" w:hAnsi="Open Sans" w:cs="Open Sans"/>
          <w:b/>
          <w:bCs/>
          <w:sz w:val="22"/>
          <w:szCs w:val="22"/>
        </w:rPr>
        <w:t>Fotocasa</w:t>
      </w:r>
      <w:r w:rsidRPr="00413AF8">
        <w:rPr>
          <w:rFonts w:ascii="Open Sans" w:eastAsia="Open Sans" w:hAnsi="Open Sans" w:cs="Open Sans"/>
          <w:sz w:val="22"/>
          <w:szCs w:val="22"/>
        </w:rPr>
        <w:t>, la marca insignia del grupo, conecta cada día a </w:t>
      </w:r>
      <w:r w:rsidRPr="00AA07FC">
        <w:rPr>
          <w:rFonts w:ascii="Open Sans" w:eastAsia="Open Sans" w:hAnsi="Open Sans" w:cs="Open Sans"/>
          <w:b/>
          <w:bCs/>
          <w:sz w:val="22"/>
          <w:szCs w:val="22"/>
        </w:rPr>
        <w:t>millones de personas con su próximo hogar</w:t>
      </w:r>
      <w:r w:rsidRPr="00413AF8">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sidRPr="00AA07FC">
        <w:rPr>
          <w:rFonts w:ascii="Open Sans" w:eastAsia="Open Sans" w:hAnsi="Open Sans" w:cs="Open Sans"/>
          <w:b/>
          <w:bCs/>
          <w:sz w:val="22"/>
          <w:szCs w:val="22"/>
        </w:rPr>
        <w:t>referente del mercado inmobiliario</w:t>
      </w:r>
      <w:r w:rsidRPr="00413AF8">
        <w:rPr>
          <w:rFonts w:ascii="Open Sans" w:eastAsia="Open Sans" w:hAnsi="Open Sans" w:cs="Open Sans"/>
          <w:sz w:val="22"/>
          <w:szCs w:val="22"/>
        </w:rPr>
        <w:t>.</w:t>
      </w:r>
    </w:p>
    <w:p w14:paraId="00D64EAC" w14:textId="77777777" w:rsidR="003F01D0" w:rsidRDefault="003F01D0" w:rsidP="003F01D0">
      <w:pPr>
        <w:shd w:val="clear" w:color="auto" w:fill="FFFFFF"/>
        <w:spacing w:before="280" w:after="280" w:line="276" w:lineRule="auto"/>
        <w:jc w:val="both"/>
        <w:rPr>
          <w:rFonts w:ascii="Open Sans" w:eastAsia="Open Sans" w:hAnsi="Open Sans" w:cs="Open Sans"/>
          <w:sz w:val="22"/>
          <w:szCs w:val="22"/>
        </w:rPr>
      </w:pPr>
      <w:r w:rsidRPr="00413AF8">
        <w:rPr>
          <w:rFonts w:ascii="Open Sans" w:eastAsia="Open Sans" w:hAnsi="Open Sans" w:cs="Open Sans"/>
          <w:sz w:val="22"/>
          <w:szCs w:val="22"/>
        </w:rPr>
        <w:lastRenderedPageBreak/>
        <w:t xml:space="preserve">En Fotocasa </w:t>
      </w:r>
      <w:proofErr w:type="spellStart"/>
      <w:r w:rsidRPr="00413AF8">
        <w:rPr>
          <w:rFonts w:ascii="Open Sans" w:eastAsia="Open Sans" w:hAnsi="Open Sans" w:cs="Open Sans"/>
          <w:sz w:val="22"/>
          <w:szCs w:val="22"/>
        </w:rPr>
        <w:t>Group</w:t>
      </w:r>
      <w:proofErr w:type="spellEnd"/>
      <w:r w:rsidRPr="00413AF8">
        <w:rPr>
          <w:rFonts w:ascii="Open Sans" w:eastAsia="Open Sans" w:hAnsi="Open Sans" w:cs="Open Sans"/>
          <w:sz w:val="22"/>
          <w:szCs w:val="22"/>
        </w:rPr>
        <w:t>, </w:t>
      </w:r>
      <w:r w:rsidRPr="00AA07FC">
        <w:rPr>
          <w:rFonts w:ascii="Open Sans" w:eastAsia="Open Sans" w:hAnsi="Open Sans" w:cs="Open Sans"/>
          <w:b/>
          <w:bCs/>
          <w:sz w:val="22"/>
          <w:szCs w:val="22"/>
        </w:rPr>
        <w:t>unimos personas y propiedades</w:t>
      </w:r>
      <w:r w:rsidRPr="00413AF8">
        <w:rPr>
          <w:rFonts w:ascii="Open Sans" w:eastAsia="Open Sans" w:hAnsi="Open Sans" w:cs="Open Sans"/>
          <w:sz w:val="22"/>
          <w:szCs w:val="22"/>
        </w:rPr>
        <w:t> a través de una plataforma inteligente, diseñada para hacer que </w:t>
      </w:r>
      <w:r w:rsidRPr="00AA07FC">
        <w:rPr>
          <w:rFonts w:ascii="Open Sans" w:eastAsia="Open Sans" w:hAnsi="Open Sans" w:cs="Open Sans"/>
          <w:b/>
          <w:bCs/>
          <w:sz w:val="22"/>
          <w:szCs w:val="22"/>
        </w:rPr>
        <w:t>buscar, comprar o alquilar vivienda</w:t>
      </w:r>
      <w:r w:rsidRPr="00413AF8">
        <w:rPr>
          <w:rFonts w:ascii="Open Sans" w:eastAsia="Open Sans" w:hAnsi="Open Sans" w:cs="Open Sans"/>
          <w:sz w:val="22"/>
          <w:szCs w:val="22"/>
        </w:rPr>
        <w:t> sea una experiencia más fácil, transparente y eficiente.</w:t>
      </w:r>
    </w:p>
    <w:p w14:paraId="3894CEB0" w14:textId="77777777" w:rsidR="003F01D0" w:rsidRPr="008808F5" w:rsidRDefault="003F01D0" w:rsidP="003F01D0">
      <w:pPr>
        <w:shd w:val="clear" w:color="auto" w:fill="FFFFFF"/>
        <w:spacing w:before="280" w:after="280" w:line="276" w:lineRule="auto"/>
        <w:jc w:val="both"/>
        <w:rPr>
          <w:rFonts w:ascii="Open Sans" w:eastAsia="Open Sans" w:hAnsi="Open Sans" w:cs="Open Sans"/>
          <w:sz w:val="22"/>
          <w:szCs w:val="22"/>
        </w:rPr>
      </w:pPr>
      <w:r w:rsidRPr="00413AF8">
        <w:rPr>
          <w:rFonts w:ascii="Open Sans" w:eastAsia="Open Sans" w:hAnsi="Open Sans" w:cs="Open Sans"/>
          <w:sz w:val="22"/>
          <w:szCs w:val="22"/>
        </w:rPr>
        <w:t>Nuestra visión es clara</w:t>
      </w:r>
      <w:r w:rsidRPr="00AA07FC">
        <w:rPr>
          <w:rFonts w:ascii="Open Sans" w:eastAsia="Open Sans" w:hAnsi="Open Sans" w:cs="Open Sans"/>
          <w:b/>
          <w:bCs/>
          <w:sz w:val="22"/>
          <w:szCs w:val="22"/>
        </w:rPr>
        <w:t>: ser el lugar donde tu nuevo hogar te encuentra</w:t>
      </w:r>
      <w:r w:rsidRPr="00413AF8">
        <w:rPr>
          <w:rFonts w:ascii="Open Sans" w:eastAsia="Open Sans" w:hAnsi="Open Sans" w:cs="Open Sans"/>
          <w:sz w:val="22"/>
          <w:szCs w:val="22"/>
        </w:rPr>
        <w:t>.</w:t>
      </w:r>
    </w:p>
    <w:p w14:paraId="2C7D2C5E" w14:textId="77777777" w:rsidR="00786FCC" w:rsidRDefault="00786FCC">
      <w:pPr>
        <w:spacing w:line="276" w:lineRule="auto"/>
        <w:jc w:val="right"/>
        <w:rPr>
          <w:rFonts w:ascii="Open Sans" w:eastAsia="Open Sans" w:hAnsi="Open Sans" w:cs="Open Sans"/>
        </w:rPr>
      </w:pPr>
    </w:p>
    <w:p w14:paraId="591BDAE7" w14:textId="1D579B94" w:rsidR="00786FCC"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r w:rsidR="003F01D0">
        <w:rPr>
          <w:rFonts w:ascii="Open Sans Light" w:eastAsia="Open Sans Light" w:hAnsi="Open Sans Light" w:cs="Open Sans Light"/>
          <w:b/>
          <w:color w:val="303AB2"/>
          <w:sz w:val="22"/>
          <w:szCs w:val="22"/>
        </w:rPr>
        <w:t xml:space="preserve"> </w:t>
      </w:r>
      <w:proofErr w:type="spellStart"/>
      <w:r w:rsidR="003F01D0">
        <w:rPr>
          <w:rFonts w:ascii="Open Sans Light" w:eastAsia="Open Sans Light" w:hAnsi="Open Sans Light" w:cs="Open Sans Light"/>
          <w:b/>
          <w:color w:val="303AB2"/>
          <w:sz w:val="22"/>
          <w:szCs w:val="22"/>
        </w:rPr>
        <w:t>Group</w:t>
      </w:r>
      <w:proofErr w:type="spellEnd"/>
    </w:p>
    <w:p w14:paraId="1CA9B812" w14:textId="77777777" w:rsidR="00786FCC"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6075073" w14:textId="77777777" w:rsidR="00786FCC" w:rsidRDefault="00000000">
      <w:pPr>
        <w:shd w:val="clear" w:color="auto" w:fill="FFFFFF"/>
        <w:spacing w:line="276" w:lineRule="auto"/>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51A6114F" w14:textId="77777777" w:rsidR="00786FCC"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786FCC">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08006" w14:textId="77777777" w:rsidR="006B2654" w:rsidRDefault="006B2654">
      <w:r>
        <w:separator/>
      </w:r>
    </w:p>
  </w:endnote>
  <w:endnote w:type="continuationSeparator" w:id="0">
    <w:p w14:paraId="59552058" w14:textId="77777777" w:rsidR="006B2654" w:rsidRDefault="006B2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CA63F54-6952-4C80-A2BA-136C7005240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681BDB8-148B-44B3-82B2-417188644098}"/>
    <w:embedBold r:id="rId3" w:fontKey="{439227A0-17D3-4EB0-A70C-12897C461A1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E1A8FDD-7E7E-4050-ACFE-39ECD23BEC48}"/>
  </w:font>
  <w:font w:name="Georgia">
    <w:panose1 w:val="02040502050405020303"/>
    <w:charset w:val="00"/>
    <w:family w:val="roman"/>
    <w:pitch w:val="variable"/>
    <w:sig w:usb0="00000287" w:usb1="00000000" w:usb2="00000000" w:usb3="00000000" w:csb0="0000009F" w:csb1="00000000"/>
    <w:embedRegular r:id="rId5" w:fontKey="{0AB901BF-9843-4310-A58B-EC87482CBAB0}"/>
    <w:embedItalic r:id="rId6" w:fontKey="{C0BA8E0E-FFE1-41D2-B4B2-418D77B1645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85122BDE-FBBF-42F4-90A5-436DAE6B0F5E}"/>
    <w:embedBold r:id="rId8" w:fontKey="{1DDE2A1C-7362-4CA4-B7B3-1EF59F5886DF}"/>
    <w:embedBoldItalic r:id="rId9" w:fontKey="{4581F361-DF6B-40B4-94EA-01E18250C79B}"/>
  </w:font>
  <w:font w:name="Open Sans Light">
    <w:charset w:val="00"/>
    <w:family w:val="swiss"/>
    <w:pitch w:val="variable"/>
    <w:sig w:usb0="E00002EF" w:usb1="4000205B" w:usb2="00000028" w:usb3="00000000" w:csb0="0000019F" w:csb1="00000000"/>
    <w:embedRegular r:id="rId10" w:fontKey="{8F86B6DF-375C-439B-9A89-229BFF08B773}"/>
    <w:embedBold r:id="rId11" w:fontKey="{F43A815D-74DE-4928-9ADD-493F24E43D34}"/>
    <w:embedBoldItalic r:id="rId12" w:fontKey="{8C3E8635-B87D-4076-A6DE-5E73F15C2C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B181F" w14:textId="77777777" w:rsidR="00786FC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372486F" wp14:editId="5251740F">
          <wp:simplePos x="0" y="0"/>
          <wp:positionH relativeFrom="column">
            <wp:posOffset>-1068045</wp:posOffset>
          </wp:positionH>
          <wp:positionV relativeFrom="paragraph">
            <wp:posOffset>174608</wp:posOffset>
          </wp:positionV>
          <wp:extent cx="7670550" cy="451315"/>
          <wp:effectExtent l="0" t="0" r="0" b="0"/>
          <wp:wrapNone/>
          <wp:docPr id="2066816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7DCFC" w14:textId="77777777" w:rsidR="006B2654" w:rsidRDefault="006B2654">
      <w:r>
        <w:separator/>
      </w:r>
    </w:p>
  </w:footnote>
  <w:footnote w:type="continuationSeparator" w:id="0">
    <w:p w14:paraId="2175970F" w14:textId="77777777" w:rsidR="006B2654" w:rsidRDefault="006B26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C7179E"/>
    <w:multiLevelType w:val="multilevel"/>
    <w:tmpl w:val="9EB4D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4569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FCC"/>
    <w:rsid w:val="00033D22"/>
    <w:rsid w:val="003F01D0"/>
    <w:rsid w:val="006B2654"/>
    <w:rsid w:val="00786FCC"/>
    <w:rsid w:val="00FB6F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1E60B"/>
  <w15:docId w15:val="{9CFBF077-019E-48D5-B93B-B84AC5C32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search.fotocasa.es/" TargetMode="External"/><Relationship Id="rId18" Type="http://schemas.openxmlformats.org/officeDocument/2006/relationships/hyperlink" Target="https://www.research.fotocasa.e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habitaclia.com/" TargetMode="External"/><Relationship Id="rId7" Type="http://schemas.openxmlformats.org/officeDocument/2006/relationships/endnotes" Target="endnotes.xml"/><Relationship Id="rId12" Type="http://schemas.openxmlformats.org/officeDocument/2006/relationships/hyperlink" Target="https://s36360.pcdn.co/wp-content/uploads/2025/09/Informe-Los-jovenes-y-la-vivienda-en-2025-ok.pdf" TargetMode="External"/><Relationship Id="rId17" Type="http://schemas.openxmlformats.org/officeDocument/2006/relationships/hyperlink" Target="https://www.fotocasa.es/indice/" TargetMode="External"/><Relationship Id="rId25" Type="http://schemas.openxmlformats.org/officeDocument/2006/relationships/hyperlink" Target="https://www.inmoweb.e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fotocasa.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36360.pcdn.co/wp-content/uploads/2025/09/Informe-Los-jovenes-y-la-vivienda-en-2025-ok.pdf" TargetMode="External"/><Relationship Id="rId24" Type="http://schemas.openxmlformats.org/officeDocument/2006/relationships/hyperlink" Target="https://get.witei.com/en/" TargetMode="Externa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yperlink" Target="https://datavenues.com/" TargetMode="External"/><Relationship Id="rId28" Type="http://schemas.openxmlformats.org/officeDocument/2006/relationships/fontTable" Target="fontTable.xml"/><Relationship Id="rId10" Type="http://schemas.openxmlformats.org/officeDocument/2006/relationships/hyperlink" Target="https://s36360.pcdn.co/wp-content/uploads/2025/09/Informe-Los-jovenes-y-la-vivienda-en-2025-ok.pdf" TargetMode="External"/><Relationship Id="rId19" Type="http://schemas.openxmlformats.org/officeDocument/2006/relationships/hyperlink" Target="http://prensa.fotocasa.es" TargetMode="External"/><Relationship Id="rId4" Type="http://schemas.openxmlformats.org/officeDocument/2006/relationships/settings" Target="settings.xml"/><Relationship Id="rId9" Type="http://schemas.openxmlformats.org/officeDocument/2006/relationships/hyperlink" Target="https://s36360.pcdn.co/wp-content/uploads/2025/09/Informe-Los-jovenes-y-la-vivienda-en-2025-ok.pdf" TargetMode="External"/><Relationship Id="rId14" Type="http://schemas.openxmlformats.org/officeDocument/2006/relationships/image" Target="media/image2.png"/><Relationship Id="rId22" Type="http://schemas.openxmlformats.org/officeDocument/2006/relationships/hyperlink" Target="https://profesionales.fotocasa.e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b8rmxnmPU7yPI9ZopV2r5HHZ+w==">CgMxLjAyCWguMnM4ZXlvMTgAciExM25zVHpLQnVMbjJnWVFtam5nT3BKd1RXcUlOVDl6Q3M=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1105</Words>
  <Characters>6082</Characters>
  <Application>Microsoft Office Word</Application>
  <DocSecurity>0</DocSecurity>
  <Lines>50</Lines>
  <Paragraphs>14</Paragraphs>
  <ScaleCrop>false</ScaleCrop>
  <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2025-10-22T08:23:00Z</dcterms:modified>
</cp:coreProperties>
</file>