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B024" w14:textId="77777777" w:rsidR="00A256E3" w:rsidRDefault="00000000">
      <w:r>
        <w:rPr>
          <w:noProof/>
        </w:rPr>
        <w:drawing>
          <wp:anchor distT="0" distB="0" distL="114300" distR="114300" simplePos="0" relativeHeight="251658240" behindDoc="0" locked="0" layoutInCell="1" hidden="0" allowOverlap="1" wp14:anchorId="1A60E9E2" wp14:editId="12F93A1A">
            <wp:simplePos x="0" y="0"/>
            <wp:positionH relativeFrom="column">
              <wp:posOffset>-1080117</wp:posOffset>
            </wp:positionH>
            <wp:positionV relativeFrom="paragraph">
              <wp:posOffset>-654666</wp:posOffset>
            </wp:positionV>
            <wp:extent cx="7581265" cy="1019175"/>
            <wp:effectExtent l="0" t="0" r="0" b="0"/>
            <wp:wrapNone/>
            <wp:docPr id="20668166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55F1179" w14:textId="77777777" w:rsidR="00A256E3" w:rsidRDefault="00A256E3">
      <w:pPr>
        <w:rPr>
          <w:rFonts w:ascii="National" w:eastAsia="National" w:hAnsi="National" w:cs="National"/>
          <w:color w:val="303AB2"/>
          <w:sz w:val="18"/>
          <w:szCs w:val="18"/>
        </w:rPr>
      </w:pPr>
    </w:p>
    <w:p w14:paraId="2B2E11DF" w14:textId="77777777" w:rsidR="00A256E3" w:rsidRDefault="00A256E3">
      <w:pPr>
        <w:jc w:val="center"/>
        <w:rPr>
          <w:rFonts w:ascii="National" w:eastAsia="National" w:hAnsi="National" w:cs="National"/>
          <w:b/>
          <w:color w:val="1DBDC5"/>
          <w:sz w:val="34"/>
          <w:szCs w:val="34"/>
        </w:rPr>
      </w:pPr>
    </w:p>
    <w:p w14:paraId="2170535B" w14:textId="410F8E09" w:rsidR="00A256E3" w:rsidRDefault="00E3087A">
      <w:pPr>
        <w:jc w:val="center"/>
        <w:rPr>
          <w:rFonts w:ascii="National" w:eastAsia="National" w:hAnsi="National" w:cs="National"/>
          <w:b/>
          <w:color w:val="1DBDC5"/>
          <w:sz w:val="42"/>
          <w:szCs w:val="42"/>
        </w:rPr>
      </w:pPr>
      <w:r>
        <w:rPr>
          <w:rFonts w:ascii="National" w:eastAsia="National" w:hAnsi="National" w:cs="National"/>
          <w:b/>
          <w:color w:val="1DBDC5"/>
          <w:sz w:val="42"/>
          <w:szCs w:val="42"/>
        </w:rPr>
        <w:t>OPINIÓN</w:t>
      </w:r>
      <w:r w:rsidR="00000000">
        <w:rPr>
          <w:rFonts w:ascii="National" w:eastAsia="National" w:hAnsi="National" w:cs="National"/>
          <w:b/>
          <w:color w:val="1DBDC5"/>
          <w:sz w:val="42"/>
          <w:szCs w:val="42"/>
        </w:rPr>
        <w:t xml:space="preserve"> DE LAS ZONAS TENSIONADAS</w:t>
      </w:r>
    </w:p>
    <w:p w14:paraId="6D3A9E80" w14:textId="77777777" w:rsidR="00A256E3" w:rsidRPr="00E3087A" w:rsidRDefault="00000000">
      <w:pPr>
        <w:jc w:val="center"/>
        <w:rPr>
          <w:rFonts w:ascii="National" w:eastAsia="National" w:hAnsi="National" w:cs="National"/>
          <w:b/>
          <w:color w:val="303AB2"/>
          <w:sz w:val="50"/>
          <w:szCs w:val="50"/>
        </w:rPr>
      </w:pPr>
      <w:r w:rsidRPr="00E3087A">
        <w:rPr>
          <w:rFonts w:ascii="National" w:eastAsia="National" w:hAnsi="National" w:cs="National"/>
          <w:b/>
          <w:color w:val="303AB2"/>
          <w:sz w:val="50"/>
          <w:szCs w:val="50"/>
        </w:rPr>
        <w:t>Más transparencia y control del precio del alquiler, pero menos oferta: así perciben los ciudadanos las zonas tensionadas</w:t>
      </w:r>
    </w:p>
    <w:p w14:paraId="7CDF8989" w14:textId="77777777" w:rsidR="00A256E3" w:rsidRDefault="00A256E3">
      <w:pPr>
        <w:rPr>
          <w:rFonts w:ascii="Open Sans" w:eastAsia="Open Sans" w:hAnsi="Open Sans" w:cs="Open Sans"/>
          <w:color w:val="303AB2"/>
        </w:rPr>
      </w:pPr>
    </w:p>
    <w:p w14:paraId="26AC427C" w14:textId="77777777" w:rsidR="00A256E3"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42% de los españoles que conoce la aplicación de las zonas tensionadas asegura que da más transparencia en los contratos y ayuda al control del precio del alquiler</w:t>
      </w:r>
    </w:p>
    <w:p w14:paraId="397F504F" w14:textId="77777777" w:rsidR="00A256E3"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En el otro extremo, un 41% asegura que al aplicar zona tensionada reduce la oferta en alquiler</w:t>
      </w:r>
    </w:p>
    <w:p w14:paraId="6438C88E" w14:textId="77777777" w:rsidR="00A256E3"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54% de los españoles conoce en mayor o menor medida qué es una zona tensionada y de éstos, sólo un 17% asegura tener un conocimiento claro</w:t>
      </w:r>
    </w:p>
    <w:p w14:paraId="7172D1F7" w14:textId="77777777" w:rsidR="00A256E3"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Cataluña es la comunidad autónoma en la que hay más conocimiento de la norma</w:t>
      </w:r>
    </w:p>
    <w:p w14:paraId="5CEDDD86" w14:textId="77777777" w:rsidR="00A256E3" w:rsidRDefault="00A256E3">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2C5853FE" w14:textId="77777777" w:rsidR="00A256E3"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13 de noviembre de 2025</w:t>
      </w:r>
    </w:p>
    <w:p w14:paraId="539B09D8" w14:textId="77777777" w:rsidR="00A256E3" w:rsidRDefault="00A256E3">
      <w:pPr>
        <w:pBdr>
          <w:top w:val="nil"/>
          <w:left w:val="nil"/>
          <w:bottom w:val="nil"/>
          <w:right w:val="nil"/>
          <w:between w:val="nil"/>
        </w:pBdr>
        <w:spacing w:line="276" w:lineRule="auto"/>
        <w:jc w:val="both"/>
        <w:rPr>
          <w:rFonts w:ascii="Open Sans" w:eastAsia="Open Sans" w:hAnsi="Open Sans" w:cs="Open Sans"/>
        </w:rPr>
      </w:pPr>
    </w:p>
    <w:p w14:paraId="7DD583C0" w14:textId="2844891C" w:rsidR="00A256E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aplicación de medidas para regular los precios del alquiler en aquellas zonas que se han declarado zona tensionada se ha ido extendiendo poco a poco desde la aprobación de la Ley de Vivienda. Así, comunidades como </w:t>
      </w:r>
      <w:r w:rsidRPr="00FE2D32">
        <w:rPr>
          <w:rFonts w:ascii="Open Sans" w:eastAsia="Open Sans" w:hAnsi="Open Sans" w:cs="Open Sans"/>
          <w:b/>
          <w:bCs/>
        </w:rPr>
        <w:t>Cataluña, Navarra, País Vas</w:t>
      </w:r>
      <w:r w:rsidR="00E3087A" w:rsidRPr="00FE2D32">
        <w:rPr>
          <w:rFonts w:ascii="Open Sans" w:eastAsia="Open Sans" w:hAnsi="Open Sans" w:cs="Open Sans"/>
          <w:b/>
          <w:bCs/>
        </w:rPr>
        <w:t>c</w:t>
      </w:r>
      <w:r w:rsidRPr="00FE2D32">
        <w:rPr>
          <w:rFonts w:ascii="Open Sans" w:eastAsia="Open Sans" w:hAnsi="Open Sans" w:cs="Open Sans"/>
          <w:b/>
          <w:bCs/>
        </w:rPr>
        <w:t>o y Galicia ya han declarado varios municipios como zona tensionada y en el caso de Asturias y Canarias</w:t>
      </w:r>
      <w:r>
        <w:rPr>
          <w:rFonts w:ascii="Open Sans" w:eastAsia="Open Sans" w:hAnsi="Open Sans" w:cs="Open Sans"/>
        </w:rPr>
        <w:t xml:space="preserve"> han iniciado ya el proceso para declararlas. Para los ciudadanos que conocen la medida de las zonas tensionadas los efectos de aplicarla son claros: </w:t>
      </w:r>
      <w:r w:rsidRPr="00FE2D32">
        <w:rPr>
          <w:rFonts w:ascii="Open Sans" w:eastAsia="Open Sans" w:hAnsi="Open Sans" w:cs="Open Sans"/>
          <w:b/>
          <w:bCs/>
        </w:rPr>
        <w:t>mayor transparencia en los contratos de alquiler</w:t>
      </w:r>
      <w:r w:rsidR="00FE2D32" w:rsidRPr="00FE2D32">
        <w:rPr>
          <w:rFonts w:ascii="Open Sans" w:eastAsia="Open Sans" w:hAnsi="Open Sans" w:cs="Open Sans"/>
          <w:b/>
          <w:bCs/>
        </w:rPr>
        <w:t xml:space="preserve"> y control del precio de los alquileres</w:t>
      </w:r>
      <w:r>
        <w:rPr>
          <w:rFonts w:ascii="Open Sans" w:eastAsia="Open Sans" w:hAnsi="Open Sans" w:cs="Open Sans"/>
        </w:rPr>
        <w:t xml:space="preserve">. De hecho, estos dos planteamientos cuentan con el respaldo del </w:t>
      </w:r>
      <w:r w:rsidRPr="00FE2D32">
        <w:rPr>
          <w:rFonts w:ascii="Open Sans" w:eastAsia="Open Sans" w:hAnsi="Open Sans" w:cs="Open Sans"/>
          <w:b/>
          <w:bCs/>
        </w:rPr>
        <w:t>42% de los españoles que conocen la aplicación de las zonas tensionadas</w:t>
      </w:r>
      <w:r>
        <w:rPr>
          <w:rFonts w:ascii="Open Sans" w:eastAsia="Open Sans" w:hAnsi="Open Sans" w:cs="Open Sans"/>
        </w:rPr>
        <w:t>. Esta es la principal conclusión del análisis “</w:t>
      </w:r>
      <w:r>
        <w:rPr>
          <w:rFonts w:ascii="Open Sans" w:eastAsia="Open Sans" w:hAnsi="Open Sans" w:cs="Open Sans"/>
          <w:b/>
          <w:i/>
        </w:rPr>
        <w:t>Conocimiento y efectos de la aplicación de las zonas tensionadas</w:t>
      </w:r>
      <w:r>
        <w:rPr>
          <w:rFonts w:ascii="Open Sans" w:eastAsia="Open Sans" w:hAnsi="Open Sans" w:cs="Open Sans"/>
        </w:rPr>
        <w:t xml:space="preserve">” realizado por </w:t>
      </w:r>
      <w:hyperlink r:id="rId9">
        <w:r>
          <w:rPr>
            <w:rFonts w:ascii="Open Sans" w:eastAsia="Open Sans" w:hAnsi="Open Sans" w:cs="Open Sans"/>
            <w:color w:val="0000FF"/>
            <w:u w:val="single"/>
          </w:rPr>
          <w:t>Fotocasa Research</w:t>
        </w:r>
      </w:hyperlink>
      <w:r>
        <w:rPr>
          <w:rFonts w:ascii="Open Sans" w:eastAsia="Open Sans" w:hAnsi="Open Sans" w:cs="Open Sans"/>
        </w:rPr>
        <w:t xml:space="preserve"> a partir de más de 5.000 encuestas a españoles activos en el mercado inmobiliario español.</w:t>
      </w:r>
    </w:p>
    <w:p w14:paraId="6CD53CAE" w14:textId="77777777" w:rsidR="00FE2D32" w:rsidRDefault="00FE2D32">
      <w:pPr>
        <w:pBdr>
          <w:top w:val="nil"/>
          <w:left w:val="nil"/>
          <w:bottom w:val="nil"/>
          <w:right w:val="nil"/>
          <w:between w:val="nil"/>
        </w:pBdr>
        <w:spacing w:line="276" w:lineRule="auto"/>
        <w:jc w:val="both"/>
        <w:rPr>
          <w:rFonts w:ascii="Open Sans" w:eastAsia="Open Sans" w:hAnsi="Open Sans" w:cs="Open Sans"/>
        </w:rPr>
      </w:pPr>
    </w:p>
    <w:p w14:paraId="032C4641" w14:textId="77777777" w:rsidR="00A256E3" w:rsidRDefault="00A256E3">
      <w:pPr>
        <w:pBdr>
          <w:top w:val="nil"/>
          <w:left w:val="nil"/>
          <w:bottom w:val="nil"/>
          <w:right w:val="nil"/>
          <w:between w:val="nil"/>
        </w:pBdr>
        <w:spacing w:line="276" w:lineRule="auto"/>
        <w:jc w:val="both"/>
        <w:rPr>
          <w:rFonts w:ascii="Open Sans" w:eastAsia="Open Sans" w:hAnsi="Open Sans" w:cs="Open Sans"/>
        </w:rPr>
      </w:pPr>
    </w:p>
    <w:p w14:paraId="548FD57F" w14:textId="77777777" w:rsidR="00A256E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En el otro extremo, otro efecto que los españoles consideran importante de la aplicación de la zona tensionada es </w:t>
      </w:r>
      <w:r>
        <w:rPr>
          <w:rFonts w:ascii="Open Sans" w:eastAsia="Open Sans" w:hAnsi="Open Sans" w:cs="Open Sans"/>
          <w:b/>
        </w:rPr>
        <w:t>la reducción de la oferta de alquiler, una respuesta que comparte el 41% de los</w:t>
      </w:r>
      <w:r>
        <w:rPr>
          <w:rFonts w:ascii="Open Sans" w:eastAsia="Open Sans" w:hAnsi="Open Sans" w:cs="Open Sans"/>
        </w:rPr>
        <w:t xml:space="preserve"> consultados. Y, por el contrario, únicamente un 29% cree que esta aplicación fomenta el parque de vivienda social.</w:t>
      </w:r>
    </w:p>
    <w:p w14:paraId="2CFE5796" w14:textId="77777777" w:rsidR="00A256E3" w:rsidRDefault="00A256E3">
      <w:pPr>
        <w:pBdr>
          <w:top w:val="nil"/>
          <w:left w:val="nil"/>
          <w:bottom w:val="nil"/>
          <w:right w:val="nil"/>
          <w:between w:val="nil"/>
        </w:pBdr>
        <w:spacing w:line="276" w:lineRule="auto"/>
        <w:jc w:val="both"/>
        <w:rPr>
          <w:rFonts w:ascii="Open Sans" w:eastAsia="Open Sans" w:hAnsi="Open Sans" w:cs="Open Sans"/>
        </w:rPr>
      </w:pPr>
    </w:p>
    <w:p w14:paraId="3472D5EE" w14:textId="77777777" w:rsidR="00A256E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7E36B75B" wp14:editId="14251BF1">
            <wp:extent cx="5723116" cy="3170195"/>
            <wp:effectExtent l="0" t="0" r="0" b="0"/>
            <wp:docPr id="2066816621" name="image4.png" descr="Imagen que contiene Interfaz de usuario gráfic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Imagen que contiene Interfaz de usuario gráfica&#10;&#10;El contenido generado por IA puede ser incorrecto."/>
                    <pic:cNvPicPr preferRelativeResize="0"/>
                  </pic:nvPicPr>
                  <pic:blipFill>
                    <a:blip r:embed="rId10"/>
                    <a:srcRect/>
                    <a:stretch>
                      <a:fillRect/>
                    </a:stretch>
                  </pic:blipFill>
                  <pic:spPr>
                    <a:xfrm>
                      <a:off x="0" y="0"/>
                      <a:ext cx="5723116" cy="3170195"/>
                    </a:xfrm>
                    <a:prstGeom prst="rect">
                      <a:avLst/>
                    </a:prstGeom>
                    <a:ln/>
                  </pic:spPr>
                </pic:pic>
              </a:graphicData>
            </a:graphic>
          </wp:inline>
        </w:drawing>
      </w:r>
    </w:p>
    <w:p w14:paraId="62F034CF" w14:textId="77777777" w:rsidR="00FE2D32" w:rsidRDefault="00FE2D32">
      <w:pPr>
        <w:pBdr>
          <w:top w:val="nil"/>
          <w:left w:val="nil"/>
          <w:bottom w:val="nil"/>
          <w:right w:val="nil"/>
          <w:between w:val="nil"/>
        </w:pBdr>
        <w:spacing w:line="276" w:lineRule="auto"/>
        <w:jc w:val="both"/>
        <w:rPr>
          <w:rFonts w:ascii="Open Sans" w:eastAsia="Open Sans" w:hAnsi="Open Sans" w:cs="Open Sans"/>
        </w:rPr>
      </w:pPr>
    </w:p>
    <w:p w14:paraId="3485ED65" w14:textId="684CBCB4" w:rsidR="00A256E3" w:rsidRPr="00FE2D32"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“La implementación de las zonas tensionadas nació con el objetivo de reducir los precios del alquiler, pero está generando un efecto colateral indeseado que es la contracción de la oferta disponible. En Cataluña, donde la medida lleva más tiempo en vigor, los datos ya reflejan esta tendencia. Los contratos de arrendamiento han caído un 10% en las zonas reguladas y hasta un 15% en la ciudad de Barcelona. Además, si analizamos el volumen de contratos acumulados en un año, este segundo trimestre de 2025 supone un descenso del 42% respecto al inicio de hace tres años, según los datos de la Generalitat de Catalunya. La regulación está afectando especialmente a la oferta que presentaba precios más bajos, que es precisamente la que se busca proteger. En consecuencia, la menor disponibilidad de viviendas en alquiler puede terminar presionando al alza los precios en los segmentos no regulados, generando un efecto contrario al previsto por la norma”, </w:t>
      </w:r>
      <w:r w:rsidRPr="00FE2D32">
        <w:rPr>
          <w:rFonts w:ascii="Open Sans" w:eastAsia="Open Sans" w:hAnsi="Open Sans" w:cs="Open Sans"/>
          <w:b/>
          <w:bCs/>
        </w:rPr>
        <w:t xml:space="preserve">explica María Matos, directora de Estudios y portavoz de </w:t>
      </w:r>
      <w:hyperlink r:id="rId11">
        <w:r w:rsidRPr="00FE2D32">
          <w:rPr>
            <w:rFonts w:ascii="Open Sans" w:eastAsia="Open Sans" w:hAnsi="Open Sans" w:cs="Open Sans"/>
            <w:b/>
            <w:bCs/>
            <w:color w:val="1155CC"/>
            <w:u w:val="single"/>
          </w:rPr>
          <w:t>Fotocasa</w:t>
        </w:r>
      </w:hyperlink>
      <w:r w:rsidRPr="00FE2D32">
        <w:rPr>
          <w:rFonts w:ascii="Open Sans" w:eastAsia="Open Sans" w:hAnsi="Open Sans" w:cs="Open Sans"/>
          <w:b/>
          <w:bCs/>
        </w:rPr>
        <w:t>.</w:t>
      </w:r>
    </w:p>
    <w:p w14:paraId="10F0FEAE" w14:textId="77777777" w:rsidR="00A256E3" w:rsidRDefault="00A256E3">
      <w:pPr>
        <w:pBdr>
          <w:top w:val="nil"/>
          <w:left w:val="nil"/>
          <w:bottom w:val="nil"/>
          <w:right w:val="nil"/>
          <w:between w:val="nil"/>
        </w:pBdr>
        <w:spacing w:line="276" w:lineRule="auto"/>
        <w:jc w:val="both"/>
        <w:rPr>
          <w:rFonts w:ascii="Open Sans" w:eastAsia="Open Sans" w:hAnsi="Open Sans" w:cs="Open Sans"/>
        </w:rPr>
      </w:pPr>
    </w:p>
    <w:p w14:paraId="08671B87" w14:textId="77777777" w:rsidR="00A256E3" w:rsidRDefault="00A256E3">
      <w:pPr>
        <w:pBdr>
          <w:top w:val="nil"/>
          <w:left w:val="nil"/>
          <w:bottom w:val="nil"/>
          <w:right w:val="nil"/>
          <w:between w:val="nil"/>
        </w:pBdr>
        <w:spacing w:line="276" w:lineRule="auto"/>
        <w:jc w:val="both"/>
        <w:rPr>
          <w:rFonts w:ascii="Open Sans" w:eastAsia="Open Sans" w:hAnsi="Open Sans" w:cs="Open Sans"/>
        </w:rPr>
      </w:pPr>
    </w:p>
    <w:p w14:paraId="4EA7C1B5" w14:textId="77777777" w:rsidR="00FE2D32" w:rsidRDefault="00FE2D32">
      <w:pPr>
        <w:pBdr>
          <w:top w:val="nil"/>
          <w:left w:val="nil"/>
          <w:bottom w:val="nil"/>
          <w:right w:val="nil"/>
          <w:between w:val="nil"/>
        </w:pBdr>
        <w:spacing w:line="276" w:lineRule="auto"/>
        <w:jc w:val="both"/>
        <w:rPr>
          <w:rFonts w:ascii="Open Sans" w:eastAsia="Open Sans" w:hAnsi="Open Sans" w:cs="Open Sans"/>
        </w:rPr>
      </w:pPr>
    </w:p>
    <w:p w14:paraId="7697B400" w14:textId="77777777" w:rsidR="00A256E3" w:rsidRDefault="00A256E3">
      <w:pPr>
        <w:pBdr>
          <w:top w:val="nil"/>
          <w:left w:val="nil"/>
          <w:bottom w:val="nil"/>
          <w:right w:val="nil"/>
          <w:between w:val="nil"/>
        </w:pBdr>
        <w:spacing w:line="276" w:lineRule="auto"/>
        <w:jc w:val="both"/>
        <w:rPr>
          <w:rFonts w:ascii="Open Sans" w:eastAsia="Open Sans" w:hAnsi="Open Sans" w:cs="Open Sans"/>
        </w:rPr>
      </w:pPr>
    </w:p>
    <w:p w14:paraId="34E1596A" w14:textId="77777777" w:rsidR="00A256E3"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El 54% de los españoles tiene conocimiento de qué es una zona tensionada</w:t>
      </w:r>
    </w:p>
    <w:p w14:paraId="44300343" w14:textId="77777777" w:rsidR="00A256E3" w:rsidRDefault="00A256E3">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00F9ED52" w14:textId="77777777" w:rsidR="00A256E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Uno de cada dos españoles activos en el mercado inmobiliario conoce la medida que restringe los precios del alquiler en las llamadas zonas tensionadas. En concreto</w:t>
      </w:r>
      <w:r w:rsidRPr="00FE2D32">
        <w:rPr>
          <w:rFonts w:ascii="Open Sans" w:eastAsia="Open Sans" w:hAnsi="Open Sans" w:cs="Open Sans"/>
          <w:b/>
          <w:bCs/>
        </w:rPr>
        <w:t>, el 54% asegura estar al tanto de esta disposición, incluida desde mayo de 2023 en la Ley por el Derecho a la Vivienda, y que se aplica en aquellas zonas de mercado residencial</w:t>
      </w:r>
      <w:r>
        <w:rPr>
          <w:rFonts w:ascii="Open Sans" w:eastAsia="Open Sans" w:hAnsi="Open Sans" w:cs="Open Sans"/>
        </w:rPr>
        <w:t xml:space="preserve"> —ciudades, distritos o barrios— donde los precios de los alquileres o de la compra de vivienda superan lo que se considera razonable en relación con los ingresos de la población local.</w:t>
      </w:r>
    </w:p>
    <w:p w14:paraId="0F121D50" w14:textId="77777777" w:rsidR="00A256E3" w:rsidRDefault="00A256E3">
      <w:pPr>
        <w:pBdr>
          <w:top w:val="nil"/>
          <w:left w:val="nil"/>
          <w:bottom w:val="nil"/>
          <w:right w:val="nil"/>
          <w:between w:val="nil"/>
        </w:pBdr>
        <w:spacing w:line="276" w:lineRule="auto"/>
        <w:jc w:val="both"/>
        <w:rPr>
          <w:rFonts w:ascii="Open Sans" w:eastAsia="Open Sans" w:hAnsi="Open Sans" w:cs="Open Sans"/>
        </w:rPr>
      </w:pPr>
    </w:p>
    <w:p w14:paraId="44FB3438" w14:textId="77777777" w:rsidR="00A256E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Además, de ese 54% general, </w:t>
      </w:r>
      <w:r w:rsidRPr="00FE2D32">
        <w:rPr>
          <w:rFonts w:ascii="Open Sans" w:eastAsia="Open Sans" w:hAnsi="Open Sans" w:cs="Open Sans"/>
          <w:b/>
          <w:bCs/>
        </w:rPr>
        <w:t>son únicamente un 17% los que cuentan con un conocimiento claro de la disposición, mientras que un 37% reconoce que solo ha oído hablar o leído sobre ella</w:t>
      </w:r>
      <w:r>
        <w:rPr>
          <w:rFonts w:ascii="Open Sans" w:eastAsia="Open Sans" w:hAnsi="Open Sans" w:cs="Open Sans"/>
        </w:rPr>
        <w:t>, pero sin mayor profundidad de información. Los que desconocen totalmente la medida, por lo tanto, alcanzan el 46% de los españoles encuestados.</w:t>
      </w:r>
    </w:p>
    <w:p w14:paraId="740F297C" w14:textId="77777777" w:rsidR="00A256E3" w:rsidRDefault="00A256E3">
      <w:pPr>
        <w:pBdr>
          <w:top w:val="nil"/>
          <w:left w:val="nil"/>
          <w:bottom w:val="nil"/>
          <w:right w:val="nil"/>
          <w:between w:val="nil"/>
        </w:pBdr>
        <w:spacing w:line="276" w:lineRule="auto"/>
        <w:jc w:val="both"/>
        <w:rPr>
          <w:rFonts w:ascii="Open Sans" w:eastAsia="Open Sans" w:hAnsi="Open Sans" w:cs="Open Sans"/>
        </w:rPr>
      </w:pPr>
    </w:p>
    <w:p w14:paraId="04B77A2E" w14:textId="77777777" w:rsidR="00A256E3" w:rsidRDefault="00A256E3">
      <w:pPr>
        <w:pBdr>
          <w:top w:val="nil"/>
          <w:left w:val="nil"/>
          <w:bottom w:val="nil"/>
          <w:right w:val="nil"/>
          <w:between w:val="nil"/>
        </w:pBdr>
        <w:spacing w:line="276" w:lineRule="auto"/>
        <w:jc w:val="both"/>
        <w:rPr>
          <w:rFonts w:ascii="Open Sans" w:eastAsia="Open Sans" w:hAnsi="Open Sans" w:cs="Open Sans"/>
        </w:rPr>
      </w:pPr>
    </w:p>
    <w:p w14:paraId="0DD6DB34" w14:textId="77777777" w:rsidR="00A256E3"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En Cataluña es donde hay más conocimiento de la aplicación de zona tensionada</w:t>
      </w:r>
    </w:p>
    <w:p w14:paraId="06A41EFA" w14:textId="77777777" w:rsidR="00A256E3" w:rsidRDefault="00A256E3">
      <w:pPr>
        <w:pBdr>
          <w:top w:val="nil"/>
          <w:left w:val="nil"/>
          <w:bottom w:val="nil"/>
          <w:right w:val="nil"/>
          <w:between w:val="nil"/>
        </w:pBdr>
        <w:spacing w:line="276" w:lineRule="auto"/>
        <w:jc w:val="both"/>
        <w:rPr>
          <w:rFonts w:ascii="Open Sans" w:eastAsia="Open Sans" w:hAnsi="Open Sans" w:cs="Open Sans"/>
        </w:rPr>
      </w:pPr>
    </w:p>
    <w:p w14:paraId="6145226D" w14:textId="77777777" w:rsidR="00A256E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Desde el punto de vista territorial, destaca muy por encima del resto la comunidad autónoma de </w:t>
      </w:r>
      <w:r>
        <w:rPr>
          <w:rFonts w:ascii="Open Sans" w:eastAsia="Open Sans" w:hAnsi="Open Sans" w:cs="Open Sans"/>
          <w:b/>
        </w:rPr>
        <w:t>Cataluña</w:t>
      </w:r>
      <w:r>
        <w:rPr>
          <w:rFonts w:ascii="Open Sans" w:eastAsia="Open Sans" w:hAnsi="Open Sans" w:cs="Open Sans"/>
        </w:rPr>
        <w:t>, que aglutina un conocimiento de la media del 64%, diez puntos por encima de la media de España. Además, los catalanes muestran tener una idea mucho más clara de la norma, al llegar al 24 % quienes así lo afirman.</w:t>
      </w:r>
    </w:p>
    <w:p w14:paraId="3446A5FC" w14:textId="77777777" w:rsidR="00A256E3" w:rsidRDefault="00A256E3">
      <w:pPr>
        <w:pBdr>
          <w:top w:val="nil"/>
          <w:left w:val="nil"/>
          <w:bottom w:val="nil"/>
          <w:right w:val="nil"/>
          <w:between w:val="nil"/>
        </w:pBdr>
        <w:spacing w:line="276" w:lineRule="auto"/>
        <w:jc w:val="both"/>
        <w:rPr>
          <w:rFonts w:ascii="Open Sans" w:eastAsia="Open Sans" w:hAnsi="Open Sans" w:cs="Open Sans"/>
        </w:rPr>
      </w:pPr>
    </w:p>
    <w:p w14:paraId="155A8E17" w14:textId="77777777" w:rsidR="00A256E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segundo lugar, pero ya mucho más atrás, se sitúa </w:t>
      </w:r>
      <w:r>
        <w:rPr>
          <w:rFonts w:ascii="Open Sans" w:eastAsia="Open Sans" w:hAnsi="Open Sans" w:cs="Open Sans"/>
          <w:b/>
        </w:rPr>
        <w:t>Madrid</w:t>
      </w:r>
      <w:r>
        <w:rPr>
          <w:rFonts w:ascii="Open Sans" w:eastAsia="Open Sans" w:hAnsi="Open Sans" w:cs="Open Sans"/>
        </w:rPr>
        <w:t xml:space="preserve">, con un conocimiento global del 55 % (un punto sobre la media), pero con tan solo un 17 % de particulares familiarizados con la norma. La </w:t>
      </w:r>
      <w:r>
        <w:rPr>
          <w:rFonts w:ascii="Open Sans" w:eastAsia="Open Sans" w:hAnsi="Open Sans" w:cs="Open Sans"/>
          <w:b/>
        </w:rPr>
        <w:t>Comunidad Valenciana</w:t>
      </w:r>
      <w:r>
        <w:rPr>
          <w:rFonts w:ascii="Open Sans" w:eastAsia="Open Sans" w:hAnsi="Open Sans" w:cs="Open Sans"/>
        </w:rPr>
        <w:t xml:space="preserve"> presenta cifras más bajas, aunque es en </w:t>
      </w:r>
      <w:r>
        <w:rPr>
          <w:rFonts w:ascii="Open Sans" w:eastAsia="Open Sans" w:hAnsi="Open Sans" w:cs="Open Sans"/>
          <w:b/>
        </w:rPr>
        <w:t>Andalucía</w:t>
      </w:r>
      <w:r>
        <w:rPr>
          <w:rFonts w:ascii="Open Sans" w:eastAsia="Open Sans" w:hAnsi="Open Sans" w:cs="Open Sans"/>
        </w:rPr>
        <w:t xml:space="preserve"> donde se observa mayor grado de ignorancia respecto a la medida, con un escaso porcentaje del 47%, siete puntos por debajo del promedio general.</w:t>
      </w:r>
    </w:p>
    <w:p w14:paraId="4E09BE27" w14:textId="77777777" w:rsidR="00A256E3" w:rsidRDefault="00A256E3">
      <w:pPr>
        <w:pBdr>
          <w:top w:val="nil"/>
          <w:left w:val="nil"/>
          <w:bottom w:val="nil"/>
          <w:right w:val="nil"/>
          <w:between w:val="nil"/>
        </w:pBdr>
        <w:spacing w:line="276" w:lineRule="auto"/>
        <w:jc w:val="both"/>
        <w:rPr>
          <w:rFonts w:ascii="Open Sans" w:eastAsia="Open Sans" w:hAnsi="Open Sans" w:cs="Open Sans"/>
        </w:rPr>
      </w:pPr>
    </w:p>
    <w:p w14:paraId="66D0C80A" w14:textId="77777777" w:rsidR="00A256E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noProof/>
        </w:rPr>
        <w:lastRenderedPageBreak/>
        <w:drawing>
          <wp:inline distT="0" distB="0" distL="0" distR="0" wp14:anchorId="6EADA605" wp14:editId="16C6F3DF">
            <wp:extent cx="5608806" cy="3314987"/>
            <wp:effectExtent l="0" t="0" r="0" b="0"/>
            <wp:docPr id="2066816620" name="image3.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Gráfico, Gráfico de barras&#10;&#10;El contenido generado por IA puede ser incorrecto."/>
                    <pic:cNvPicPr preferRelativeResize="0"/>
                  </pic:nvPicPr>
                  <pic:blipFill>
                    <a:blip r:embed="rId12"/>
                    <a:srcRect/>
                    <a:stretch>
                      <a:fillRect/>
                    </a:stretch>
                  </pic:blipFill>
                  <pic:spPr>
                    <a:xfrm>
                      <a:off x="0" y="0"/>
                      <a:ext cx="5608806" cy="3314987"/>
                    </a:xfrm>
                    <a:prstGeom prst="rect">
                      <a:avLst/>
                    </a:prstGeom>
                    <a:ln/>
                  </pic:spPr>
                </pic:pic>
              </a:graphicData>
            </a:graphic>
          </wp:inline>
        </w:drawing>
      </w:r>
    </w:p>
    <w:p w14:paraId="72971AB8" w14:textId="77777777" w:rsidR="00A256E3" w:rsidRDefault="00A256E3">
      <w:pPr>
        <w:pBdr>
          <w:top w:val="nil"/>
          <w:left w:val="nil"/>
          <w:bottom w:val="nil"/>
          <w:right w:val="nil"/>
          <w:between w:val="nil"/>
        </w:pBdr>
        <w:spacing w:line="276" w:lineRule="auto"/>
        <w:jc w:val="both"/>
        <w:rPr>
          <w:rFonts w:ascii="Open Sans" w:eastAsia="Open Sans" w:hAnsi="Open Sans" w:cs="Open Sans"/>
        </w:rPr>
      </w:pPr>
    </w:p>
    <w:p w14:paraId="467A3F2B" w14:textId="04C0D524" w:rsidR="00A256E3" w:rsidRDefault="00FE2D32">
      <w:pPr>
        <w:pBdr>
          <w:top w:val="nil"/>
          <w:left w:val="nil"/>
          <w:bottom w:val="nil"/>
          <w:right w:val="nil"/>
          <w:between w:val="nil"/>
        </w:pBdr>
        <w:spacing w:line="276" w:lineRule="auto"/>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L</w:t>
      </w:r>
      <w:r w:rsidR="00000000">
        <w:rPr>
          <w:rFonts w:ascii="Open Sans Light" w:eastAsia="Open Sans Light" w:hAnsi="Open Sans Light" w:cs="Open Sans Light"/>
          <w:b/>
          <w:color w:val="303AB2"/>
          <w:sz w:val="26"/>
          <w:szCs w:val="26"/>
        </w:rPr>
        <w:t>os propietarios son los más interesados</w:t>
      </w:r>
    </w:p>
    <w:p w14:paraId="5AD61EE0" w14:textId="77777777" w:rsidR="00A256E3" w:rsidRDefault="00A256E3">
      <w:pPr>
        <w:pBdr>
          <w:top w:val="nil"/>
          <w:left w:val="nil"/>
          <w:bottom w:val="nil"/>
          <w:right w:val="nil"/>
          <w:between w:val="nil"/>
        </w:pBdr>
        <w:spacing w:line="276" w:lineRule="auto"/>
        <w:jc w:val="both"/>
        <w:rPr>
          <w:rFonts w:ascii="Open Sans" w:eastAsia="Open Sans" w:hAnsi="Open Sans" w:cs="Open Sans"/>
        </w:rPr>
      </w:pPr>
    </w:p>
    <w:p w14:paraId="636B5170" w14:textId="09515DCB" w:rsidR="00A256E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cuanto al conocimiento son </w:t>
      </w:r>
      <w:r w:rsidRPr="00FE2D32">
        <w:rPr>
          <w:rFonts w:ascii="Open Sans" w:eastAsia="Open Sans" w:hAnsi="Open Sans" w:cs="Open Sans"/>
          <w:b/>
          <w:bCs/>
        </w:rPr>
        <w:t>los arrendadores los que muestran de largo su consciencia de este escenario, con un 76% de los encuestados al tanto</w:t>
      </w:r>
      <w:r>
        <w:rPr>
          <w:rFonts w:ascii="Open Sans" w:eastAsia="Open Sans" w:hAnsi="Open Sans" w:cs="Open Sans"/>
        </w:rPr>
        <w:t>, en mayor o menor medida. De hecho, los que muestran una noción sólida de la norma alcanzan el 34%.</w:t>
      </w:r>
    </w:p>
    <w:p w14:paraId="27201C44" w14:textId="77777777" w:rsidR="00A256E3" w:rsidRDefault="00A256E3">
      <w:pPr>
        <w:pBdr>
          <w:top w:val="nil"/>
          <w:left w:val="nil"/>
          <w:bottom w:val="nil"/>
          <w:right w:val="nil"/>
          <w:between w:val="nil"/>
        </w:pBdr>
        <w:spacing w:line="276" w:lineRule="auto"/>
        <w:jc w:val="both"/>
        <w:rPr>
          <w:rFonts w:ascii="Open Sans" w:eastAsia="Open Sans" w:hAnsi="Open Sans" w:cs="Open Sans"/>
        </w:rPr>
      </w:pPr>
    </w:p>
    <w:p w14:paraId="2A70962D" w14:textId="64ED93F0" w:rsidR="00FE2D32" w:rsidRDefault="00FE2D32" w:rsidP="00FE2D32">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noProof/>
        </w:rPr>
        <w:drawing>
          <wp:inline distT="0" distB="0" distL="0" distR="0" wp14:anchorId="1A4FDDF7" wp14:editId="13209B2C">
            <wp:extent cx="5585460" cy="3086100"/>
            <wp:effectExtent l="0" t="0" r="0" b="0"/>
            <wp:docPr id="2066816622" name="image1.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Gráfico, Gráfico de barras&#10;&#10;El contenido generado por IA puede ser incorrecto."/>
                    <pic:cNvPicPr preferRelativeResize="0"/>
                  </pic:nvPicPr>
                  <pic:blipFill>
                    <a:blip r:embed="rId13"/>
                    <a:srcRect/>
                    <a:stretch>
                      <a:fillRect/>
                    </a:stretch>
                  </pic:blipFill>
                  <pic:spPr>
                    <a:xfrm>
                      <a:off x="0" y="0"/>
                      <a:ext cx="5585956" cy="3086374"/>
                    </a:xfrm>
                    <a:prstGeom prst="rect">
                      <a:avLst/>
                    </a:prstGeom>
                    <a:ln/>
                  </pic:spPr>
                </pic:pic>
              </a:graphicData>
            </a:graphic>
          </wp:inline>
        </w:drawing>
      </w:r>
    </w:p>
    <w:p w14:paraId="33DD8D02" w14:textId="77777777" w:rsidR="00FE2D32" w:rsidRDefault="00FE2D32">
      <w:pPr>
        <w:pBdr>
          <w:top w:val="nil"/>
          <w:left w:val="nil"/>
          <w:bottom w:val="nil"/>
          <w:right w:val="nil"/>
          <w:between w:val="nil"/>
        </w:pBdr>
        <w:spacing w:line="276" w:lineRule="auto"/>
        <w:jc w:val="both"/>
        <w:rPr>
          <w:rFonts w:ascii="Open Sans" w:eastAsia="Open Sans" w:hAnsi="Open Sans" w:cs="Open Sans"/>
        </w:rPr>
      </w:pPr>
    </w:p>
    <w:p w14:paraId="5EDC57E2" w14:textId="77777777" w:rsidR="00FE2D32" w:rsidRDefault="00FE2D32">
      <w:pPr>
        <w:pBdr>
          <w:top w:val="nil"/>
          <w:left w:val="nil"/>
          <w:bottom w:val="nil"/>
          <w:right w:val="nil"/>
          <w:between w:val="nil"/>
        </w:pBdr>
        <w:spacing w:line="276" w:lineRule="auto"/>
        <w:jc w:val="both"/>
        <w:rPr>
          <w:rFonts w:ascii="Open Sans" w:eastAsia="Open Sans" w:hAnsi="Open Sans" w:cs="Open Sans"/>
        </w:rPr>
      </w:pPr>
    </w:p>
    <w:p w14:paraId="15E929BB" w14:textId="77777777" w:rsidR="00A256E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Curiosamente, son </w:t>
      </w:r>
      <w:r w:rsidRPr="00FE2D32">
        <w:rPr>
          <w:rFonts w:ascii="Open Sans" w:eastAsia="Open Sans" w:hAnsi="Open Sans" w:cs="Open Sans"/>
          <w:b/>
          <w:bCs/>
        </w:rPr>
        <w:t>los inquilinos los que adolecen de una mayor ignorancia de una norma que está diseñada para ellos</w:t>
      </w:r>
      <w:r>
        <w:rPr>
          <w:rFonts w:ascii="Open Sans" w:eastAsia="Open Sans" w:hAnsi="Open Sans" w:cs="Open Sans"/>
        </w:rPr>
        <w:t>, al reconocer desconocerla en nada menos que el 50% de los casos, con una familiaridad con la misma de tan solo el 17%.</w:t>
      </w:r>
    </w:p>
    <w:p w14:paraId="2CF2BA49" w14:textId="77777777" w:rsidR="00A256E3" w:rsidRDefault="00A256E3">
      <w:pPr>
        <w:pBdr>
          <w:top w:val="nil"/>
          <w:left w:val="nil"/>
          <w:bottom w:val="nil"/>
          <w:right w:val="nil"/>
          <w:between w:val="nil"/>
        </w:pBdr>
        <w:spacing w:line="276" w:lineRule="auto"/>
        <w:jc w:val="both"/>
        <w:rPr>
          <w:rFonts w:ascii="Open Sans" w:eastAsia="Open Sans" w:hAnsi="Open Sans" w:cs="Open Sans"/>
        </w:rPr>
      </w:pPr>
    </w:p>
    <w:p w14:paraId="24234642" w14:textId="77777777" w:rsidR="00A256E3"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784B0C0B" w14:textId="77777777" w:rsidR="00A256E3"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sz w:val="22"/>
          <w:szCs w:val="22"/>
        </w:rPr>
        <w:t>Fotocasa Group</w:t>
      </w:r>
      <w:r>
        <w:rPr>
          <w:rFonts w:ascii="Open Sans" w:eastAsia="Open Sans" w:hAnsi="Open Sans" w:cs="Open Sans"/>
          <w:sz w:val="22"/>
          <w:szCs w:val="22"/>
        </w:rPr>
        <w:t xml:space="preserve">. </w:t>
      </w:r>
    </w:p>
    <w:p w14:paraId="7219F96E" w14:textId="77777777" w:rsidR="00A256E3"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4">
        <w:r>
          <w:rPr>
            <w:rFonts w:ascii="Open Sans" w:eastAsia="Open Sans" w:hAnsi="Open Sans" w:cs="Open Sans"/>
            <w:b/>
            <w:color w:val="0000FF"/>
            <w:sz w:val="22"/>
            <w:szCs w:val="22"/>
            <w:u w:val="single"/>
          </w:rPr>
          <w:t>Índice inmobiliario Fotocasa</w:t>
        </w:r>
      </w:hyperlink>
      <w:r>
        <w:rPr>
          <w:rFonts w:ascii="Open Sans" w:eastAsia="Open Sans" w:hAnsi="Open Sans" w:cs="Open Sans"/>
          <w:sz w:val="22"/>
          <w:szCs w:val="22"/>
        </w:rPr>
        <w:t>, un informe de referencia que analiza la evolución del precio medio de la vivienda en España, tanto en venta como en alquiler.</w:t>
      </w:r>
    </w:p>
    <w:p w14:paraId="6982DF7A" w14:textId="77777777" w:rsidR="00A256E3"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Desde 2017, desarrolla además estudios sociológicos bajo el sello </w:t>
      </w:r>
      <w:hyperlink r:id="rId15">
        <w:r>
          <w:rPr>
            <w:rFonts w:ascii="Open Sans" w:eastAsia="Open Sans" w:hAnsi="Open Sans" w:cs="Open Sans"/>
            <w:b/>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5CC44886" w14:textId="77777777" w:rsidR="00A256E3"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6">
        <w:r>
          <w:rPr>
            <w:rFonts w:ascii="Open Sans" w:eastAsia="Open Sans" w:hAnsi="Open Sans" w:cs="Open Sans"/>
            <w:b/>
            <w:color w:val="0000FF"/>
            <w:sz w:val="22"/>
            <w:szCs w:val="22"/>
            <w:u w:val="single"/>
          </w:rPr>
          <w:t>Sala de Prensa</w:t>
        </w:r>
      </w:hyperlink>
    </w:p>
    <w:p w14:paraId="711F2A86" w14:textId="77777777" w:rsidR="00A256E3" w:rsidRDefault="00A256E3">
      <w:pPr>
        <w:spacing w:line="276" w:lineRule="auto"/>
        <w:rPr>
          <w:rFonts w:ascii="Open Sans Light" w:eastAsia="Open Sans Light" w:hAnsi="Open Sans Light" w:cs="Open Sans Light"/>
          <w:b/>
          <w:color w:val="303AB2"/>
        </w:rPr>
      </w:pPr>
    </w:p>
    <w:p w14:paraId="53AF3B75" w14:textId="77777777" w:rsidR="00A256E3" w:rsidRDefault="00A256E3">
      <w:pPr>
        <w:spacing w:line="276" w:lineRule="auto"/>
        <w:rPr>
          <w:rFonts w:ascii="Open Sans Light" w:eastAsia="Open Sans Light" w:hAnsi="Open Sans Light" w:cs="Open Sans Light"/>
          <w:b/>
          <w:color w:val="303AB2"/>
        </w:rPr>
      </w:pPr>
    </w:p>
    <w:p w14:paraId="0488DD30" w14:textId="77777777" w:rsidR="00A256E3"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 Group</w:t>
      </w:r>
    </w:p>
    <w:p w14:paraId="119A1A36" w14:textId="77777777" w:rsidR="00A256E3"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5FEC3DB1" w14:textId="77777777" w:rsidR="00A256E3"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7">
        <w:r>
          <w:rPr>
            <w:rFonts w:ascii="Open Sans" w:eastAsia="Open Sans" w:hAnsi="Open Sans" w:cs="Open Sans"/>
            <w:b/>
            <w:color w:val="0000FF"/>
            <w:sz w:val="22"/>
            <w:szCs w:val="22"/>
            <w:u w:val="single"/>
          </w:rPr>
          <w:t>Fotocasa</w:t>
        </w:r>
      </w:hyperlink>
      <w:r>
        <w:rPr>
          <w:rFonts w:ascii="Open Sans" w:eastAsia="Open Sans" w:hAnsi="Open Sans" w:cs="Open Sans"/>
          <w:sz w:val="22"/>
          <w:szCs w:val="22"/>
        </w:rPr>
        <w:t xml:space="preserve">, </w:t>
      </w:r>
      <w:hyperlink r:id="rId18">
        <w:r>
          <w:rPr>
            <w:rFonts w:ascii="Open Sans" w:eastAsia="Open Sans" w:hAnsi="Open Sans" w:cs="Open Sans"/>
            <w:b/>
            <w:color w:val="0000FF"/>
            <w:sz w:val="22"/>
            <w:szCs w:val="22"/>
            <w:u w:val="single"/>
          </w:rPr>
          <w:t>habitaclia</w:t>
        </w:r>
      </w:hyperlink>
      <w:r>
        <w:rPr>
          <w:rFonts w:ascii="Open Sans" w:eastAsia="Open Sans" w:hAnsi="Open Sans" w:cs="Open Sans"/>
          <w:sz w:val="22"/>
          <w:szCs w:val="22"/>
        </w:rPr>
        <w:t xml:space="preserve">, </w:t>
      </w:r>
      <w:hyperlink r:id="rId19">
        <w:r>
          <w:rPr>
            <w:rFonts w:ascii="Open Sans" w:eastAsia="Open Sans" w:hAnsi="Open Sans" w:cs="Open Sans"/>
            <w:b/>
            <w:color w:val="0000FF"/>
            <w:sz w:val="22"/>
            <w:szCs w:val="22"/>
            <w:u w:val="single"/>
          </w:rPr>
          <w:t>Fotocasa Pro</w:t>
        </w:r>
      </w:hyperlink>
      <w:r>
        <w:rPr>
          <w:rFonts w:ascii="Open Sans" w:eastAsia="Open Sans" w:hAnsi="Open Sans" w:cs="Open Sans"/>
          <w:sz w:val="22"/>
          <w:szCs w:val="22"/>
        </w:rPr>
        <w:t xml:space="preserve">, </w:t>
      </w:r>
      <w:hyperlink r:id="rId20">
        <w:r>
          <w:rPr>
            <w:rFonts w:ascii="Open Sans" w:eastAsia="Open Sans" w:hAnsi="Open Sans" w:cs="Open Sans"/>
            <w:b/>
            <w:color w:val="0000FF"/>
            <w:sz w:val="22"/>
            <w:szCs w:val="22"/>
            <w:u w:val="single"/>
          </w:rPr>
          <w:t>Datavenues</w:t>
        </w:r>
      </w:hyperlink>
      <w:r>
        <w:rPr>
          <w:rFonts w:ascii="Open Sans" w:eastAsia="Open Sans" w:hAnsi="Open Sans" w:cs="Open Sans"/>
          <w:sz w:val="22"/>
          <w:szCs w:val="22"/>
        </w:rPr>
        <w:t xml:space="preserve">, </w:t>
      </w:r>
      <w:hyperlink r:id="rId21">
        <w:r>
          <w:rPr>
            <w:rFonts w:ascii="Open Sans" w:eastAsia="Open Sans" w:hAnsi="Open Sans" w:cs="Open Sans"/>
            <w:b/>
            <w:color w:val="0000FF"/>
            <w:sz w:val="22"/>
            <w:szCs w:val="22"/>
            <w:u w:val="single"/>
          </w:rPr>
          <w:t>Witei</w:t>
        </w:r>
      </w:hyperlink>
      <w:r>
        <w:rPr>
          <w:rFonts w:ascii="Open Sans" w:eastAsia="Open Sans" w:hAnsi="Open Sans" w:cs="Open Sans"/>
          <w:sz w:val="22"/>
          <w:szCs w:val="22"/>
        </w:rPr>
        <w:t xml:space="preserve"> e </w:t>
      </w:r>
      <w:hyperlink r:id="rId22">
        <w:r>
          <w:rPr>
            <w:rFonts w:ascii="Open Sans" w:eastAsia="Open Sans" w:hAnsi="Open Sans" w:cs="Open Sans"/>
            <w:b/>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sz w:val="22"/>
          <w:szCs w:val="22"/>
        </w:rPr>
        <w:t>para particulares como para profesionales del sector</w:t>
      </w:r>
      <w:r>
        <w:rPr>
          <w:rFonts w:ascii="Open Sans" w:eastAsia="Open Sans" w:hAnsi="Open Sans" w:cs="Open Sans"/>
          <w:sz w:val="22"/>
          <w:szCs w:val="22"/>
        </w:rPr>
        <w:t>.</w:t>
      </w:r>
    </w:p>
    <w:p w14:paraId="0507925C" w14:textId="77777777" w:rsidR="00A256E3"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sz w:val="22"/>
          <w:szCs w:val="22"/>
        </w:rPr>
        <w:t>referente del mercado inmobiliario</w:t>
      </w:r>
      <w:r>
        <w:rPr>
          <w:rFonts w:ascii="Open Sans" w:eastAsia="Open Sans" w:hAnsi="Open Sans" w:cs="Open Sans"/>
          <w:sz w:val="22"/>
          <w:szCs w:val="22"/>
        </w:rPr>
        <w:t>.</w:t>
      </w:r>
    </w:p>
    <w:p w14:paraId="0E868BD9" w14:textId="77777777" w:rsidR="00A256E3"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lastRenderedPageBreak/>
        <w:t>En Fotocasa Group, </w:t>
      </w:r>
      <w:r>
        <w:rPr>
          <w:rFonts w:ascii="Open Sans" w:eastAsia="Open Sans" w:hAnsi="Open Sans" w:cs="Open Sans"/>
          <w:b/>
          <w:sz w:val="22"/>
          <w:szCs w:val="22"/>
        </w:rPr>
        <w:t>unimos personas y propiedades</w:t>
      </w:r>
      <w:r>
        <w:rPr>
          <w:rFonts w:ascii="Open Sans" w:eastAsia="Open Sans" w:hAnsi="Open Sans" w:cs="Open Sans"/>
          <w:sz w:val="22"/>
          <w:szCs w:val="22"/>
        </w:rPr>
        <w:t> a través de una plataforma inteligente, diseñada para hacer que </w:t>
      </w:r>
      <w:r>
        <w:rPr>
          <w:rFonts w:ascii="Open Sans" w:eastAsia="Open Sans" w:hAnsi="Open Sans" w:cs="Open Sans"/>
          <w:b/>
          <w:sz w:val="22"/>
          <w:szCs w:val="22"/>
        </w:rPr>
        <w:t>buscar, comprar o alquilar vivienda</w:t>
      </w:r>
      <w:r>
        <w:rPr>
          <w:rFonts w:ascii="Open Sans" w:eastAsia="Open Sans" w:hAnsi="Open Sans" w:cs="Open Sans"/>
          <w:sz w:val="22"/>
          <w:szCs w:val="22"/>
        </w:rPr>
        <w:t> sea una experiencia más fácil, transparente y eficiente.</w:t>
      </w:r>
    </w:p>
    <w:p w14:paraId="5AAFAEB1" w14:textId="77777777" w:rsidR="00A256E3"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Nuestra visión es clara</w:t>
      </w:r>
      <w:r>
        <w:rPr>
          <w:rFonts w:ascii="Open Sans" w:eastAsia="Open Sans" w:hAnsi="Open Sans" w:cs="Open Sans"/>
          <w:b/>
          <w:sz w:val="22"/>
          <w:szCs w:val="22"/>
        </w:rPr>
        <w:t>: ser el lugar donde tu nuevo hogar te encuentra</w:t>
      </w:r>
      <w:r>
        <w:rPr>
          <w:rFonts w:ascii="Open Sans" w:eastAsia="Open Sans" w:hAnsi="Open Sans" w:cs="Open Sans"/>
          <w:sz w:val="22"/>
          <w:szCs w:val="22"/>
        </w:rPr>
        <w:t>.</w:t>
      </w:r>
    </w:p>
    <w:p w14:paraId="20CD923F" w14:textId="77777777" w:rsidR="00A256E3" w:rsidRDefault="00A256E3">
      <w:pPr>
        <w:shd w:val="clear" w:color="auto" w:fill="FFFFFF"/>
        <w:spacing w:before="280" w:after="280" w:line="276" w:lineRule="auto"/>
        <w:jc w:val="both"/>
        <w:rPr>
          <w:rFonts w:ascii="Open Sans" w:eastAsia="Open Sans" w:hAnsi="Open Sans" w:cs="Open Sans"/>
          <w:sz w:val="22"/>
          <w:szCs w:val="22"/>
        </w:rPr>
      </w:pPr>
    </w:p>
    <w:p w14:paraId="09703B7B" w14:textId="77777777" w:rsidR="00A256E3"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 Group</w:t>
      </w:r>
    </w:p>
    <w:p w14:paraId="31A680D3" w14:textId="77777777" w:rsidR="00A256E3"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5BA8FFC2" w14:textId="77777777" w:rsidR="00A256E3" w:rsidRDefault="00000000">
      <w:pPr>
        <w:shd w:val="clear" w:color="auto" w:fill="FFFFFF"/>
        <w:spacing w:line="276" w:lineRule="auto"/>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7D689EE6" w14:textId="77777777" w:rsidR="00A256E3"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31A4CD33" w14:textId="77777777" w:rsidR="00A256E3" w:rsidRDefault="00A256E3">
      <w:pPr>
        <w:spacing w:line="276" w:lineRule="auto"/>
        <w:jc w:val="right"/>
        <w:rPr>
          <w:rFonts w:ascii="Open Sans" w:eastAsia="Open Sans" w:hAnsi="Open Sans" w:cs="Open Sans"/>
          <w:color w:val="000000"/>
          <w:sz w:val="22"/>
          <w:szCs w:val="22"/>
        </w:rPr>
      </w:pPr>
    </w:p>
    <w:sectPr w:rsidR="00A256E3">
      <w:footerReference w:type="default" r:id="rId24"/>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9B0790" w14:textId="77777777" w:rsidR="00F301C7" w:rsidRDefault="00F301C7">
      <w:r>
        <w:separator/>
      </w:r>
    </w:p>
  </w:endnote>
  <w:endnote w:type="continuationSeparator" w:id="0">
    <w:p w14:paraId="1E9A677E" w14:textId="77777777" w:rsidR="00F301C7" w:rsidRDefault="00F30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2469F22-7B4A-46A0-B766-DA6C7664B93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746BF03-3F54-45CF-A615-47BB503FB8A9}"/>
    <w:embedBold r:id="rId3" w:fontKey="{695606B1-91B9-4786-AFEE-2406784F1EDC}"/>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02CB078-1E8E-4165-81B8-FFCFFC0BF3D2}"/>
  </w:font>
  <w:font w:name="Georgia">
    <w:panose1 w:val="02040502050405020303"/>
    <w:charset w:val="00"/>
    <w:family w:val="roman"/>
    <w:pitch w:val="variable"/>
    <w:sig w:usb0="00000287" w:usb1="00000000" w:usb2="00000000" w:usb3="00000000" w:csb0="0000009F" w:csb1="00000000"/>
    <w:embedRegular r:id="rId5" w:fontKey="{DFD53681-E719-43C5-99AE-AE62A58A1EED}"/>
    <w:embedItalic r:id="rId6" w:fontKey="{B769E6C6-FE4F-4685-893B-5AEEC4A3F779}"/>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26112399-5BC6-491A-8F38-1F2CC31A0D99}"/>
    <w:embedBold r:id="rId8" w:fontKey="{98AB7D50-7FA9-4C4A-8FE4-0DCB11F6522E}"/>
    <w:embedBoldItalic r:id="rId9" w:fontKey="{2CBADE3E-F65E-4823-AD43-2998F2F06363}"/>
  </w:font>
  <w:font w:name="Open Sans Light">
    <w:charset w:val="00"/>
    <w:family w:val="swiss"/>
    <w:pitch w:val="variable"/>
    <w:sig w:usb0="E00002EF" w:usb1="4000205B" w:usb2="00000028" w:usb3="00000000" w:csb0="0000019F" w:csb1="00000000"/>
    <w:embedRegular r:id="rId10" w:fontKey="{804D5BA7-213C-4202-97B6-8FD5874C051D}"/>
    <w:embedBold r:id="rId11" w:fontKey="{7F41D739-1BCE-4D46-8FDB-065ADAA729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1C224" w14:textId="77777777" w:rsidR="00A256E3"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0DBE37C3" wp14:editId="556DDB1A">
          <wp:simplePos x="0" y="0"/>
          <wp:positionH relativeFrom="column">
            <wp:posOffset>-1068041</wp:posOffset>
          </wp:positionH>
          <wp:positionV relativeFrom="paragraph">
            <wp:posOffset>174608</wp:posOffset>
          </wp:positionV>
          <wp:extent cx="7670550" cy="451315"/>
          <wp:effectExtent l="0" t="0" r="0" b="0"/>
          <wp:wrapNone/>
          <wp:docPr id="20668166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08D96B" w14:textId="77777777" w:rsidR="00F301C7" w:rsidRDefault="00F301C7">
      <w:r>
        <w:separator/>
      </w:r>
    </w:p>
  </w:footnote>
  <w:footnote w:type="continuationSeparator" w:id="0">
    <w:p w14:paraId="61816573" w14:textId="77777777" w:rsidR="00F301C7" w:rsidRDefault="00F301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9951D7"/>
    <w:multiLevelType w:val="multilevel"/>
    <w:tmpl w:val="E1CCC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95409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6E3"/>
    <w:rsid w:val="00A256E3"/>
    <w:rsid w:val="00D80130"/>
    <w:rsid w:val="00E3087A"/>
    <w:rsid w:val="00F301C7"/>
    <w:rsid w:val="00FE2D3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F8C4C"/>
  <w15:docId w15:val="{094651E2-198E-4CFE-A3E3-728DB3E9A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a">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9"/>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paragraph">
    <w:name w:val="paragraph"/>
    <w:basedOn w:val="Normal"/>
    <w:rsid w:val="00B53090"/>
    <w:pPr>
      <w:spacing w:before="100" w:beforeAutospacing="1" w:after="100" w:afterAutospacing="1"/>
    </w:pPr>
    <w:rPr>
      <w:rFonts w:ascii="Times New Roman" w:eastAsia="Times New Roman" w:hAnsi="Times New Roman" w:cs="Times New Roman"/>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habitaclia.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get.witei.com/e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fotocasa.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datavenu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research.fotocasa.es" TargetMode="External"/><Relationship Id="rId23" Type="http://schemas.openxmlformats.org/officeDocument/2006/relationships/hyperlink" Target="mailto:comunicacion@fotocasa.es" TargetMode="External"/><Relationship Id="rId10" Type="http://schemas.openxmlformats.org/officeDocument/2006/relationships/image" Target="media/image2.png"/><Relationship Id="rId19" Type="http://schemas.openxmlformats.org/officeDocument/2006/relationships/hyperlink" Target="https://profesionales.fotocasa.es/"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fotocasa.es/indice/" TargetMode="External"/><Relationship Id="rId22" Type="http://schemas.openxmlformats.org/officeDocument/2006/relationships/hyperlink" Target="https://www.inmoweb.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y6g/kbuL1atFOptUMO/ky1mJoA==">CgMxLjA4AHIhMXJUUDRCWmNVMHJlbmI3dzFObFZZRkVjcGVwQVlDU000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1180</Words>
  <Characters>6496</Characters>
  <Application>Microsoft Office Word</Application>
  <DocSecurity>0</DocSecurity>
  <Lines>54</Lines>
  <Paragraphs>15</Paragraphs>
  <ScaleCrop>false</ScaleCrop>
  <Company/>
  <LinksUpToDate>false</LinksUpToDate>
  <CharactersWithSpaces>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2024-02-06T13:46:00Z</dcterms:created>
  <dcterms:modified xsi:type="dcterms:W3CDTF">2025-11-09T22:12:00Z</dcterms:modified>
</cp:coreProperties>
</file>