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C6C541" w14:textId="77777777" w:rsidR="00A31371" w:rsidRDefault="00000000">
      <w:pPr>
        <w:spacing w:line="240" w:lineRule="auto"/>
        <w:jc w:val="center"/>
        <w:rPr>
          <w:rFonts w:ascii="National" w:eastAsia="National" w:hAnsi="National" w:cs="National"/>
          <w:b/>
          <w:bCs/>
          <w:color w:val="303AB2"/>
          <w:sz w:val="56"/>
          <w:szCs w:val="56"/>
        </w:rPr>
      </w:pPr>
      <w:r>
        <w:rPr>
          <w:rFonts w:ascii="National" w:eastAsia="National" w:hAnsi="National" w:cs="National"/>
          <w:b/>
          <w:bCs/>
          <w:color w:val="303AB2"/>
          <w:sz w:val="56"/>
          <w:szCs w:val="56"/>
        </w:rPr>
        <w:t>“Las compraventas alcanzan su máximo anual y consolidan a 2025 como el mejor año desde 2007”</w:t>
      </w:r>
    </w:p>
    <w:p w14:paraId="4E8A4F6A" w14:textId="77777777" w:rsidR="00A31371" w:rsidRDefault="00A31371">
      <w:pPr>
        <w:spacing w:line="240" w:lineRule="auto"/>
        <w:jc w:val="center"/>
        <w:rPr>
          <w:rFonts w:ascii="National" w:eastAsia="National" w:hAnsi="National" w:cs="National"/>
          <w:b/>
          <w:bCs/>
          <w:color w:val="303AB2"/>
          <w:sz w:val="56"/>
          <w:szCs w:val="56"/>
        </w:rPr>
      </w:pPr>
    </w:p>
    <w:p w14:paraId="2B1578A4" w14:textId="77777777" w:rsidR="00A31371" w:rsidRDefault="00000000">
      <w:pPr>
        <w:pBdr>
          <w:top w:val="nil"/>
          <w:left w:val="nil"/>
          <w:bottom w:val="nil"/>
          <w:right w:val="nil"/>
          <w:between w:val="nil"/>
        </w:pBdr>
        <w:shd w:val="clear" w:color="auto" w:fill="FFFFFF"/>
        <w:spacing w:after="225"/>
        <w:jc w:val="both"/>
        <w:rPr>
          <w:rFonts w:ascii="Open Sans" w:eastAsia="Open Sans" w:hAnsi="Open Sans" w:cs="Open Sans"/>
          <w:b/>
          <w:bCs/>
          <w:color w:val="303AB2"/>
        </w:rPr>
      </w:pPr>
      <w:r>
        <w:rPr>
          <w:rFonts w:ascii="Open Sans" w:eastAsia="Open Sans" w:hAnsi="Open Sans" w:cs="Open Sans"/>
          <w:b/>
          <w:bCs/>
          <w:color w:val="303AB2"/>
        </w:rPr>
        <w:t>Madrid, 15 de diciembre de 2025</w:t>
      </w:r>
    </w:p>
    <w:p w14:paraId="71C1EAF7" w14:textId="77777777" w:rsidR="00A31371" w:rsidRDefault="00000000">
      <w:pPr>
        <w:pBdr>
          <w:top w:val="nil"/>
          <w:left w:val="nil"/>
          <w:bottom w:val="nil"/>
          <w:right w:val="nil"/>
          <w:between w:val="nil"/>
        </w:pBdr>
        <w:shd w:val="clear" w:color="auto" w:fill="FFFFFF"/>
        <w:spacing w:after="225"/>
        <w:jc w:val="both"/>
        <w:rPr>
          <w:rFonts w:ascii="Open Sans" w:eastAsia="Open Sans" w:hAnsi="Open Sans" w:cs="Open Sans"/>
          <w:sz w:val="21"/>
          <w:szCs w:val="21"/>
        </w:rPr>
      </w:pPr>
      <w:r>
        <w:rPr>
          <w:rFonts w:ascii="Open Sans" w:eastAsia="Open Sans" w:hAnsi="Open Sans" w:cs="Open Sans"/>
          <w:sz w:val="21"/>
          <w:szCs w:val="21"/>
        </w:rPr>
        <w:t xml:space="preserve">El dato de transacciones inmobiliarias correspondientes al décimo mes de 2025 dado a conocer hoy por el INE refleja un ascenso mensual del 6,3% y un descenso interanual del -2,5%. “Los últimos datos de compraventa confirman que el mercado se mantiene dinámico, ya que el apetito por adquirir vivienda sigue extraordinariamente elevado. El mercado vive un ciclo de optimismo, impulsado por los bajos tipos de interés y la confianza del comprador. A ello se suma una </w:t>
      </w:r>
      <w:r>
        <w:rPr>
          <w:rFonts w:ascii="Open Sans" w:eastAsia="Open Sans" w:hAnsi="Open Sans" w:cs="Open Sans"/>
          <w:b/>
          <w:bCs/>
          <w:sz w:val="21"/>
          <w:szCs w:val="21"/>
        </w:rPr>
        <w:t>tasa de ahorro familiar todavía robusta y unas condiciones hipotecarias sensiblemente más favorables</w:t>
      </w:r>
      <w:r>
        <w:rPr>
          <w:rFonts w:ascii="Open Sans" w:eastAsia="Open Sans" w:hAnsi="Open Sans" w:cs="Open Sans"/>
          <w:sz w:val="21"/>
          <w:szCs w:val="21"/>
        </w:rPr>
        <w:t xml:space="preserve">, ingredientes que han impulsado una actividad especialmente intensa durante este 2025”, </w:t>
      </w:r>
      <w:r>
        <w:rPr>
          <w:rFonts w:ascii="Open Sans" w:eastAsia="Open Sans" w:hAnsi="Open Sans" w:cs="Open Sans"/>
          <w:b/>
          <w:bCs/>
          <w:sz w:val="21"/>
          <w:szCs w:val="21"/>
        </w:rPr>
        <w:t xml:space="preserve">explica María Matos, directora de Estudios de </w:t>
      </w:r>
      <w:hyperlink r:id="rId7">
        <w:r>
          <w:rPr>
            <w:rFonts w:ascii="Open Sans" w:eastAsia="Open Sans" w:hAnsi="Open Sans" w:cs="Open Sans"/>
            <w:b/>
            <w:bCs/>
            <w:color w:val="0000FF"/>
            <w:sz w:val="21"/>
            <w:szCs w:val="21"/>
            <w:u w:val="single"/>
          </w:rPr>
          <w:t>Fotocasa</w:t>
        </w:r>
      </w:hyperlink>
      <w:r>
        <w:rPr>
          <w:rFonts w:ascii="Open Sans" w:eastAsia="Open Sans" w:hAnsi="Open Sans" w:cs="Open Sans"/>
          <w:b/>
          <w:bCs/>
          <w:sz w:val="21"/>
          <w:szCs w:val="21"/>
        </w:rPr>
        <w:t xml:space="preserve">. </w:t>
      </w:r>
    </w:p>
    <w:p w14:paraId="375FF932" w14:textId="77777777" w:rsidR="00A31371" w:rsidRDefault="00000000">
      <w:pPr>
        <w:pBdr>
          <w:top w:val="nil"/>
          <w:left w:val="nil"/>
          <w:bottom w:val="nil"/>
          <w:right w:val="nil"/>
          <w:between w:val="nil"/>
        </w:pBdr>
        <w:shd w:val="clear" w:color="auto" w:fill="FFFFFF"/>
        <w:spacing w:after="225"/>
        <w:jc w:val="both"/>
        <w:rPr>
          <w:rFonts w:ascii="Open Sans" w:eastAsia="Open Sans" w:hAnsi="Open Sans" w:cs="Open Sans"/>
          <w:sz w:val="21"/>
          <w:szCs w:val="21"/>
        </w:rPr>
      </w:pPr>
      <w:r>
        <w:rPr>
          <w:rFonts w:ascii="Open Sans" w:eastAsia="Open Sans" w:hAnsi="Open Sans" w:cs="Open Sans"/>
          <w:sz w:val="21"/>
          <w:szCs w:val="21"/>
        </w:rPr>
        <w:t xml:space="preserve">Octubre cierra con </w:t>
      </w:r>
      <w:r>
        <w:rPr>
          <w:rFonts w:ascii="Open Sans" w:eastAsia="Open Sans" w:hAnsi="Open Sans" w:cs="Open Sans"/>
          <w:b/>
          <w:bCs/>
          <w:sz w:val="21"/>
          <w:szCs w:val="21"/>
        </w:rPr>
        <w:t>67.789 compraventas y eleva el acumulado de los diez primeros meses del año hasta las 601.543 operaciones, un 12% más que en 2024</w:t>
      </w:r>
      <w:r>
        <w:rPr>
          <w:rFonts w:ascii="Open Sans" w:eastAsia="Open Sans" w:hAnsi="Open Sans" w:cs="Open Sans"/>
          <w:sz w:val="21"/>
          <w:szCs w:val="21"/>
        </w:rPr>
        <w:t xml:space="preserve">. La cifra mensual </w:t>
      </w:r>
      <w:r>
        <w:rPr>
          <w:rFonts w:ascii="Open Sans" w:eastAsia="Open Sans" w:hAnsi="Open Sans" w:cs="Open Sans"/>
          <w:b/>
          <w:bCs/>
          <w:sz w:val="21"/>
          <w:szCs w:val="21"/>
        </w:rPr>
        <w:t>se convierte en el mejor dato del año</w:t>
      </w:r>
      <w:r>
        <w:rPr>
          <w:rFonts w:ascii="Open Sans" w:eastAsia="Open Sans" w:hAnsi="Open Sans" w:cs="Open Sans"/>
          <w:sz w:val="21"/>
          <w:szCs w:val="21"/>
        </w:rPr>
        <w:t xml:space="preserve">. “Este dato refleja el extraordinario nivel de actividad que atraviesa el sector inmobiliario. El ritmo actual, cercano a las 60.000 firmas mensuales, convertirá a </w:t>
      </w:r>
      <w:r>
        <w:rPr>
          <w:rFonts w:ascii="Open Sans" w:eastAsia="Open Sans" w:hAnsi="Open Sans" w:cs="Open Sans"/>
          <w:b/>
          <w:bCs/>
          <w:sz w:val="21"/>
          <w:szCs w:val="21"/>
        </w:rPr>
        <w:t>2025 en el mejor año desde 2007</w:t>
      </w:r>
      <w:r>
        <w:rPr>
          <w:rFonts w:ascii="Open Sans" w:eastAsia="Open Sans" w:hAnsi="Open Sans" w:cs="Open Sans"/>
          <w:sz w:val="21"/>
          <w:szCs w:val="21"/>
        </w:rPr>
        <w:t>, cuando se alcanzaron 775.000 operaciones. Las cifras confirman que la compraventa vive una auténtica etapa dorada, con un mercado que permanece en fase expansiva”, asegura la portavoz.</w:t>
      </w:r>
    </w:p>
    <w:p w14:paraId="77E7C98E" w14:textId="77777777" w:rsidR="00A31371" w:rsidRDefault="00000000">
      <w:pPr>
        <w:pBdr>
          <w:top w:val="nil"/>
          <w:left w:val="nil"/>
          <w:bottom w:val="nil"/>
          <w:right w:val="nil"/>
          <w:between w:val="nil"/>
        </w:pBdr>
        <w:shd w:val="clear" w:color="auto" w:fill="FFFFFF"/>
        <w:spacing w:after="225"/>
        <w:jc w:val="both"/>
        <w:rPr>
          <w:rFonts w:ascii="Open Sans" w:eastAsia="Open Sans" w:hAnsi="Open Sans" w:cs="Open Sans"/>
          <w:b/>
          <w:bCs/>
          <w:sz w:val="21"/>
          <w:szCs w:val="21"/>
        </w:rPr>
      </w:pPr>
      <w:r>
        <w:rPr>
          <w:rFonts w:ascii="Open Sans" w:eastAsia="Open Sans" w:hAnsi="Open Sans" w:cs="Open Sans"/>
          <w:sz w:val="21"/>
          <w:szCs w:val="21"/>
        </w:rPr>
        <w:t xml:space="preserve">“Estos datos muestran una vez más que </w:t>
      </w:r>
      <w:r>
        <w:rPr>
          <w:rFonts w:ascii="Open Sans" w:eastAsia="Open Sans" w:hAnsi="Open Sans" w:cs="Open Sans"/>
          <w:b/>
          <w:bCs/>
          <w:sz w:val="21"/>
          <w:szCs w:val="21"/>
        </w:rPr>
        <w:t xml:space="preserve">la reactivación de la demanda está estrechamente ligada al giro en la política monetaria </w:t>
      </w:r>
      <w:r>
        <w:rPr>
          <w:rFonts w:ascii="Open Sans" w:eastAsia="Open Sans" w:hAnsi="Open Sans" w:cs="Open Sans"/>
          <w:sz w:val="21"/>
          <w:szCs w:val="21"/>
        </w:rPr>
        <w:t xml:space="preserve">del BCE y que </w:t>
      </w:r>
      <w:r>
        <w:rPr>
          <w:rFonts w:ascii="Open Sans" w:eastAsia="Open Sans" w:hAnsi="Open Sans" w:cs="Open Sans"/>
          <w:b/>
          <w:bCs/>
          <w:sz w:val="21"/>
          <w:szCs w:val="21"/>
        </w:rPr>
        <w:t>está actuando como palanca para muchos ciudadanos que, hasta ahora, habían permanecido fuera del mercado, concretamente para el 21%</w:t>
      </w:r>
      <w:r>
        <w:rPr>
          <w:rFonts w:ascii="Open Sans" w:eastAsia="Open Sans" w:hAnsi="Open Sans" w:cs="Open Sans"/>
          <w:sz w:val="21"/>
          <w:szCs w:val="21"/>
        </w:rPr>
        <w:t>.</w:t>
      </w:r>
      <w:r>
        <w:rPr>
          <w:rFonts w:ascii="Open Sans" w:eastAsia="Open Sans" w:hAnsi="Open Sans" w:cs="Open Sans"/>
          <w:b/>
          <w:bCs/>
          <w:sz w:val="21"/>
          <w:szCs w:val="21"/>
        </w:rPr>
        <w:t xml:space="preserve"> </w:t>
      </w:r>
      <w:r>
        <w:rPr>
          <w:rFonts w:ascii="Open Sans" w:eastAsia="Open Sans" w:hAnsi="Open Sans" w:cs="Open Sans"/>
          <w:sz w:val="21"/>
          <w:szCs w:val="21"/>
        </w:rPr>
        <w:t xml:space="preserve">Recordamos que, en 2022, el 40% de los compradores se vieron afectados por el brusco incremento de los tipos de interés, llegando a paralizar el proceso en el 19% de los casos. Esta actividad que estamos viendo también viene impulsada por aquellos ciudadanos que habían paralizado la compra de vivienda a la espera de que las condiciones hipotecarias mejorasen”, recuerda </w:t>
      </w:r>
      <w:r>
        <w:rPr>
          <w:rFonts w:ascii="Open Sans" w:eastAsia="Open Sans" w:hAnsi="Open Sans" w:cs="Open Sans"/>
          <w:b/>
          <w:bCs/>
          <w:sz w:val="21"/>
          <w:szCs w:val="21"/>
        </w:rPr>
        <w:t xml:space="preserve">María Matos, directora de Estudios de </w:t>
      </w:r>
      <w:hyperlink r:id="rId8">
        <w:r>
          <w:rPr>
            <w:rFonts w:ascii="Open Sans" w:eastAsia="Open Sans" w:hAnsi="Open Sans" w:cs="Open Sans"/>
            <w:b/>
            <w:bCs/>
            <w:color w:val="0000FF"/>
            <w:sz w:val="21"/>
            <w:szCs w:val="21"/>
            <w:u w:val="single"/>
          </w:rPr>
          <w:t>Fotocasa</w:t>
        </w:r>
      </w:hyperlink>
      <w:r>
        <w:rPr>
          <w:rFonts w:ascii="Open Sans" w:eastAsia="Open Sans" w:hAnsi="Open Sans" w:cs="Open Sans"/>
          <w:b/>
          <w:bCs/>
          <w:sz w:val="21"/>
          <w:szCs w:val="21"/>
        </w:rPr>
        <w:t xml:space="preserve">. </w:t>
      </w:r>
    </w:p>
    <w:p w14:paraId="45461905" w14:textId="77777777" w:rsidR="00BB6269" w:rsidRDefault="00BB6269">
      <w:pPr>
        <w:pBdr>
          <w:top w:val="nil"/>
          <w:left w:val="nil"/>
          <w:bottom w:val="nil"/>
          <w:right w:val="nil"/>
          <w:between w:val="nil"/>
        </w:pBdr>
        <w:shd w:val="clear" w:color="auto" w:fill="FFFFFF"/>
        <w:spacing w:after="225"/>
        <w:jc w:val="both"/>
        <w:rPr>
          <w:rFonts w:ascii="Open Sans" w:eastAsia="Open Sans" w:hAnsi="Open Sans" w:cs="Open Sans"/>
          <w:sz w:val="21"/>
          <w:szCs w:val="21"/>
        </w:rPr>
      </w:pPr>
    </w:p>
    <w:p w14:paraId="122C36FD" w14:textId="77777777" w:rsidR="00A31371" w:rsidRDefault="00000000">
      <w:pPr>
        <w:shd w:val="clear" w:color="auto" w:fill="FFFFFF"/>
        <w:spacing w:after="225"/>
        <w:jc w:val="both"/>
        <w:rPr>
          <w:rFonts w:ascii="Open Sans" w:eastAsia="Open Sans" w:hAnsi="Open Sans" w:cs="Open Sans"/>
          <w:b/>
          <w:bCs/>
          <w:color w:val="303AB2"/>
          <w:sz w:val="26"/>
          <w:szCs w:val="26"/>
        </w:rPr>
      </w:pPr>
      <w:r>
        <w:rPr>
          <w:rFonts w:ascii="Open Sans" w:eastAsia="Open Sans" w:hAnsi="Open Sans" w:cs="Open Sans"/>
          <w:b/>
          <w:bCs/>
          <w:color w:val="303AB2"/>
          <w:sz w:val="26"/>
          <w:szCs w:val="26"/>
        </w:rPr>
        <w:lastRenderedPageBreak/>
        <w:t>La vivienda de obra nueva supone más del 20% de las ventas</w:t>
      </w:r>
    </w:p>
    <w:p w14:paraId="454638B0" w14:textId="77777777" w:rsidR="00A31371" w:rsidRDefault="00000000">
      <w:pPr>
        <w:shd w:val="clear" w:color="auto" w:fill="FFFFFF"/>
        <w:spacing w:before="280" w:after="280"/>
        <w:jc w:val="both"/>
        <w:rPr>
          <w:rFonts w:ascii="Open Sans" w:eastAsia="Open Sans" w:hAnsi="Open Sans" w:cs="Open Sans"/>
          <w:sz w:val="21"/>
          <w:szCs w:val="21"/>
        </w:rPr>
      </w:pPr>
      <w:r>
        <w:rPr>
          <w:rFonts w:ascii="Open Sans" w:eastAsia="Open Sans" w:hAnsi="Open Sans" w:cs="Open Sans"/>
          <w:sz w:val="21"/>
          <w:szCs w:val="21"/>
        </w:rPr>
        <w:t xml:space="preserve">Uno de los datos más relevantes es el de las operaciones sobre </w:t>
      </w:r>
      <w:r>
        <w:rPr>
          <w:rFonts w:ascii="Open Sans" w:eastAsia="Open Sans" w:hAnsi="Open Sans" w:cs="Open Sans"/>
          <w:b/>
          <w:bCs/>
          <w:sz w:val="21"/>
          <w:szCs w:val="21"/>
        </w:rPr>
        <w:t xml:space="preserve">viviendas nuevas que reflejan un descenso interanual del 12% y han supuesto 14.464 compraventas en mayo, un 21,3% del total de las compraventas. </w:t>
      </w:r>
      <w:r>
        <w:rPr>
          <w:rFonts w:ascii="Open Sans" w:eastAsia="Open Sans" w:hAnsi="Open Sans" w:cs="Open Sans"/>
          <w:sz w:val="21"/>
          <w:szCs w:val="21"/>
        </w:rPr>
        <w:t xml:space="preserve">“La vivienda de obra nueva cae ligeramente con respecto al año anterior, sin embargo, sigue experimentando una gran intensidad, debido al alto interés, ya que la vivienda nueva cumple con los requisitos más demandados por los compradores. De hecho, según los informes de </w:t>
      </w:r>
      <w:hyperlink r:id="rId9">
        <w:r>
          <w:rPr>
            <w:rFonts w:ascii="Open Sans" w:eastAsia="Open Sans" w:hAnsi="Open Sans" w:cs="Open Sans"/>
            <w:i/>
            <w:iCs/>
            <w:color w:val="0000FF"/>
            <w:sz w:val="21"/>
            <w:szCs w:val="21"/>
            <w:u w:val="single"/>
          </w:rPr>
          <w:t xml:space="preserve">Fotocasa </w:t>
        </w:r>
        <w:proofErr w:type="spellStart"/>
        <w:r>
          <w:rPr>
            <w:rFonts w:ascii="Open Sans" w:eastAsia="Open Sans" w:hAnsi="Open Sans" w:cs="Open Sans"/>
            <w:i/>
            <w:iCs/>
            <w:color w:val="0000FF"/>
            <w:sz w:val="21"/>
            <w:szCs w:val="21"/>
            <w:u w:val="single"/>
          </w:rPr>
          <w:t>Research</w:t>
        </w:r>
        <w:proofErr w:type="spellEnd"/>
      </w:hyperlink>
      <w:r>
        <w:rPr>
          <w:rFonts w:ascii="Open Sans" w:eastAsia="Open Sans" w:hAnsi="Open Sans" w:cs="Open Sans"/>
          <w:sz w:val="21"/>
          <w:szCs w:val="21"/>
        </w:rPr>
        <w:t xml:space="preserve"> el 20% de los compradores solo quiere comprar obra nueva y un 65% de los compradores se ha planteado mirar obra nueva en algún momento del proceso”, explica la portavoz.</w:t>
      </w:r>
    </w:p>
    <w:p w14:paraId="31F99B4B" w14:textId="77777777" w:rsidR="00A31371" w:rsidRDefault="00000000">
      <w:pPr>
        <w:shd w:val="clear" w:color="auto" w:fill="FFFFFF"/>
        <w:spacing w:before="280" w:after="280"/>
        <w:jc w:val="both"/>
        <w:rPr>
          <w:rFonts w:ascii="Open Sans" w:eastAsia="Open Sans" w:hAnsi="Open Sans" w:cs="Open Sans"/>
          <w:sz w:val="21"/>
          <w:szCs w:val="21"/>
        </w:rPr>
      </w:pPr>
      <w:r>
        <w:rPr>
          <w:rFonts w:ascii="Open Sans" w:eastAsia="Open Sans" w:hAnsi="Open Sans" w:cs="Open Sans"/>
          <w:sz w:val="21"/>
          <w:szCs w:val="21"/>
        </w:rPr>
        <w:t xml:space="preserve">Sin embargo, este gran interés por la obra nueva “puede traer una </w:t>
      </w:r>
      <w:r>
        <w:rPr>
          <w:rFonts w:ascii="Open Sans" w:eastAsia="Open Sans" w:hAnsi="Open Sans" w:cs="Open Sans"/>
          <w:b/>
          <w:bCs/>
          <w:sz w:val="21"/>
          <w:szCs w:val="21"/>
        </w:rPr>
        <w:t>grave problemática de subida de precios, si la demanda continúa tan fuerte</w:t>
      </w:r>
      <w:r>
        <w:rPr>
          <w:rFonts w:ascii="Open Sans" w:eastAsia="Open Sans" w:hAnsi="Open Sans" w:cs="Open Sans"/>
          <w:sz w:val="21"/>
          <w:szCs w:val="21"/>
        </w:rPr>
        <w:t xml:space="preserve">. Las dificultades de los promotores para encontrar suelo y financiarlo, además del aumento del coste de los materiales o a la excesiva burocracia y la gran falta de mano de obra a la que se enfrenta el sector mantiene los niveles productivos insuficientes para poder absorber la demanda de compra existente”, explica María Matos. </w:t>
      </w:r>
    </w:p>
    <w:p w14:paraId="4FC7608A" w14:textId="77777777" w:rsidR="00A31371" w:rsidRDefault="00000000">
      <w:pPr>
        <w:shd w:val="clear" w:color="auto" w:fill="FFFFFF"/>
        <w:spacing w:after="225"/>
        <w:jc w:val="both"/>
        <w:rPr>
          <w:rFonts w:ascii="Open Sans" w:eastAsia="Open Sans" w:hAnsi="Open Sans" w:cs="Open Sans"/>
          <w:b/>
          <w:bCs/>
          <w:color w:val="303AB2"/>
          <w:sz w:val="26"/>
          <w:szCs w:val="26"/>
        </w:rPr>
      </w:pPr>
      <w:r>
        <w:rPr>
          <w:rFonts w:ascii="Open Sans" w:eastAsia="Open Sans" w:hAnsi="Open Sans" w:cs="Open Sans"/>
          <w:b/>
          <w:bCs/>
          <w:color w:val="303AB2"/>
          <w:sz w:val="26"/>
          <w:szCs w:val="26"/>
        </w:rPr>
        <w:t>Previsiones de actividad para el cierre de 2025</w:t>
      </w:r>
    </w:p>
    <w:p w14:paraId="2ECF753C" w14:textId="77777777" w:rsidR="00A31371" w:rsidRDefault="00000000">
      <w:pPr>
        <w:shd w:val="clear" w:color="auto" w:fill="FFFFFF"/>
        <w:spacing w:before="280" w:after="280"/>
        <w:jc w:val="both"/>
        <w:rPr>
          <w:rFonts w:ascii="Open Sans" w:eastAsia="Open Sans" w:hAnsi="Open Sans" w:cs="Open Sans"/>
          <w:sz w:val="21"/>
          <w:szCs w:val="21"/>
        </w:rPr>
      </w:pPr>
      <w:r>
        <w:rPr>
          <w:rFonts w:ascii="Open Sans" w:eastAsia="Open Sans" w:hAnsi="Open Sans" w:cs="Open Sans"/>
          <w:sz w:val="21"/>
          <w:szCs w:val="21"/>
        </w:rPr>
        <w:t xml:space="preserve">“La política económica de estabilización de tipos y del Euríbor siguen siendo los principales dinamizadores de la compra de vivienda en España. Según los últimos datos de </w:t>
      </w:r>
      <w:hyperlink r:id="rId10">
        <w:r>
          <w:rPr>
            <w:rFonts w:ascii="Open Sans" w:eastAsia="Open Sans" w:hAnsi="Open Sans" w:cs="Open Sans"/>
            <w:i/>
            <w:iCs/>
            <w:color w:val="1155CC"/>
            <w:sz w:val="21"/>
            <w:szCs w:val="21"/>
            <w:u w:val="single"/>
          </w:rPr>
          <w:t xml:space="preserve">Fotocasa </w:t>
        </w:r>
        <w:proofErr w:type="spellStart"/>
        <w:r>
          <w:rPr>
            <w:rFonts w:ascii="Open Sans" w:eastAsia="Open Sans" w:hAnsi="Open Sans" w:cs="Open Sans"/>
            <w:i/>
            <w:iCs/>
            <w:color w:val="1155CC"/>
            <w:sz w:val="21"/>
            <w:szCs w:val="21"/>
            <w:u w:val="single"/>
          </w:rPr>
          <w:t>Research</w:t>
        </w:r>
        <w:proofErr w:type="spellEnd"/>
      </w:hyperlink>
      <w:r>
        <w:rPr>
          <w:rFonts w:ascii="Open Sans" w:eastAsia="Open Sans" w:hAnsi="Open Sans" w:cs="Open Sans"/>
          <w:sz w:val="21"/>
          <w:szCs w:val="21"/>
        </w:rPr>
        <w:t xml:space="preserve">, un 21% de la demanda actual está directamente influida por las mejores condiciones de financiación, y un 7% de los compradores reconoce haber adquirido vivienda este año cuando inicialmente no lo tenía previsto gracias al abaratamiento de las hipotecas. Además, </w:t>
      </w:r>
      <w:r>
        <w:rPr>
          <w:rFonts w:ascii="Open Sans" w:eastAsia="Open Sans" w:hAnsi="Open Sans" w:cs="Open Sans"/>
          <w:b/>
          <w:bCs/>
          <w:sz w:val="21"/>
          <w:szCs w:val="21"/>
        </w:rPr>
        <w:t xml:space="preserve">un 14% todavía está a la espera de que estas condiciones se consoliden para volver al mercado, por lo que el volumen de operaciones podría seguir creciendo </w:t>
      </w:r>
      <w:r>
        <w:rPr>
          <w:rFonts w:ascii="Open Sans" w:eastAsia="Open Sans" w:hAnsi="Open Sans" w:cs="Open Sans"/>
          <w:sz w:val="21"/>
          <w:szCs w:val="21"/>
        </w:rPr>
        <w:t>en los próximos meses”, asegura María Matos, directora de Estudios de Fotocasa.</w:t>
      </w:r>
    </w:p>
    <w:p w14:paraId="67D1563C" w14:textId="77777777" w:rsidR="00A31371" w:rsidRDefault="00000000">
      <w:pPr>
        <w:shd w:val="clear" w:color="auto" w:fill="FFFFFF"/>
        <w:spacing w:before="280" w:after="280"/>
        <w:jc w:val="both"/>
        <w:rPr>
          <w:rFonts w:ascii="Open Sans" w:eastAsia="Open Sans" w:hAnsi="Open Sans" w:cs="Open Sans"/>
          <w:sz w:val="21"/>
          <w:szCs w:val="21"/>
        </w:rPr>
      </w:pPr>
      <w:r>
        <w:rPr>
          <w:rFonts w:ascii="Open Sans" w:eastAsia="Open Sans" w:hAnsi="Open Sans" w:cs="Open Sans"/>
          <w:sz w:val="21"/>
          <w:szCs w:val="21"/>
        </w:rPr>
        <w:t xml:space="preserve">“La actual inestabilidad geopolítica está reforzando la </w:t>
      </w:r>
      <w:r>
        <w:rPr>
          <w:rFonts w:ascii="Open Sans" w:eastAsia="Open Sans" w:hAnsi="Open Sans" w:cs="Open Sans"/>
          <w:b/>
          <w:bCs/>
          <w:sz w:val="21"/>
          <w:szCs w:val="21"/>
        </w:rPr>
        <w:t>percepción de la vivienda como un valor refugio</w:t>
      </w:r>
      <w:r>
        <w:rPr>
          <w:rFonts w:ascii="Open Sans" w:eastAsia="Open Sans" w:hAnsi="Open Sans" w:cs="Open Sans"/>
          <w:sz w:val="21"/>
          <w:szCs w:val="21"/>
        </w:rPr>
        <w:t xml:space="preserve">, lo que podría traducirse en un repunte adicional de la demanda. A esto se suman las políticas incentivadoras, como los avales ICO, que impulsan la compra entre jóvenes y familias con menores a cargo: de hecho, </w:t>
      </w:r>
      <w:r>
        <w:rPr>
          <w:rFonts w:ascii="Open Sans" w:eastAsia="Open Sans" w:hAnsi="Open Sans" w:cs="Open Sans"/>
          <w:b/>
          <w:bCs/>
          <w:sz w:val="21"/>
          <w:szCs w:val="21"/>
        </w:rPr>
        <w:t>uno de cada tres jóvenes compradores accederá al mercado gracias a estas nuevas condiciones hipotecarias</w:t>
      </w:r>
      <w:r>
        <w:rPr>
          <w:rFonts w:ascii="Open Sans" w:eastAsia="Open Sans" w:hAnsi="Open Sans" w:cs="Open Sans"/>
          <w:sz w:val="21"/>
          <w:szCs w:val="21"/>
        </w:rPr>
        <w:t>”, detalla María Matos.</w:t>
      </w:r>
    </w:p>
    <w:p w14:paraId="64DBADC8" w14:textId="77777777" w:rsidR="00C6647B" w:rsidRDefault="00C6647B">
      <w:pPr>
        <w:shd w:val="clear" w:color="auto" w:fill="FFFFFF"/>
        <w:spacing w:before="280" w:after="280"/>
        <w:jc w:val="both"/>
        <w:rPr>
          <w:rFonts w:ascii="Open Sans" w:eastAsia="Open Sans" w:hAnsi="Open Sans" w:cs="Open Sans"/>
          <w:sz w:val="21"/>
          <w:szCs w:val="21"/>
        </w:rPr>
      </w:pPr>
    </w:p>
    <w:p w14:paraId="64E63B06" w14:textId="77777777" w:rsidR="00A31371" w:rsidRDefault="00000000">
      <w:pPr>
        <w:shd w:val="clear" w:color="auto" w:fill="FFFFFF"/>
        <w:spacing w:before="280" w:after="280"/>
        <w:jc w:val="both"/>
        <w:rPr>
          <w:rFonts w:ascii="Open Sans" w:eastAsia="Open Sans" w:hAnsi="Open Sans" w:cs="Open Sans"/>
          <w:sz w:val="21"/>
          <w:szCs w:val="21"/>
        </w:rPr>
      </w:pPr>
      <w:r>
        <w:rPr>
          <w:rFonts w:ascii="Open Sans" w:eastAsia="Open Sans" w:hAnsi="Open Sans" w:cs="Open Sans"/>
          <w:sz w:val="21"/>
          <w:szCs w:val="21"/>
        </w:rPr>
        <w:lastRenderedPageBreak/>
        <w:t xml:space="preserve">“Todo ello está generando una sobredimensión de la demanda que pone más presión sobre la oferta, manteniendo la tendencia alcista en el precio de la vivienda durante todo 2025. </w:t>
      </w:r>
      <w:r>
        <w:rPr>
          <w:rFonts w:ascii="Open Sans" w:eastAsia="Open Sans" w:hAnsi="Open Sans" w:cs="Open Sans"/>
          <w:b/>
          <w:bCs/>
          <w:sz w:val="21"/>
          <w:szCs w:val="21"/>
        </w:rPr>
        <w:t>Aunque es posible encontrar cuotas hipotecarias inferiores al coste de un alquiler, los compradores deberán enfrentarse a precios de adquisición cada vez más elevados</w:t>
      </w:r>
      <w:r>
        <w:rPr>
          <w:rFonts w:ascii="Open Sans" w:eastAsia="Open Sans" w:hAnsi="Open Sans" w:cs="Open Sans"/>
          <w:sz w:val="21"/>
          <w:szCs w:val="21"/>
        </w:rPr>
        <w:t>. En este contexto, encontrar la vivienda ideal será un desafío creciente, especialmente para aquellos que sufren la brecha de accesibilidad y dependen de financiación”, advierte la portavoz.</w:t>
      </w:r>
    </w:p>
    <w:p w14:paraId="6F733F5A" w14:textId="77777777" w:rsidR="00A31371" w:rsidRDefault="00000000">
      <w:pPr>
        <w:shd w:val="clear" w:color="auto" w:fill="FFFFFF"/>
        <w:spacing w:before="280" w:after="280"/>
        <w:jc w:val="both"/>
        <w:rPr>
          <w:rFonts w:ascii="Open Sans" w:eastAsia="Open Sans" w:hAnsi="Open Sans" w:cs="Open Sans"/>
          <w:sz w:val="21"/>
          <w:szCs w:val="21"/>
        </w:rPr>
      </w:pPr>
      <w:r>
        <w:rPr>
          <w:rFonts w:ascii="Open Sans" w:eastAsia="Open Sans" w:hAnsi="Open Sans" w:cs="Open Sans"/>
          <w:sz w:val="21"/>
          <w:szCs w:val="21"/>
        </w:rPr>
        <w:t xml:space="preserve">“Con el Euríbor estabilizado y la paralización de las bajadas de tipos, el mercado hipotecario mantendrá su fortaleza. A falta de conocer los datos oficiales de noviembre y diciembre, </w:t>
      </w:r>
      <w:r>
        <w:rPr>
          <w:rFonts w:ascii="Open Sans" w:eastAsia="Open Sans" w:hAnsi="Open Sans" w:cs="Open Sans"/>
          <w:b/>
          <w:bCs/>
          <w:sz w:val="21"/>
          <w:szCs w:val="21"/>
        </w:rPr>
        <w:t>2025 podría cerrar con alrededor de 715.000 compraventas y más de 470.000 hipotecas, consolidándose como el mejor año de la última década.</w:t>
      </w:r>
      <w:r>
        <w:rPr>
          <w:rFonts w:ascii="Open Sans" w:eastAsia="Open Sans" w:hAnsi="Open Sans" w:cs="Open Sans"/>
          <w:sz w:val="21"/>
          <w:szCs w:val="21"/>
        </w:rPr>
        <w:t xml:space="preserve"> Sin embargo, el mantenimiento de esta política monetaria expansiva también podría provocar un incremento adicional de los precios, ya que la oferta de vivienda no está creciendo al mismo ritmo que la demanda”, concluye María Matos.</w:t>
      </w:r>
    </w:p>
    <w:p w14:paraId="3352484C" w14:textId="77777777" w:rsidR="00A31371" w:rsidRDefault="00A31371">
      <w:pPr>
        <w:shd w:val="clear" w:color="auto" w:fill="FFFFFF"/>
        <w:spacing w:before="280" w:after="280"/>
        <w:jc w:val="right"/>
        <w:rPr>
          <w:rFonts w:ascii="Open Sans Light" w:eastAsia="Open Sans Light" w:hAnsi="Open Sans Light" w:cs="Open Sans Light"/>
          <w:b/>
          <w:bCs/>
          <w:color w:val="303AB2"/>
          <w:sz w:val="24"/>
          <w:szCs w:val="24"/>
        </w:rPr>
      </w:pPr>
    </w:p>
    <w:p w14:paraId="76AC54F6" w14:textId="77777777" w:rsidR="00A31371" w:rsidRDefault="00000000">
      <w:pPr>
        <w:shd w:val="clear" w:color="auto" w:fill="FFFFFF"/>
        <w:spacing w:before="280" w:after="280"/>
        <w:jc w:val="right"/>
        <w:rPr>
          <w:rFonts w:ascii="Open Sans Light" w:eastAsia="Open Sans Light" w:hAnsi="Open Sans Light" w:cs="Open Sans Light"/>
          <w:b/>
          <w:bCs/>
          <w:color w:val="303AB2"/>
          <w:sz w:val="24"/>
          <w:szCs w:val="24"/>
        </w:rPr>
      </w:pPr>
      <w:r>
        <w:rPr>
          <w:rFonts w:ascii="Open Sans Light" w:eastAsia="Open Sans Light" w:hAnsi="Open Sans Light" w:cs="Open Sans Light"/>
          <w:b/>
          <w:bCs/>
          <w:color w:val="303AB2"/>
          <w:sz w:val="24"/>
          <w:szCs w:val="24"/>
        </w:rPr>
        <w:t>Departamento de Comunicación de Fotocasa</w:t>
      </w:r>
    </w:p>
    <w:p w14:paraId="4C445AE7" w14:textId="77777777" w:rsidR="00A31371" w:rsidRDefault="00000000">
      <w:pPr>
        <w:shd w:val="clear" w:color="auto" w:fill="FFFFFF"/>
        <w:ind w:right="-7"/>
        <w:jc w:val="right"/>
        <w:rPr>
          <w:rFonts w:ascii="Open Sans" w:eastAsia="Open Sans" w:hAnsi="Open Sans" w:cs="Open Sans"/>
          <w:b/>
          <w:bCs/>
          <w:sz w:val="21"/>
          <w:szCs w:val="21"/>
        </w:rPr>
      </w:pPr>
      <w:r>
        <w:rPr>
          <w:rFonts w:ascii="Open Sans" w:eastAsia="Open Sans" w:hAnsi="Open Sans" w:cs="Open Sans"/>
          <w:b/>
          <w:bCs/>
          <w:sz w:val="21"/>
          <w:szCs w:val="21"/>
        </w:rPr>
        <w:t>Anaïs López</w:t>
      </w:r>
    </w:p>
    <w:p w14:paraId="75601B5E" w14:textId="77777777" w:rsidR="00A31371" w:rsidRDefault="00000000">
      <w:pPr>
        <w:shd w:val="clear" w:color="auto" w:fill="FFFFFF"/>
        <w:ind w:right="-7"/>
        <w:jc w:val="right"/>
        <w:rPr>
          <w:rFonts w:ascii="Open Sans" w:eastAsia="Open Sans" w:hAnsi="Open Sans" w:cs="Open Sans"/>
          <w:sz w:val="21"/>
          <w:szCs w:val="21"/>
        </w:rPr>
      </w:pPr>
      <w:r>
        <w:rPr>
          <w:rFonts w:ascii="Open Sans" w:eastAsia="Open Sans" w:hAnsi="Open Sans" w:cs="Open Sans"/>
          <w:sz w:val="21"/>
          <w:szCs w:val="21"/>
        </w:rPr>
        <w:t>Móvil: 620 66 29 26</w:t>
      </w:r>
    </w:p>
    <w:p w14:paraId="0306E1FC" w14:textId="77777777" w:rsidR="00A31371" w:rsidRDefault="00000000">
      <w:pPr>
        <w:shd w:val="clear" w:color="auto" w:fill="FFFFFF"/>
        <w:ind w:right="-7"/>
        <w:jc w:val="right"/>
        <w:rPr>
          <w:rFonts w:ascii="Open Sans" w:eastAsia="Open Sans" w:hAnsi="Open Sans" w:cs="Open Sans"/>
          <w:sz w:val="21"/>
          <w:szCs w:val="21"/>
        </w:rPr>
      </w:pPr>
      <w:hyperlink r:id="rId11">
        <w:r>
          <w:rPr>
            <w:rFonts w:ascii="Open Sans" w:eastAsia="Open Sans" w:hAnsi="Open Sans" w:cs="Open Sans"/>
            <w:color w:val="0563C1"/>
            <w:sz w:val="21"/>
            <w:szCs w:val="21"/>
            <w:u w:val="single"/>
          </w:rPr>
          <w:t>comunicacion@fotocasa.es</w:t>
        </w:r>
      </w:hyperlink>
    </w:p>
    <w:p w14:paraId="3A182556" w14:textId="77777777" w:rsidR="00A31371" w:rsidRDefault="00000000">
      <w:pPr>
        <w:shd w:val="clear" w:color="auto" w:fill="FFFFFF"/>
        <w:ind w:right="-7"/>
        <w:jc w:val="right"/>
        <w:rPr>
          <w:rFonts w:ascii="Open Sans" w:eastAsia="Open Sans" w:hAnsi="Open Sans" w:cs="Open Sans"/>
          <w:sz w:val="21"/>
          <w:szCs w:val="21"/>
        </w:rPr>
      </w:pPr>
      <w:hyperlink r:id="rId12">
        <w:r>
          <w:rPr>
            <w:rFonts w:ascii="Open Sans" w:eastAsia="Open Sans" w:hAnsi="Open Sans" w:cs="Open Sans"/>
            <w:color w:val="0563C1"/>
            <w:sz w:val="21"/>
            <w:szCs w:val="21"/>
            <w:u w:val="single"/>
          </w:rPr>
          <w:t>http://prensa.fotocasa.es</w:t>
        </w:r>
      </w:hyperlink>
    </w:p>
    <w:p w14:paraId="4B5D3534" w14:textId="77777777" w:rsidR="00A31371" w:rsidRDefault="00A31371">
      <w:pPr>
        <w:shd w:val="clear" w:color="auto" w:fill="FFFFFF"/>
        <w:ind w:right="-7"/>
        <w:jc w:val="right"/>
      </w:pPr>
    </w:p>
    <w:sectPr w:rsidR="00A31371">
      <w:headerReference w:type="default" r:id="rId13"/>
      <w:footerReference w:type="default" r:id="rId14"/>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64E8FD" w14:textId="77777777" w:rsidR="009470F2" w:rsidRDefault="009470F2">
      <w:pPr>
        <w:spacing w:line="240" w:lineRule="auto"/>
      </w:pPr>
      <w:r>
        <w:separator/>
      </w:r>
    </w:p>
  </w:endnote>
  <w:endnote w:type="continuationSeparator" w:id="0">
    <w:p w14:paraId="3DCE5448" w14:textId="77777777" w:rsidR="009470F2" w:rsidRDefault="009470F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1" w:fontKey="{CF932C26-A782-451C-BF4C-DD2F223D6DB9}"/>
    <w:embedBold r:id="rId2" w:fontKey="{9175369C-BD64-4137-8D10-4FC0E25FA4E9}"/>
    <w:embedItalic r:id="rId3" w:fontKey="{443F6947-A733-49B2-B65C-B57E3EC4F27B}"/>
  </w:font>
  <w:font w:name="Open Sans Light">
    <w:charset w:val="00"/>
    <w:family w:val="swiss"/>
    <w:pitch w:val="variable"/>
    <w:sig w:usb0="E00002EF" w:usb1="4000205B" w:usb2="00000028" w:usb3="00000000" w:csb0="0000019F" w:csb1="00000000"/>
    <w:embedBold r:id="rId4" w:fontKey="{15F0ECF9-AC2C-4A85-B637-F1AF2E53CE14}"/>
  </w:font>
  <w:font w:name="Calibri">
    <w:panose1 w:val="020F0502020204030204"/>
    <w:charset w:val="00"/>
    <w:family w:val="swiss"/>
    <w:pitch w:val="variable"/>
    <w:sig w:usb0="E4002EFF" w:usb1="C200247B" w:usb2="00000009" w:usb3="00000000" w:csb0="000001FF" w:csb1="00000000"/>
    <w:embedRegular r:id="rId5" w:fontKey="{1F824C81-EBCB-40E4-8DD0-5FEDCA257F2A}"/>
  </w:font>
  <w:font w:name="Cambria">
    <w:panose1 w:val="02040503050406030204"/>
    <w:charset w:val="00"/>
    <w:family w:val="roman"/>
    <w:pitch w:val="variable"/>
    <w:sig w:usb0="E00006FF" w:usb1="420024FF" w:usb2="02000000" w:usb3="00000000" w:csb0="0000019F" w:csb1="00000000"/>
    <w:embedRegular r:id="rId6" w:fontKey="{7AB52831-E316-4EA6-91BC-E2F17FEF9D9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40A706" w14:textId="77777777" w:rsidR="00A31371" w:rsidRDefault="00000000">
    <w:r>
      <w:rPr>
        <w:noProof/>
      </w:rPr>
      <w:drawing>
        <wp:anchor distT="0" distB="0" distL="0" distR="0" simplePos="0" relativeHeight="251659264" behindDoc="0" locked="0" layoutInCell="1" hidden="0" allowOverlap="1" wp14:anchorId="61E45886" wp14:editId="10250551">
          <wp:simplePos x="0" y="0"/>
          <wp:positionH relativeFrom="column">
            <wp:posOffset>-1916389</wp:posOffset>
          </wp:positionH>
          <wp:positionV relativeFrom="paragraph">
            <wp:posOffset>304800</wp:posOffset>
          </wp:positionV>
          <wp:extent cx="8620125" cy="447675"/>
          <wp:effectExtent l="0" t="0" r="0" b="0"/>
          <wp:wrapSquare wrapText="bothSides" distT="0" distB="0" distL="0" distR="0"/>
          <wp:docPr id="58889709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l="-13043" r="617"/>
                  <a:stretch>
                    <a:fillRect/>
                  </a:stretch>
                </pic:blipFill>
                <pic:spPr>
                  <a:xfrm>
                    <a:off x="0" y="0"/>
                    <a:ext cx="8620125" cy="44767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BDF631" w14:textId="77777777" w:rsidR="009470F2" w:rsidRDefault="009470F2">
      <w:pPr>
        <w:spacing w:line="240" w:lineRule="auto"/>
      </w:pPr>
      <w:r>
        <w:separator/>
      </w:r>
    </w:p>
  </w:footnote>
  <w:footnote w:type="continuationSeparator" w:id="0">
    <w:p w14:paraId="3079D8C5" w14:textId="77777777" w:rsidR="009470F2" w:rsidRDefault="009470F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B55DFC" w14:textId="77777777" w:rsidR="00A31371" w:rsidRDefault="00A31371">
    <w:pPr>
      <w:pBdr>
        <w:top w:val="nil"/>
        <w:left w:val="nil"/>
        <w:bottom w:val="nil"/>
        <w:right w:val="nil"/>
        <w:between w:val="nil"/>
      </w:pBdr>
      <w:tabs>
        <w:tab w:val="center" w:pos="4252"/>
        <w:tab w:val="right" w:pos="8504"/>
      </w:tabs>
      <w:spacing w:line="240" w:lineRule="auto"/>
      <w:rPr>
        <w:color w:val="000000"/>
      </w:rPr>
    </w:pPr>
  </w:p>
  <w:p w14:paraId="5CE36569" w14:textId="77777777" w:rsidR="00A31371" w:rsidRDefault="00000000">
    <w:pPr>
      <w:pBdr>
        <w:top w:val="nil"/>
        <w:left w:val="nil"/>
        <w:bottom w:val="nil"/>
        <w:right w:val="nil"/>
        <w:between w:val="nil"/>
      </w:pBdr>
      <w:tabs>
        <w:tab w:val="center" w:pos="4252"/>
        <w:tab w:val="right" w:pos="8504"/>
      </w:tabs>
      <w:spacing w:line="240" w:lineRule="auto"/>
      <w:rPr>
        <w:color w:val="000000"/>
      </w:rPr>
    </w:pPr>
    <w:r>
      <w:rPr>
        <w:noProof/>
      </w:rPr>
      <w:drawing>
        <wp:anchor distT="0" distB="0" distL="0" distR="0" simplePos="0" relativeHeight="251658240" behindDoc="0" locked="0" layoutInCell="1" hidden="0" allowOverlap="1" wp14:anchorId="682B0CDF" wp14:editId="5699B5E8">
          <wp:simplePos x="0" y="0"/>
          <wp:positionH relativeFrom="column">
            <wp:posOffset>-888996</wp:posOffset>
          </wp:positionH>
          <wp:positionV relativeFrom="paragraph">
            <wp:posOffset>-211873</wp:posOffset>
          </wp:positionV>
          <wp:extent cx="7711147" cy="1037167"/>
          <wp:effectExtent l="0" t="0" r="0" b="0"/>
          <wp:wrapSquare wrapText="bothSides" distT="0" distB="0" distL="0" distR="0"/>
          <wp:docPr id="588897090" name="image1.png" descr="Patrón de fond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1.png" descr="Patrón de fondo&#10;&#10;El contenido generado por IA puede ser incorrecto."/>
                  <pic:cNvPicPr preferRelativeResize="0"/>
                </pic:nvPicPr>
                <pic:blipFill>
                  <a:blip r:embed="rId1"/>
                  <a:srcRect/>
                  <a:stretch>
                    <a:fillRect/>
                  </a:stretch>
                </pic:blipFill>
                <pic:spPr>
                  <a:xfrm>
                    <a:off x="0" y="0"/>
                    <a:ext cx="7711147" cy="1037167"/>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1371"/>
    <w:rsid w:val="008E6BEF"/>
    <w:rsid w:val="009470F2"/>
    <w:rsid w:val="00A31371"/>
    <w:rsid w:val="00BB6269"/>
    <w:rsid w:val="00C6647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44BD5C"/>
  <w15:docId w15:val="{F54A2A97-4E41-4E09-93F7-641C9E08D3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E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table" w:customStyle="1" w:styleId="TableNormalf2">
    <w:name w:val="Table Normal"/>
    <w:tblPr>
      <w:tblCellMar>
        <w:top w:w="0" w:type="dxa"/>
        <w:left w:w="0" w:type="dxa"/>
        <w:bottom w:w="0" w:type="dxa"/>
        <w:right w:w="0" w:type="dxa"/>
      </w:tblCellMar>
    </w:tblPr>
  </w:style>
  <w:style w:type="table" w:customStyle="1" w:styleId="TableNormalf3">
    <w:name w:val="Table Normal"/>
    <w:tblPr>
      <w:tblCellMar>
        <w:top w:w="0" w:type="dxa"/>
        <w:left w:w="0" w:type="dxa"/>
        <w:bottom w:w="0" w:type="dxa"/>
        <w:right w:w="0" w:type="dxa"/>
      </w:tblCellMar>
    </w:tblPr>
  </w:style>
  <w:style w:type="table" w:customStyle="1" w:styleId="TableNormalf4">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511AC7"/>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511AC7"/>
  </w:style>
  <w:style w:type="paragraph" w:styleId="Piedepgina">
    <w:name w:val="footer"/>
    <w:basedOn w:val="Normal"/>
    <w:link w:val="PiedepginaCar"/>
    <w:uiPriority w:val="99"/>
    <w:unhideWhenUsed/>
    <w:rsid w:val="00511AC7"/>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511AC7"/>
  </w:style>
  <w:style w:type="character" w:styleId="Hipervnculo">
    <w:name w:val="Hyperlink"/>
    <w:basedOn w:val="Fuentedeprrafopredeter"/>
    <w:uiPriority w:val="99"/>
    <w:unhideWhenUsed/>
    <w:rsid w:val="00956866"/>
    <w:rPr>
      <w:color w:val="0000FF" w:themeColor="hyperlink"/>
      <w:u w:val="single"/>
    </w:rPr>
  </w:style>
  <w:style w:type="character" w:styleId="Mencinsinresolver">
    <w:name w:val="Unresolved Mention"/>
    <w:basedOn w:val="Fuentedeprrafopredeter"/>
    <w:uiPriority w:val="99"/>
    <w:semiHidden/>
    <w:unhideWhenUsed/>
    <w:rsid w:val="00956866"/>
    <w:rPr>
      <w:color w:val="605E5C"/>
      <w:shd w:val="clear" w:color="auto" w:fill="E1DFDD"/>
    </w:rPr>
  </w:style>
  <w:style w:type="character" w:styleId="Hipervnculovisitado">
    <w:name w:val="FollowedHyperlink"/>
    <w:basedOn w:val="Fuentedeprrafopredeter"/>
    <w:uiPriority w:val="99"/>
    <w:semiHidden/>
    <w:unhideWhenUsed/>
    <w:rsid w:val="00F600F3"/>
    <w:rPr>
      <w:color w:val="800080" w:themeColor="followedHyperlink"/>
      <w:u w:val="single"/>
    </w:rPr>
  </w:style>
  <w:style w:type="paragraph" w:styleId="Subttulo">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fotocasa.es"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fotocasa.es" TargetMode="External"/><Relationship Id="rId12" Type="http://schemas.openxmlformats.org/officeDocument/2006/relationships/hyperlink" Target="http://prensa.fotocasa.es"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comunicacion@fotocasa.es"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research.fotocasa.es/" TargetMode="External"/><Relationship Id="rId4" Type="http://schemas.openxmlformats.org/officeDocument/2006/relationships/webSettings" Target="webSettings.xml"/><Relationship Id="rId9" Type="http://schemas.openxmlformats.org/officeDocument/2006/relationships/hyperlink" Target="https://research.fotocasa.es/perfil-comprador-obra-nueva-en-espana-2024/"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I034zooTEjvspNd5CmH3HLzImHw==">CgMxLjA4AHIhMVF2Rk5LX1BjUzA2MFNkYnAwQ2dKeXZpbHNPR2dWSDJF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927</Words>
  <Characters>5104</Characters>
  <Application>Microsoft Office Word</Application>
  <DocSecurity>0</DocSecurity>
  <Lines>42</Lines>
  <Paragraphs>12</Paragraphs>
  <ScaleCrop>false</ScaleCrop>
  <Company/>
  <LinksUpToDate>false</LinksUpToDate>
  <CharactersWithSpaces>6019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Anais Garcia Lopez</cp:lastModifiedBy>
  <cp:revision>3</cp:revision>
  <dcterms:created xsi:type="dcterms:W3CDTF">2024-02-22T08:44:00Z</dcterms:created>
  <dcterms:modified xsi:type="dcterms:W3CDTF">2025-12-15T10:14:00Z</dcterms:modified>
</cp:coreProperties>
</file>