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2CC14" w14:textId="77777777" w:rsidR="0019257C" w:rsidRDefault="00000000">
      <w:pPr>
        <w:ind w:right="-567"/>
      </w:pPr>
      <w:r>
        <w:rPr>
          <w:noProof/>
        </w:rPr>
        <w:drawing>
          <wp:anchor distT="0" distB="0" distL="114300" distR="114300" simplePos="0" relativeHeight="251658240" behindDoc="0" locked="0" layoutInCell="1" hidden="0" allowOverlap="1" wp14:anchorId="32D64CB2" wp14:editId="62492101">
            <wp:simplePos x="0" y="0"/>
            <wp:positionH relativeFrom="column">
              <wp:posOffset>-1078863</wp:posOffset>
            </wp:positionH>
            <wp:positionV relativeFrom="paragraph">
              <wp:posOffset>-350450</wp:posOffset>
            </wp:positionV>
            <wp:extent cx="7581265" cy="1019175"/>
            <wp:effectExtent l="0" t="0" r="0" b="0"/>
            <wp:wrapNone/>
            <wp:docPr id="17995439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D5C1805" w14:textId="77777777" w:rsidR="0019257C" w:rsidRDefault="0019257C">
      <w:pPr>
        <w:ind w:right="-567"/>
        <w:jc w:val="right"/>
        <w:rPr>
          <w:rFonts w:ascii="National" w:eastAsia="National" w:hAnsi="National" w:cs="National"/>
          <w:color w:val="303AB2"/>
          <w:sz w:val="36"/>
          <w:szCs w:val="36"/>
        </w:rPr>
      </w:pPr>
    </w:p>
    <w:p w14:paraId="51126237" w14:textId="77777777" w:rsidR="0019257C" w:rsidRDefault="0019257C">
      <w:pPr>
        <w:ind w:right="-567"/>
        <w:jc w:val="right"/>
        <w:rPr>
          <w:rFonts w:ascii="National" w:eastAsia="National" w:hAnsi="National" w:cs="National"/>
          <w:color w:val="303AB2"/>
          <w:sz w:val="36"/>
          <w:szCs w:val="36"/>
        </w:rPr>
      </w:pPr>
    </w:p>
    <w:p w14:paraId="494EAF1F" w14:textId="77777777" w:rsidR="0019257C" w:rsidRDefault="0019257C">
      <w:pPr>
        <w:ind w:right="-567"/>
        <w:rPr>
          <w:rFonts w:ascii="National" w:eastAsia="National" w:hAnsi="National" w:cs="National"/>
          <w:color w:val="303AB2"/>
          <w:sz w:val="20"/>
          <w:szCs w:val="20"/>
          <w:vertAlign w:val="superscript"/>
        </w:rPr>
      </w:pPr>
    </w:p>
    <w:p w14:paraId="6AA11B9D" w14:textId="77777777" w:rsidR="0019257C" w:rsidRDefault="00000000">
      <w:pPr>
        <w:spacing w:line="276" w:lineRule="auto"/>
        <w:ind w:right="-567" w:firstLine="708"/>
        <w:jc w:val="center"/>
        <w:rPr>
          <w:rFonts w:ascii="National" w:eastAsia="National" w:hAnsi="National" w:cs="National"/>
          <w:b/>
          <w:bCs/>
          <w:color w:val="1DBDC5"/>
          <w:sz w:val="38"/>
          <w:szCs w:val="38"/>
        </w:rPr>
      </w:pPr>
      <w:r>
        <w:rPr>
          <w:rFonts w:ascii="National" w:eastAsia="National" w:hAnsi="National" w:cs="National"/>
          <w:b/>
          <w:bCs/>
          <w:color w:val="1DBDC5"/>
          <w:sz w:val="38"/>
          <w:szCs w:val="38"/>
        </w:rPr>
        <w:t>OCTUBRE: PRECIO VIVIENDA EN ALQUILER</w:t>
      </w:r>
    </w:p>
    <w:p w14:paraId="41AD50B1" w14:textId="77777777" w:rsidR="0019257C" w:rsidRDefault="00000000">
      <w:pPr>
        <w:ind w:right="-567"/>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El precio del alquiler no da tregua: 44 meses al alza, 18 de ellos con máximos históricos</w:t>
      </w:r>
    </w:p>
    <w:p w14:paraId="30FD7D67" w14:textId="77777777" w:rsidR="0019257C" w:rsidRDefault="0019257C">
      <w:pPr>
        <w:ind w:right="-567"/>
        <w:jc w:val="center"/>
        <w:rPr>
          <w:rFonts w:ascii="National" w:eastAsia="National" w:hAnsi="National" w:cs="National"/>
          <w:b/>
          <w:bCs/>
          <w:color w:val="303AB2"/>
          <w:sz w:val="20"/>
          <w:szCs w:val="20"/>
        </w:rPr>
      </w:pPr>
    </w:p>
    <w:p w14:paraId="07C0AFDD" w14:textId="77777777" w:rsidR="0019257C" w:rsidRDefault="00000000">
      <w:pPr>
        <w:numPr>
          <w:ilvl w:val="0"/>
          <w:numId w:val="1"/>
        </w:numPr>
        <w:pBdr>
          <w:top w:val="nil"/>
          <w:left w:val="nil"/>
          <w:bottom w:val="nil"/>
          <w:right w:val="nil"/>
          <w:between w:val="nil"/>
        </w:pBdr>
        <w:spacing w:line="276" w:lineRule="auto"/>
        <w:ind w:right="-567"/>
        <w:jc w:val="both"/>
        <w:rPr>
          <w:rFonts w:ascii="Open Sans" w:eastAsia="Open Sans" w:hAnsi="Open Sans" w:cs="Open Sans"/>
          <w:color w:val="303AB2"/>
        </w:rPr>
      </w:pPr>
      <w:r>
        <w:rPr>
          <w:rFonts w:ascii="Open Sans" w:eastAsia="Open Sans" w:hAnsi="Open Sans" w:cs="Open Sans"/>
          <w:color w:val="303AB2"/>
        </w:rPr>
        <w:t xml:space="preserve">El precio de la vivienda en alquiler en España lleva 3,6 años (44 meses) encadenando incrementos interanuales </w:t>
      </w:r>
    </w:p>
    <w:p w14:paraId="062763CA" w14:textId="77777777" w:rsidR="0019257C" w:rsidRDefault="00000000">
      <w:pPr>
        <w:numPr>
          <w:ilvl w:val="0"/>
          <w:numId w:val="1"/>
        </w:numPr>
        <w:pBdr>
          <w:top w:val="nil"/>
          <w:left w:val="nil"/>
          <w:bottom w:val="nil"/>
          <w:right w:val="nil"/>
          <w:between w:val="nil"/>
        </w:pBdr>
        <w:spacing w:line="276" w:lineRule="auto"/>
        <w:ind w:right="-567"/>
        <w:jc w:val="both"/>
        <w:rPr>
          <w:rFonts w:ascii="Open Sans" w:eastAsia="Open Sans" w:hAnsi="Open Sans" w:cs="Open Sans"/>
          <w:color w:val="303AB2"/>
        </w:rPr>
      </w:pPr>
      <w:r>
        <w:rPr>
          <w:rFonts w:ascii="Open Sans" w:eastAsia="Open Sans" w:hAnsi="Open Sans" w:cs="Open Sans"/>
          <w:color w:val="303AB2"/>
        </w:rPr>
        <w:t>Desde marzo de 2022 el alquiler no ha parado de subir mes a mes, y el precio se ha incrementado un 33% desde entonces</w:t>
      </w:r>
    </w:p>
    <w:p w14:paraId="302C0032" w14:textId="77777777" w:rsidR="0019257C" w:rsidRDefault="0019257C">
      <w:pPr>
        <w:spacing w:line="276" w:lineRule="auto"/>
        <w:ind w:left="360" w:right="-567"/>
        <w:jc w:val="both"/>
        <w:rPr>
          <w:rFonts w:ascii="Open Sans" w:eastAsia="Open Sans" w:hAnsi="Open Sans" w:cs="Open Sans"/>
          <w:color w:val="303AB2"/>
        </w:rPr>
      </w:pPr>
    </w:p>
    <w:p w14:paraId="23104067" w14:textId="4FCCBD9C" w:rsidR="0019257C" w:rsidRDefault="00000000">
      <w:pPr>
        <w:pBdr>
          <w:top w:val="nil"/>
          <w:left w:val="nil"/>
          <w:bottom w:val="nil"/>
          <w:right w:val="nil"/>
          <w:between w:val="nil"/>
        </w:pBdr>
        <w:spacing w:line="276" w:lineRule="auto"/>
        <w:ind w:right="-567"/>
        <w:jc w:val="both"/>
        <w:rPr>
          <w:rFonts w:ascii="Open Sans" w:eastAsia="Open Sans" w:hAnsi="Open Sans" w:cs="Open Sans"/>
          <w:b/>
          <w:bCs/>
          <w:color w:val="303AB2"/>
        </w:rPr>
      </w:pPr>
      <w:r>
        <w:rPr>
          <w:rFonts w:ascii="Open Sans" w:eastAsia="Open Sans" w:hAnsi="Open Sans" w:cs="Open Sans"/>
          <w:b/>
          <w:bCs/>
          <w:color w:val="303AB2"/>
        </w:rPr>
        <w:t xml:space="preserve">Madrid, </w:t>
      </w:r>
      <w:r w:rsidR="00164F30">
        <w:rPr>
          <w:rFonts w:ascii="Open Sans" w:eastAsia="Open Sans" w:hAnsi="Open Sans" w:cs="Open Sans"/>
          <w:b/>
          <w:bCs/>
          <w:color w:val="303AB2"/>
        </w:rPr>
        <w:t>10</w:t>
      </w:r>
      <w:r>
        <w:rPr>
          <w:rFonts w:ascii="Open Sans" w:eastAsia="Open Sans" w:hAnsi="Open Sans" w:cs="Open Sans"/>
          <w:b/>
          <w:bCs/>
          <w:color w:val="303AB2"/>
        </w:rPr>
        <w:t xml:space="preserve"> de diciembre de 2025</w:t>
      </w:r>
    </w:p>
    <w:p w14:paraId="418378C6" w14:textId="4FD49D73" w:rsidR="0019257C" w:rsidRPr="00DB4BE2" w:rsidRDefault="00000000">
      <w:pPr>
        <w:pBdr>
          <w:top w:val="nil"/>
          <w:left w:val="nil"/>
          <w:bottom w:val="nil"/>
          <w:right w:val="nil"/>
          <w:between w:val="nil"/>
        </w:pBdr>
        <w:shd w:val="clear" w:color="auto" w:fill="FFFFFF"/>
        <w:tabs>
          <w:tab w:val="left" w:pos="3119"/>
        </w:tabs>
        <w:spacing w:before="280" w:after="280" w:line="276" w:lineRule="auto"/>
        <w:ind w:right="-567"/>
        <w:jc w:val="both"/>
        <w:rPr>
          <w:rFonts w:ascii="Open Sans" w:eastAsia="Open Sans" w:hAnsi="Open Sans" w:cs="Open Sans"/>
          <w:b/>
          <w:bCs/>
          <w:color w:val="000000"/>
        </w:rPr>
      </w:pPr>
      <w:r>
        <w:rPr>
          <w:rFonts w:ascii="Open Sans" w:eastAsia="Open Sans" w:hAnsi="Open Sans" w:cs="Open Sans"/>
          <w:color w:val="000000"/>
        </w:rPr>
        <w:t xml:space="preserve">El precio de la vivienda en alquiler en España lleva 3,6 años (44 meses) encadenando incrementos interanuales que han llegado a máximos valores, cada vez, en 18 de los últimos 44 meses analizados, </w:t>
      </w:r>
      <w:r w:rsidRPr="00DB4BE2">
        <w:rPr>
          <w:rFonts w:ascii="Open Sans" w:eastAsia="Open Sans" w:hAnsi="Open Sans" w:cs="Open Sans"/>
          <w:b/>
          <w:bCs/>
          <w:color w:val="000000"/>
        </w:rPr>
        <w:t xml:space="preserve">según los datos del Índice Inmobiliario </w:t>
      </w:r>
      <w:hyperlink r:id="rId9">
        <w:r w:rsidR="0019257C" w:rsidRPr="00DB4BE2">
          <w:rPr>
            <w:rFonts w:ascii="Open Sans" w:eastAsia="Open Sans" w:hAnsi="Open Sans" w:cs="Open Sans"/>
            <w:b/>
            <w:bCs/>
            <w:color w:val="0000FF"/>
            <w:u w:val="single"/>
          </w:rPr>
          <w:t>Fotocasa</w:t>
        </w:r>
      </w:hyperlink>
      <w:r w:rsidRPr="00DB4BE2">
        <w:rPr>
          <w:rFonts w:ascii="Open Sans" w:eastAsia="Open Sans" w:hAnsi="Open Sans" w:cs="Open Sans"/>
          <w:b/>
          <w:bCs/>
          <w:color w:val="000000"/>
        </w:rPr>
        <w:t xml:space="preserve">. </w:t>
      </w:r>
    </w:p>
    <w:p w14:paraId="6BBD1719" w14:textId="77777777" w:rsidR="0019257C" w:rsidRDefault="00000000">
      <w:pPr>
        <w:pBdr>
          <w:top w:val="nil"/>
          <w:left w:val="nil"/>
          <w:bottom w:val="nil"/>
          <w:right w:val="nil"/>
          <w:between w:val="nil"/>
        </w:pBdr>
        <w:shd w:val="clear" w:color="auto" w:fill="FFFFFF"/>
        <w:tabs>
          <w:tab w:val="left" w:pos="3119"/>
        </w:tabs>
        <w:spacing w:before="280" w:after="280" w:line="276" w:lineRule="auto"/>
        <w:ind w:right="-567"/>
        <w:jc w:val="center"/>
        <w:rPr>
          <w:rFonts w:ascii="Open Sans" w:eastAsia="Open Sans" w:hAnsi="Open Sans" w:cs="Open Sans"/>
          <w:color w:val="000000"/>
        </w:rPr>
      </w:pPr>
      <w:r>
        <w:rPr>
          <w:rFonts w:ascii="Open Sans Light" w:eastAsia="Open Sans Light" w:hAnsi="Open Sans Light" w:cs="Open Sans Light"/>
          <w:b/>
          <w:bCs/>
          <w:color w:val="303AB2"/>
          <w:sz w:val="28"/>
          <w:szCs w:val="28"/>
        </w:rPr>
        <w:t>Precios máximos de la vivienda en alquiler (€)</w:t>
      </w:r>
    </w:p>
    <w:p w14:paraId="502C0BBF" w14:textId="77777777" w:rsidR="0019257C" w:rsidRDefault="00000000">
      <w:pPr>
        <w:pBdr>
          <w:top w:val="nil"/>
          <w:left w:val="nil"/>
          <w:bottom w:val="nil"/>
          <w:right w:val="nil"/>
          <w:between w:val="nil"/>
        </w:pBdr>
        <w:shd w:val="clear" w:color="auto" w:fill="FFFFFF"/>
        <w:tabs>
          <w:tab w:val="left" w:pos="3119"/>
        </w:tabs>
        <w:spacing w:before="280" w:after="280" w:line="276" w:lineRule="auto"/>
        <w:ind w:right="-567"/>
        <w:jc w:val="both"/>
        <w:rPr>
          <w:rFonts w:ascii="Open Sans" w:eastAsia="Open Sans" w:hAnsi="Open Sans" w:cs="Open Sans"/>
          <w:color w:val="000000"/>
        </w:rPr>
      </w:pPr>
      <w:r>
        <w:rPr>
          <w:rFonts w:ascii="Times New Roman" w:eastAsia="Times New Roman" w:hAnsi="Times New Roman" w:cs="Times New Roman"/>
          <w:noProof/>
          <w:color w:val="000000"/>
        </w:rPr>
        <w:drawing>
          <wp:inline distT="0" distB="0" distL="0" distR="0" wp14:anchorId="2A840320" wp14:editId="25789B59">
            <wp:extent cx="5628502" cy="2633207"/>
            <wp:effectExtent l="0" t="0" r="0" b="0"/>
            <wp:docPr id="1799543957" name="Gráfico 17995439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4CB8D5B" w14:textId="77777777" w:rsidR="0019257C" w:rsidRDefault="0019257C">
      <w:pPr>
        <w:pBdr>
          <w:top w:val="nil"/>
          <w:left w:val="nil"/>
          <w:bottom w:val="nil"/>
          <w:right w:val="nil"/>
          <w:between w:val="nil"/>
        </w:pBdr>
        <w:shd w:val="clear" w:color="auto" w:fill="FFFFFF"/>
        <w:tabs>
          <w:tab w:val="left" w:pos="3119"/>
        </w:tabs>
        <w:spacing w:before="280" w:after="280" w:line="276" w:lineRule="auto"/>
        <w:ind w:right="-567"/>
        <w:jc w:val="both"/>
        <w:rPr>
          <w:rFonts w:ascii="Open Sans" w:eastAsia="Open Sans" w:hAnsi="Open Sans" w:cs="Open Sans"/>
          <w:color w:val="000000"/>
        </w:rPr>
      </w:pPr>
    </w:p>
    <w:p w14:paraId="4FFAB646" w14:textId="77777777" w:rsidR="0019257C" w:rsidRDefault="00000000">
      <w:pPr>
        <w:pBdr>
          <w:top w:val="nil"/>
          <w:left w:val="nil"/>
          <w:bottom w:val="nil"/>
          <w:right w:val="nil"/>
          <w:between w:val="nil"/>
        </w:pBdr>
        <w:shd w:val="clear" w:color="auto" w:fill="FFFFFF"/>
        <w:tabs>
          <w:tab w:val="left" w:pos="3119"/>
        </w:tabs>
        <w:spacing w:before="280" w:after="280" w:line="276" w:lineRule="auto"/>
        <w:ind w:right="-567"/>
        <w:jc w:val="both"/>
        <w:rPr>
          <w:rFonts w:ascii="Open Sans" w:eastAsia="Open Sans" w:hAnsi="Open Sans" w:cs="Open Sans"/>
          <w:b/>
          <w:bCs/>
          <w:color w:val="000000"/>
        </w:rPr>
      </w:pPr>
      <w:r>
        <w:rPr>
          <w:rFonts w:ascii="Open Sans" w:eastAsia="Open Sans" w:hAnsi="Open Sans" w:cs="Open Sans"/>
          <w:color w:val="000000"/>
        </w:rPr>
        <w:lastRenderedPageBreak/>
        <w:t xml:space="preserve">Durante este periodo (últimos 44 meses) </w:t>
      </w:r>
      <w:r>
        <w:rPr>
          <w:rFonts w:ascii="Open Sans" w:eastAsia="Open Sans" w:hAnsi="Open Sans" w:cs="Open Sans"/>
          <w:b/>
          <w:bCs/>
          <w:color w:val="000000"/>
        </w:rPr>
        <w:t>el precio del alquiler se ha incrementado un 33%</w:t>
      </w:r>
      <w:r>
        <w:rPr>
          <w:rFonts w:ascii="Open Sans" w:eastAsia="Open Sans" w:hAnsi="Open Sans" w:cs="Open Sans"/>
          <w:color w:val="000000"/>
        </w:rPr>
        <w:t xml:space="preserve">, llegando la media en España a 14 euros el metro cuadrado en octubre de 2025. </w:t>
      </w:r>
      <w:r>
        <w:rPr>
          <w:rFonts w:ascii="Open Sans" w:eastAsia="Open Sans" w:hAnsi="Open Sans" w:cs="Open Sans"/>
        </w:rPr>
        <w:t>S</w:t>
      </w:r>
      <w:r>
        <w:rPr>
          <w:rFonts w:ascii="Open Sans" w:eastAsia="Open Sans" w:hAnsi="Open Sans" w:cs="Open Sans"/>
          <w:color w:val="000000"/>
        </w:rPr>
        <w:t>i calculamos el incremento interanual de octubre (13,5%) en euros (1,67 euros) y lo multiplicamos por los 80 m</w:t>
      </w:r>
      <w:r>
        <w:rPr>
          <w:rFonts w:ascii="Open Sans" w:eastAsia="Open Sans" w:hAnsi="Open Sans" w:cs="Open Sans"/>
          <w:color w:val="000000"/>
          <w:vertAlign w:val="superscript"/>
        </w:rPr>
        <w:t>2</w:t>
      </w:r>
      <w:r>
        <w:rPr>
          <w:rFonts w:ascii="Open Sans" w:eastAsia="Open Sans" w:hAnsi="Open Sans" w:cs="Open Sans"/>
          <w:color w:val="000000"/>
        </w:rPr>
        <w:t xml:space="preserve"> de una vivienda estándar, vemos que </w:t>
      </w:r>
      <w:r>
        <w:rPr>
          <w:rFonts w:ascii="Open Sans" w:eastAsia="Open Sans" w:hAnsi="Open Sans" w:cs="Open Sans"/>
          <w:b/>
          <w:bCs/>
          <w:color w:val="000000"/>
        </w:rPr>
        <w:t xml:space="preserve">se están ofertando pisos 134 euros al mes </w:t>
      </w:r>
      <w:r>
        <w:rPr>
          <w:rFonts w:ascii="Open Sans" w:eastAsia="Open Sans" w:hAnsi="Open Sans" w:cs="Open Sans"/>
          <w:b/>
          <w:bCs/>
        </w:rPr>
        <w:t>con el precio más alto</w:t>
      </w:r>
      <w:r>
        <w:rPr>
          <w:rFonts w:ascii="Open Sans" w:eastAsia="Open Sans" w:hAnsi="Open Sans" w:cs="Open Sans"/>
          <w:b/>
          <w:bCs/>
          <w:color w:val="000000"/>
        </w:rPr>
        <w:t xml:space="preserve"> que hace un año. </w:t>
      </w:r>
    </w:p>
    <w:p w14:paraId="602F6994" w14:textId="77777777" w:rsidR="0019257C" w:rsidRDefault="00000000">
      <w:pPr>
        <w:pBdr>
          <w:top w:val="nil"/>
          <w:left w:val="nil"/>
          <w:bottom w:val="nil"/>
          <w:right w:val="nil"/>
          <w:between w:val="nil"/>
        </w:pBdr>
        <w:shd w:val="clear" w:color="auto" w:fill="FFFFFF"/>
        <w:tabs>
          <w:tab w:val="left" w:pos="3119"/>
        </w:tabs>
        <w:spacing w:before="280" w:after="280" w:line="276" w:lineRule="auto"/>
        <w:ind w:right="-567"/>
        <w:jc w:val="both"/>
        <w:rPr>
          <w:rFonts w:ascii="Open Sans" w:eastAsia="Open Sans" w:hAnsi="Open Sans" w:cs="Open Sans"/>
          <w:b/>
          <w:bCs/>
          <w:color w:val="000000"/>
        </w:rPr>
      </w:pPr>
      <w:r>
        <w:rPr>
          <w:rFonts w:ascii="Open Sans" w:eastAsia="Open Sans" w:hAnsi="Open Sans" w:cs="Open Sans"/>
        </w:rPr>
        <w:t xml:space="preserve">“En los últimos cinco años, el precio del alquiler se ha encarecido un 30%, y solo en los dos más recientes el aumento ha sido del 25%. Son incrementos extraordinariamente intensos para un periodo tan acotado, y explican por qué llevamos casi cuatro años encadenando récords históricos mes a mes. Este encarecimiento acelerado ha tensionado el mercado hasta límites inéditos, pero empieza a intuirse un posible punto de inflexión. El alquiler avanza ahora a dos velocidades. Hasta hace poco, las comunidades con mayor capacidad de atracción de demanda y mayor dinamismo económico eran las que lideraban las subidas, con incrementos de doble dígito. Ahora el mapa ha cambiado y las regiones más dinámicas empiezan a moderar su crecimiento, mientras que los mayores repuntes se concentran en aquellas zonas donde la demanda es menor y aún queda recorrido al alza. Por ejemplo, la Comunidad de Madrid, por primera vez registra una ligera caída del precio del alquiler, después de años de ascensos continuados”, </w:t>
      </w:r>
      <w:r>
        <w:rPr>
          <w:rFonts w:ascii="Open Sans" w:eastAsia="Open Sans" w:hAnsi="Open Sans" w:cs="Open Sans"/>
          <w:b/>
          <w:bCs/>
        </w:rPr>
        <w:t xml:space="preserve">explica María Matos, directora de Estudios y portavoz de </w:t>
      </w:r>
      <w:hyperlink r:id="rId11">
        <w:r w:rsidR="0019257C">
          <w:rPr>
            <w:rFonts w:ascii="Open Sans" w:eastAsia="Open Sans" w:hAnsi="Open Sans" w:cs="Open Sans"/>
            <w:b/>
            <w:bCs/>
            <w:color w:val="1155CC"/>
            <w:u w:val="single"/>
          </w:rPr>
          <w:t>Fotocasa</w:t>
        </w:r>
      </w:hyperlink>
      <w:r>
        <w:rPr>
          <w:rFonts w:ascii="Open Sans" w:eastAsia="Open Sans" w:hAnsi="Open Sans" w:cs="Open Sans"/>
          <w:b/>
          <w:bCs/>
        </w:rPr>
        <w:t xml:space="preserve">. </w:t>
      </w:r>
    </w:p>
    <w:p w14:paraId="15F23DEA" w14:textId="77777777" w:rsidR="0019257C" w:rsidRDefault="00000000">
      <w:pPr>
        <w:pBdr>
          <w:top w:val="nil"/>
          <w:left w:val="nil"/>
          <w:bottom w:val="nil"/>
          <w:right w:val="nil"/>
          <w:between w:val="nil"/>
        </w:pBdr>
        <w:shd w:val="clear" w:color="auto" w:fill="FFFFFF"/>
        <w:tabs>
          <w:tab w:val="left" w:pos="3119"/>
        </w:tabs>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t xml:space="preserve">De la misma manera, si un inquilino medio en España tuviera que renovar su contrato o buscar una nueva vivienda en octubre de 2025, </w:t>
      </w:r>
      <w:r>
        <w:rPr>
          <w:rFonts w:ascii="Open Sans" w:eastAsia="Open Sans" w:hAnsi="Open Sans" w:cs="Open Sans"/>
          <w:b/>
          <w:bCs/>
          <w:color w:val="000000"/>
        </w:rPr>
        <w:t>se toparía con una subida del 30% en el alquiler respecto a hace cinco años</w:t>
      </w:r>
      <w:r>
        <w:rPr>
          <w:rFonts w:ascii="Open Sans" w:eastAsia="Open Sans" w:hAnsi="Open Sans" w:cs="Open Sans"/>
          <w:color w:val="000000"/>
        </w:rPr>
        <w:t xml:space="preserve">. El precio para un piso de 80 metros habría pasado de 860 euros mensuales en 2020 a unos 1.120 euros, lo que implica pagar </w:t>
      </w:r>
      <w:r>
        <w:rPr>
          <w:rFonts w:ascii="Open Sans" w:eastAsia="Open Sans" w:hAnsi="Open Sans" w:cs="Open Sans"/>
          <w:b/>
          <w:bCs/>
          <w:color w:val="000000"/>
        </w:rPr>
        <w:t>260 euros adicionales</w:t>
      </w:r>
      <w:r>
        <w:rPr>
          <w:rFonts w:ascii="Open Sans" w:eastAsia="Open Sans" w:hAnsi="Open Sans" w:cs="Open Sans"/>
          <w:color w:val="000000"/>
        </w:rPr>
        <w:t xml:space="preserve"> cada mes.</w:t>
      </w:r>
    </w:p>
    <w:p w14:paraId="093E0A1C" w14:textId="77777777" w:rsidR="0019257C" w:rsidRDefault="00000000">
      <w:pPr>
        <w:pBdr>
          <w:top w:val="nil"/>
          <w:left w:val="nil"/>
          <w:bottom w:val="nil"/>
          <w:right w:val="nil"/>
          <w:between w:val="nil"/>
        </w:pBdr>
        <w:shd w:val="clear" w:color="auto" w:fill="FFFFFF"/>
        <w:tabs>
          <w:tab w:val="left" w:pos="3119"/>
        </w:tabs>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t>Hasta la fecha, el precio del alquiler mantiene una tendencia ascendente de forma continuada en comparación con los mismos meses del año anterior. En los últimos 44 meses, el mercado ha registrado sucesivos máximos históricos: tres en 2022, cuatro en 2023, siete en 2024 y cuatro en lo que llevamos de 2025.</w:t>
      </w:r>
    </w:p>
    <w:p w14:paraId="2C168E51" w14:textId="77777777" w:rsidR="0019257C" w:rsidRDefault="0019257C">
      <w:pPr>
        <w:pBdr>
          <w:top w:val="nil"/>
          <w:left w:val="nil"/>
          <w:bottom w:val="nil"/>
          <w:right w:val="nil"/>
          <w:between w:val="nil"/>
        </w:pBdr>
        <w:shd w:val="clear" w:color="auto" w:fill="FFFFFF"/>
        <w:tabs>
          <w:tab w:val="left" w:pos="3119"/>
        </w:tabs>
        <w:spacing w:before="280" w:after="280" w:line="276" w:lineRule="auto"/>
        <w:ind w:right="-567"/>
        <w:jc w:val="both"/>
        <w:rPr>
          <w:rFonts w:ascii="Open Sans" w:eastAsia="Open Sans" w:hAnsi="Open Sans" w:cs="Open Sans"/>
          <w:color w:val="000000"/>
        </w:rPr>
      </w:pPr>
    </w:p>
    <w:p w14:paraId="785E9177" w14:textId="77777777" w:rsidR="0019257C" w:rsidRDefault="0019257C">
      <w:pPr>
        <w:pBdr>
          <w:top w:val="nil"/>
          <w:left w:val="nil"/>
          <w:bottom w:val="nil"/>
          <w:right w:val="nil"/>
          <w:between w:val="nil"/>
        </w:pBdr>
        <w:shd w:val="clear" w:color="auto" w:fill="FFFFFF"/>
        <w:tabs>
          <w:tab w:val="left" w:pos="3119"/>
        </w:tabs>
        <w:spacing w:before="280" w:after="280" w:line="276" w:lineRule="auto"/>
        <w:ind w:right="-567"/>
        <w:jc w:val="both"/>
        <w:rPr>
          <w:rFonts w:ascii="Open Sans" w:eastAsia="Open Sans" w:hAnsi="Open Sans" w:cs="Open Sans"/>
          <w:color w:val="000000"/>
        </w:rPr>
      </w:pPr>
    </w:p>
    <w:p w14:paraId="5EFF6C7A" w14:textId="77777777" w:rsidR="0019257C"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Por comunidades</w:t>
      </w:r>
    </w:p>
    <w:p w14:paraId="07F1740B" w14:textId="39784260" w:rsidR="0019257C"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Si comparamos los precios del alquiler actuales con los registrados hace un año, se observa un incremento significativo en la mayoría de los territorios. En términos absolutos, el aumento mensual por comunidades es el siguiente: Cataluña (+303 euros/mes), Baleares (+135 euros/mes), Madrid (+117 euros/mes), Aragón (+106 euros/mes), País Vasco (+98 euros/mes), Asturias (+96 euros/mes), Comunitat Valenciana (+95 euros/mes), Castilla-La Mancha (+86 euros/mes), Andalucía (+74 euros/mes), Extremadura (+66 euros/mes), La Rioja (+65 euros/mes), Canarias (+63 euros/mes), Región de Murcia (+56 euros/mes), Castilla y León (+54 euros/mes), Cantabria (+50 euros/mes), Navarra (+46 euros/mes) y Galicia (+43 euros/mes).</w:t>
      </w:r>
    </w:p>
    <w:p w14:paraId="54FD76CD" w14:textId="77777777" w:rsidR="0019257C" w:rsidRDefault="0019257C">
      <w:pPr>
        <w:spacing w:line="276" w:lineRule="auto"/>
        <w:ind w:right="-567"/>
        <w:jc w:val="both"/>
        <w:rPr>
          <w:rFonts w:ascii="Open Sans" w:eastAsia="Open Sans" w:hAnsi="Open Sans" w:cs="Open Sans"/>
          <w:color w:val="000000"/>
        </w:rPr>
      </w:pPr>
    </w:p>
    <w:p w14:paraId="1AC38824" w14:textId="77777777" w:rsidR="0019257C" w:rsidRDefault="00000000">
      <w:pPr>
        <w:spacing w:line="276" w:lineRule="auto"/>
        <w:ind w:right="-567"/>
        <w:jc w:val="center"/>
        <w:rPr>
          <w:rFonts w:ascii="Open Sans" w:eastAsia="Open Sans" w:hAnsi="Open Sans" w:cs="Open Sans"/>
          <w:color w:val="000000"/>
        </w:rPr>
      </w:pPr>
      <w:r>
        <w:rPr>
          <w:rFonts w:ascii="Open Sans Light" w:eastAsia="Open Sans Light" w:hAnsi="Open Sans Light" w:cs="Open Sans Light"/>
          <w:b/>
          <w:bCs/>
          <w:color w:val="303AB2"/>
          <w:sz w:val="28"/>
          <w:szCs w:val="28"/>
        </w:rPr>
        <w:t>Incremento del alquiler por comunidades en euros por años (€)</w:t>
      </w:r>
    </w:p>
    <w:p w14:paraId="5A4A959C" w14:textId="77777777" w:rsidR="0019257C" w:rsidRDefault="0019257C">
      <w:pPr>
        <w:spacing w:line="276" w:lineRule="auto"/>
        <w:ind w:right="-567"/>
        <w:jc w:val="both"/>
        <w:rPr>
          <w:rFonts w:ascii="Open Sans" w:eastAsia="Open Sans" w:hAnsi="Open Sans" w:cs="Open Sans"/>
          <w:color w:val="000000"/>
        </w:rPr>
      </w:pPr>
    </w:p>
    <w:tbl>
      <w:tblPr>
        <w:tblStyle w:val="a2"/>
        <w:tblW w:w="9067"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96"/>
        <w:gridCol w:w="1364"/>
        <w:gridCol w:w="1510"/>
        <w:gridCol w:w="1511"/>
        <w:gridCol w:w="1569"/>
        <w:gridCol w:w="1417"/>
      </w:tblGrid>
      <w:tr w:rsidR="0019257C" w14:paraId="4D036405" w14:textId="77777777" w:rsidTr="0019257C">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696" w:type="dxa"/>
          </w:tcPr>
          <w:p w14:paraId="7A5A54EA"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Comunidad Autónoma</w:t>
            </w:r>
          </w:p>
        </w:tc>
        <w:tc>
          <w:tcPr>
            <w:tcW w:w="1364" w:type="dxa"/>
            <w:vAlign w:val="bottom"/>
          </w:tcPr>
          <w:p w14:paraId="76788DA4" w14:textId="77777777" w:rsidR="0019257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 xml:space="preserve">Incremento </w:t>
            </w:r>
          </w:p>
          <w:p w14:paraId="09DEB781" w14:textId="77777777" w:rsidR="0019257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5 años (€)</w:t>
            </w:r>
          </w:p>
        </w:tc>
        <w:tc>
          <w:tcPr>
            <w:tcW w:w="1510" w:type="dxa"/>
            <w:vAlign w:val="bottom"/>
          </w:tcPr>
          <w:p w14:paraId="40328B22" w14:textId="77777777" w:rsidR="0019257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 xml:space="preserve">Incremento </w:t>
            </w:r>
          </w:p>
          <w:p w14:paraId="6E1064D3" w14:textId="77777777" w:rsidR="0019257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4 años (€)</w:t>
            </w:r>
          </w:p>
        </w:tc>
        <w:tc>
          <w:tcPr>
            <w:tcW w:w="1511" w:type="dxa"/>
            <w:vAlign w:val="bottom"/>
          </w:tcPr>
          <w:p w14:paraId="05F8EBD1" w14:textId="77777777" w:rsidR="0019257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 xml:space="preserve">Incremento </w:t>
            </w:r>
          </w:p>
          <w:p w14:paraId="397B5976" w14:textId="77777777" w:rsidR="0019257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3 años (€)</w:t>
            </w:r>
          </w:p>
        </w:tc>
        <w:tc>
          <w:tcPr>
            <w:tcW w:w="1569" w:type="dxa"/>
            <w:vAlign w:val="bottom"/>
          </w:tcPr>
          <w:p w14:paraId="4C23E7F9" w14:textId="77777777" w:rsidR="0019257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 xml:space="preserve">Incremento </w:t>
            </w:r>
          </w:p>
          <w:p w14:paraId="188708B6" w14:textId="77777777" w:rsidR="0019257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2 años (€)</w:t>
            </w:r>
          </w:p>
        </w:tc>
        <w:tc>
          <w:tcPr>
            <w:tcW w:w="1417" w:type="dxa"/>
            <w:vAlign w:val="bottom"/>
          </w:tcPr>
          <w:p w14:paraId="0F65EC03" w14:textId="77777777" w:rsidR="0019257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 xml:space="preserve">Incremento </w:t>
            </w:r>
          </w:p>
          <w:p w14:paraId="541BE3EA" w14:textId="77777777" w:rsidR="0019257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1 año (€)</w:t>
            </w:r>
          </w:p>
        </w:tc>
      </w:tr>
      <w:tr w:rsidR="0019257C" w14:paraId="64AFC220" w14:textId="77777777" w:rsidTr="0019257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1620EFC2"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Andalucía</w:t>
            </w:r>
          </w:p>
        </w:tc>
        <w:tc>
          <w:tcPr>
            <w:tcW w:w="1364" w:type="dxa"/>
            <w:vAlign w:val="bottom"/>
          </w:tcPr>
          <w:p w14:paraId="089A9416"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230 €</w:t>
            </w:r>
          </w:p>
        </w:tc>
        <w:tc>
          <w:tcPr>
            <w:tcW w:w="1510" w:type="dxa"/>
            <w:vAlign w:val="bottom"/>
          </w:tcPr>
          <w:p w14:paraId="2D2FC2B8"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color w:val="000000"/>
                <w:sz w:val="20"/>
                <w:szCs w:val="20"/>
              </w:rPr>
              <w:t>238 €</w:t>
            </w:r>
          </w:p>
        </w:tc>
        <w:tc>
          <w:tcPr>
            <w:tcW w:w="1511" w:type="dxa"/>
            <w:vAlign w:val="bottom"/>
          </w:tcPr>
          <w:p w14:paraId="1C4DE590"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212 €</w:t>
            </w:r>
          </w:p>
        </w:tc>
        <w:tc>
          <w:tcPr>
            <w:tcW w:w="1569" w:type="dxa"/>
            <w:vAlign w:val="bottom"/>
          </w:tcPr>
          <w:p w14:paraId="736C7B2F"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145 €</w:t>
            </w:r>
          </w:p>
        </w:tc>
        <w:tc>
          <w:tcPr>
            <w:tcW w:w="1417" w:type="dxa"/>
            <w:vAlign w:val="bottom"/>
          </w:tcPr>
          <w:p w14:paraId="23BEAAEB"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74 €</w:t>
            </w:r>
          </w:p>
        </w:tc>
      </w:tr>
      <w:tr w:rsidR="0019257C" w14:paraId="45942871" w14:textId="77777777" w:rsidTr="0019257C">
        <w:trPr>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45B72DC6"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Aragón</w:t>
            </w:r>
          </w:p>
        </w:tc>
        <w:tc>
          <w:tcPr>
            <w:tcW w:w="1364" w:type="dxa"/>
            <w:vAlign w:val="bottom"/>
          </w:tcPr>
          <w:p w14:paraId="1F63F134"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212 €</w:t>
            </w:r>
          </w:p>
        </w:tc>
        <w:tc>
          <w:tcPr>
            <w:tcW w:w="1510" w:type="dxa"/>
            <w:vAlign w:val="bottom"/>
          </w:tcPr>
          <w:p w14:paraId="58291D6C"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0"/>
                <w:szCs w:val="20"/>
              </w:rPr>
            </w:pPr>
            <w:r>
              <w:rPr>
                <w:rFonts w:ascii="Open Sans" w:eastAsia="Open Sans" w:hAnsi="Open Sans" w:cs="Open Sans"/>
                <w:color w:val="000000"/>
                <w:sz w:val="20"/>
                <w:szCs w:val="20"/>
              </w:rPr>
              <w:t>218 €</w:t>
            </w:r>
          </w:p>
        </w:tc>
        <w:tc>
          <w:tcPr>
            <w:tcW w:w="1511" w:type="dxa"/>
            <w:vAlign w:val="bottom"/>
          </w:tcPr>
          <w:p w14:paraId="3C5AA7A7"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202 €</w:t>
            </w:r>
          </w:p>
        </w:tc>
        <w:tc>
          <w:tcPr>
            <w:tcW w:w="1569" w:type="dxa"/>
            <w:vAlign w:val="bottom"/>
          </w:tcPr>
          <w:p w14:paraId="7CDE8F53"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170 €</w:t>
            </w:r>
          </w:p>
        </w:tc>
        <w:tc>
          <w:tcPr>
            <w:tcW w:w="1417" w:type="dxa"/>
            <w:vAlign w:val="bottom"/>
          </w:tcPr>
          <w:p w14:paraId="012D654F"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106 €</w:t>
            </w:r>
          </w:p>
        </w:tc>
      </w:tr>
      <w:tr w:rsidR="0019257C" w14:paraId="10AB0903" w14:textId="77777777" w:rsidTr="0019257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5FE05F5A"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Asturias</w:t>
            </w:r>
          </w:p>
        </w:tc>
        <w:tc>
          <w:tcPr>
            <w:tcW w:w="1364" w:type="dxa"/>
            <w:vAlign w:val="bottom"/>
          </w:tcPr>
          <w:p w14:paraId="3DB6DF01"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312 €</w:t>
            </w:r>
          </w:p>
        </w:tc>
        <w:tc>
          <w:tcPr>
            <w:tcW w:w="1510" w:type="dxa"/>
            <w:vAlign w:val="bottom"/>
          </w:tcPr>
          <w:p w14:paraId="2B960501"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0"/>
                <w:szCs w:val="20"/>
              </w:rPr>
            </w:pPr>
            <w:r>
              <w:rPr>
                <w:rFonts w:ascii="Open Sans" w:eastAsia="Open Sans" w:hAnsi="Open Sans" w:cs="Open Sans"/>
                <w:color w:val="000000"/>
                <w:sz w:val="20"/>
                <w:szCs w:val="20"/>
              </w:rPr>
              <w:t>294 €</w:t>
            </w:r>
          </w:p>
        </w:tc>
        <w:tc>
          <w:tcPr>
            <w:tcW w:w="1511" w:type="dxa"/>
            <w:vAlign w:val="bottom"/>
          </w:tcPr>
          <w:p w14:paraId="354AB076"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250 €</w:t>
            </w:r>
          </w:p>
        </w:tc>
        <w:tc>
          <w:tcPr>
            <w:tcW w:w="1569" w:type="dxa"/>
            <w:vAlign w:val="bottom"/>
          </w:tcPr>
          <w:p w14:paraId="0D606215"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188 €</w:t>
            </w:r>
          </w:p>
        </w:tc>
        <w:tc>
          <w:tcPr>
            <w:tcW w:w="1417" w:type="dxa"/>
            <w:vAlign w:val="bottom"/>
          </w:tcPr>
          <w:p w14:paraId="459F707B"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96 €</w:t>
            </w:r>
          </w:p>
        </w:tc>
      </w:tr>
      <w:tr w:rsidR="0019257C" w14:paraId="3520857C" w14:textId="77777777" w:rsidTr="0019257C">
        <w:trPr>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0C8561E7"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Baleares</w:t>
            </w:r>
          </w:p>
        </w:tc>
        <w:tc>
          <w:tcPr>
            <w:tcW w:w="1364" w:type="dxa"/>
            <w:vAlign w:val="bottom"/>
          </w:tcPr>
          <w:p w14:paraId="74099C07"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592 €</w:t>
            </w:r>
          </w:p>
        </w:tc>
        <w:tc>
          <w:tcPr>
            <w:tcW w:w="1510" w:type="dxa"/>
            <w:vAlign w:val="bottom"/>
          </w:tcPr>
          <w:p w14:paraId="2FB3B2D4"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0"/>
                <w:szCs w:val="20"/>
              </w:rPr>
            </w:pPr>
            <w:r>
              <w:rPr>
                <w:rFonts w:ascii="Open Sans" w:eastAsia="Open Sans" w:hAnsi="Open Sans" w:cs="Open Sans"/>
                <w:color w:val="000000"/>
                <w:sz w:val="20"/>
                <w:szCs w:val="20"/>
              </w:rPr>
              <w:t>570 €</w:t>
            </w:r>
          </w:p>
        </w:tc>
        <w:tc>
          <w:tcPr>
            <w:tcW w:w="1511" w:type="dxa"/>
            <w:vAlign w:val="bottom"/>
          </w:tcPr>
          <w:p w14:paraId="1BE03347"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404 €</w:t>
            </w:r>
          </w:p>
        </w:tc>
        <w:tc>
          <w:tcPr>
            <w:tcW w:w="1569" w:type="dxa"/>
            <w:vAlign w:val="bottom"/>
          </w:tcPr>
          <w:p w14:paraId="031BF07B"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166 €</w:t>
            </w:r>
          </w:p>
        </w:tc>
        <w:tc>
          <w:tcPr>
            <w:tcW w:w="1417" w:type="dxa"/>
            <w:vAlign w:val="bottom"/>
          </w:tcPr>
          <w:p w14:paraId="61E54F4F"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135 €</w:t>
            </w:r>
          </w:p>
        </w:tc>
      </w:tr>
      <w:tr w:rsidR="0019257C" w14:paraId="7FEF5B4F" w14:textId="77777777" w:rsidTr="0019257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3BADB339"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Canarias</w:t>
            </w:r>
          </w:p>
        </w:tc>
        <w:tc>
          <w:tcPr>
            <w:tcW w:w="1364" w:type="dxa"/>
            <w:vAlign w:val="bottom"/>
          </w:tcPr>
          <w:p w14:paraId="11C16EFF"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423 €</w:t>
            </w:r>
          </w:p>
        </w:tc>
        <w:tc>
          <w:tcPr>
            <w:tcW w:w="1510" w:type="dxa"/>
            <w:vAlign w:val="bottom"/>
          </w:tcPr>
          <w:p w14:paraId="44CBE595"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0"/>
                <w:szCs w:val="20"/>
              </w:rPr>
            </w:pPr>
            <w:r>
              <w:rPr>
                <w:rFonts w:ascii="Open Sans" w:eastAsia="Open Sans" w:hAnsi="Open Sans" w:cs="Open Sans"/>
                <w:color w:val="000000"/>
                <w:sz w:val="20"/>
                <w:szCs w:val="20"/>
              </w:rPr>
              <w:t>432 €</w:t>
            </w:r>
          </w:p>
        </w:tc>
        <w:tc>
          <w:tcPr>
            <w:tcW w:w="1511" w:type="dxa"/>
            <w:vAlign w:val="bottom"/>
          </w:tcPr>
          <w:p w14:paraId="5D3360C4"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301 €</w:t>
            </w:r>
          </w:p>
        </w:tc>
        <w:tc>
          <w:tcPr>
            <w:tcW w:w="1569" w:type="dxa"/>
            <w:vAlign w:val="bottom"/>
          </w:tcPr>
          <w:p w14:paraId="17141EAA"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149 €</w:t>
            </w:r>
          </w:p>
        </w:tc>
        <w:tc>
          <w:tcPr>
            <w:tcW w:w="1417" w:type="dxa"/>
            <w:vAlign w:val="bottom"/>
          </w:tcPr>
          <w:p w14:paraId="79E922F7"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63 €</w:t>
            </w:r>
          </w:p>
        </w:tc>
      </w:tr>
      <w:tr w:rsidR="0019257C" w14:paraId="7A51419B" w14:textId="77777777" w:rsidTr="0019257C">
        <w:trPr>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1C8ED006"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Cantabria</w:t>
            </w:r>
          </w:p>
        </w:tc>
        <w:tc>
          <w:tcPr>
            <w:tcW w:w="1364" w:type="dxa"/>
            <w:vAlign w:val="bottom"/>
          </w:tcPr>
          <w:p w14:paraId="2DCF466E"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256 €</w:t>
            </w:r>
          </w:p>
        </w:tc>
        <w:tc>
          <w:tcPr>
            <w:tcW w:w="1510" w:type="dxa"/>
            <w:vAlign w:val="bottom"/>
          </w:tcPr>
          <w:p w14:paraId="03CDB20C"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0"/>
                <w:szCs w:val="20"/>
              </w:rPr>
            </w:pPr>
            <w:r>
              <w:rPr>
                <w:rFonts w:ascii="Open Sans" w:eastAsia="Open Sans" w:hAnsi="Open Sans" w:cs="Open Sans"/>
                <w:color w:val="000000"/>
                <w:sz w:val="20"/>
                <w:szCs w:val="20"/>
              </w:rPr>
              <w:t>215 €</w:t>
            </w:r>
          </w:p>
        </w:tc>
        <w:tc>
          <w:tcPr>
            <w:tcW w:w="1511" w:type="dxa"/>
            <w:vAlign w:val="bottom"/>
          </w:tcPr>
          <w:p w14:paraId="05341FCC"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147 €</w:t>
            </w:r>
          </w:p>
        </w:tc>
        <w:tc>
          <w:tcPr>
            <w:tcW w:w="1569" w:type="dxa"/>
            <w:vAlign w:val="bottom"/>
          </w:tcPr>
          <w:p w14:paraId="3BB499BF"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40 €</w:t>
            </w:r>
          </w:p>
        </w:tc>
        <w:tc>
          <w:tcPr>
            <w:tcW w:w="1417" w:type="dxa"/>
            <w:vAlign w:val="bottom"/>
          </w:tcPr>
          <w:p w14:paraId="1A7AF68D"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50 €</w:t>
            </w:r>
          </w:p>
        </w:tc>
      </w:tr>
      <w:tr w:rsidR="0019257C" w14:paraId="175441C5" w14:textId="77777777" w:rsidTr="0019257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1A4ED4F7"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Castilla y León</w:t>
            </w:r>
          </w:p>
        </w:tc>
        <w:tc>
          <w:tcPr>
            <w:tcW w:w="1364" w:type="dxa"/>
            <w:vAlign w:val="bottom"/>
          </w:tcPr>
          <w:p w14:paraId="5D4CD2BB"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204 €</w:t>
            </w:r>
          </w:p>
        </w:tc>
        <w:tc>
          <w:tcPr>
            <w:tcW w:w="1510" w:type="dxa"/>
            <w:vAlign w:val="bottom"/>
          </w:tcPr>
          <w:p w14:paraId="673D4951"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0"/>
                <w:szCs w:val="20"/>
              </w:rPr>
            </w:pPr>
            <w:r>
              <w:rPr>
                <w:rFonts w:ascii="Open Sans" w:eastAsia="Open Sans" w:hAnsi="Open Sans" w:cs="Open Sans"/>
                <w:color w:val="000000"/>
                <w:sz w:val="20"/>
                <w:szCs w:val="20"/>
              </w:rPr>
              <w:t>193 €</w:t>
            </w:r>
          </w:p>
        </w:tc>
        <w:tc>
          <w:tcPr>
            <w:tcW w:w="1511" w:type="dxa"/>
            <w:vAlign w:val="bottom"/>
          </w:tcPr>
          <w:p w14:paraId="35328C28"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157 €</w:t>
            </w:r>
          </w:p>
        </w:tc>
        <w:tc>
          <w:tcPr>
            <w:tcW w:w="1569" w:type="dxa"/>
            <w:vAlign w:val="bottom"/>
          </w:tcPr>
          <w:p w14:paraId="6F37AB4D"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110 €</w:t>
            </w:r>
          </w:p>
        </w:tc>
        <w:tc>
          <w:tcPr>
            <w:tcW w:w="1417" w:type="dxa"/>
            <w:vAlign w:val="bottom"/>
          </w:tcPr>
          <w:p w14:paraId="45B3A1D5"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54 €</w:t>
            </w:r>
          </w:p>
        </w:tc>
      </w:tr>
      <w:tr w:rsidR="0019257C" w14:paraId="15EAD677" w14:textId="77777777" w:rsidTr="0019257C">
        <w:trPr>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166BF0CB"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Castilla-La Mancha</w:t>
            </w:r>
          </w:p>
        </w:tc>
        <w:tc>
          <w:tcPr>
            <w:tcW w:w="1364" w:type="dxa"/>
            <w:vAlign w:val="bottom"/>
          </w:tcPr>
          <w:p w14:paraId="46016780"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213 €</w:t>
            </w:r>
          </w:p>
        </w:tc>
        <w:tc>
          <w:tcPr>
            <w:tcW w:w="1510" w:type="dxa"/>
            <w:vAlign w:val="bottom"/>
          </w:tcPr>
          <w:p w14:paraId="3EEC657A"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0"/>
                <w:szCs w:val="20"/>
              </w:rPr>
            </w:pPr>
            <w:r>
              <w:rPr>
                <w:rFonts w:ascii="Open Sans" w:eastAsia="Open Sans" w:hAnsi="Open Sans" w:cs="Open Sans"/>
                <w:color w:val="000000"/>
                <w:sz w:val="20"/>
                <w:szCs w:val="20"/>
              </w:rPr>
              <w:t>210 €</w:t>
            </w:r>
          </w:p>
        </w:tc>
        <w:tc>
          <w:tcPr>
            <w:tcW w:w="1511" w:type="dxa"/>
            <w:vAlign w:val="bottom"/>
          </w:tcPr>
          <w:p w14:paraId="0DFDDA35"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198 €</w:t>
            </w:r>
          </w:p>
        </w:tc>
        <w:tc>
          <w:tcPr>
            <w:tcW w:w="1569" w:type="dxa"/>
            <w:vAlign w:val="bottom"/>
          </w:tcPr>
          <w:p w14:paraId="5EA8D168"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173 €</w:t>
            </w:r>
          </w:p>
        </w:tc>
        <w:tc>
          <w:tcPr>
            <w:tcW w:w="1417" w:type="dxa"/>
            <w:vAlign w:val="bottom"/>
          </w:tcPr>
          <w:p w14:paraId="0D767ECA"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86 €</w:t>
            </w:r>
          </w:p>
        </w:tc>
      </w:tr>
      <w:tr w:rsidR="0019257C" w14:paraId="1D61803C" w14:textId="77777777" w:rsidTr="0019257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6D3246DB"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Cataluña</w:t>
            </w:r>
          </w:p>
        </w:tc>
        <w:tc>
          <w:tcPr>
            <w:tcW w:w="1364" w:type="dxa"/>
            <w:vAlign w:val="bottom"/>
          </w:tcPr>
          <w:p w14:paraId="3CD51F2B"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467 €</w:t>
            </w:r>
          </w:p>
        </w:tc>
        <w:tc>
          <w:tcPr>
            <w:tcW w:w="1510" w:type="dxa"/>
            <w:vAlign w:val="bottom"/>
          </w:tcPr>
          <w:p w14:paraId="571985C4"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0"/>
                <w:szCs w:val="20"/>
              </w:rPr>
            </w:pPr>
            <w:r>
              <w:rPr>
                <w:rFonts w:ascii="Open Sans" w:eastAsia="Open Sans" w:hAnsi="Open Sans" w:cs="Open Sans"/>
                <w:color w:val="000000"/>
                <w:sz w:val="20"/>
                <w:szCs w:val="20"/>
              </w:rPr>
              <w:t>508 €</w:t>
            </w:r>
          </w:p>
        </w:tc>
        <w:tc>
          <w:tcPr>
            <w:tcW w:w="1511" w:type="dxa"/>
            <w:vAlign w:val="bottom"/>
          </w:tcPr>
          <w:p w14:paraId="092DA58B"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470 €</w:t>
            </w:r>
          </w:p>
        </w:tc>
        <w:tc>
          <w:tcPr>
            <w:tcW w:w="1569" w:type="dxa"/>
            <w:vAlign w:val="bottom"/>
          </w:tcPr>
          <w:p w14:paraId="37348A35"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354 €</w:t>
            </w:r>
          </w:p>
        </w:tc>
        <w:tc>
          <w:tcPr>
            <w:tcW w:w="1417" w:type="dxa"/>
            <w:vAlign w:val="bottom"/>
          </w:tcPr>
          <w:p w14:paraId="75A6DC62"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303 €</w:t>
            </w:r>
          </w:p>
        </w:tc>
      </w:tr>
      <w:tr w:rsidR="0019257C" w14:paraId="5B92B3C1" w14:textId="77777777" w:rsidTr="0019257C">
        <w:trPr>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40812F2D"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Comunitat Valenciana</w:t>
            </w:r>
          </w:p>
        </w:tc>
        <w:tc>
          <w:tcPr>
            <w:tcW w:w="1364" w:type="dxa"/>
            <w:vAlign w:val="bottom"/>
          </w:tcPr>
          <w:p w14:paraId="36FB9FB9"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410 €</w:t>
            </w:r>
          </w:p>
        </w:tc>
        <w:tc>
          <w:tcPr>
            <w:tcW w:w="1510" w:type="dxa"/>
            <w:vAlign w:val="bottom"/>
          </w:tcPr>
          <w:p w14:paraId="6E2B55E5"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0"/>
                <w:szCs w:val="20"/>
              </w:rPr>
            </w:pPr>
            <w:r>
              <w:rPr>
                <w:rFonts w:ascii="Open Sans" w:eastAsia="Open Sans" w:hAnsi="Open Sans" w:cs="Open Sans"/>
                <w:color w:val="000000"/>
                <w:sz w:val="20"/>
                <w:szCs w:val="20"/>
              </w:rPr>
              <w:t>402 €</w:t>
            </w:r>
          </w:p>
        </w:tc>
        <w:tc>
          <w:tcPr>
            <w:tcW w:w="1511" w:type="dxa"/>
            <w:vAlign w:val="bottom"/>
          </w:tcPr>
          <w:p w14:paraId="0F8B1C4B"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306 €</w:t>
            </w:r>
          </w:p>
        </w:tc>
        <w:tc>
          <w:tcPr>
            <w:tcW w:w="1569" w:type="dxa"/>
            <w:vAlign w:val="bottom"/>
          </w:tcPr>
          <w:p w14:paraId="66C92483"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172 €</w:t>
            </w:r>
          </w:p>
        </w:tc>
        <w:tc>
          <w:tcPr>
            <w:tcW w:w="1417" w:type="dxa"/>
            <w:vAlign w:val="bottom"/>
          </w:tcPr>
          <w:p w14:paraId="4D8AA96E"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95 €</w:t>
            </w:r>
          </w:p>
        </w:tc>
      </w:tr>
      <w:tr w:rsidR="0019257C" w14:paraId="56FBA499" w14:textId="77777777" w:rsidTr="0019257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2606E84E"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España</w:t>
            </w:r>
          </w:p>
        </w:tc>
        <w:tc>
          <w:tcPr>
            <w:tcW w:w="1364" w:type="dxa"/>
            <w:vAlign w:val="bottom"/>
          </w:tcPr>
          <w:p w14:paraId="720AAF1B"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260 €</w:t>
            </w:r>
          </w:p>
        </w:tc>
        <w:tc>
          <w:tcPr>
            <w:tcW w:w="1510" w:type="dxa"/>
            <w:vAlign w:val="bottom"/>
          </w:tcPr>
          <w:p w14:paraId="1EEC968C"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0"/>
                <w:szCs w:val="20"/>
              </w:rPr>
            </w:pPr>
            <w:r>
              <w:rPr>
                <w:rFonts w:ascii="Open Sans" w:eastAsia="Open Sans" w:hAnsi="Open Sans" w:cs="Open Sans"/>
                <w:color w:val="000000"/>
                <w:sz w:val="20"/>
                <w:szCs w:val="20"/>
              </w:rPr>
              <w:t>313 €</w:t>
            </w:r>
          </w:p>
        </w:tc>
        <w:tc>
          <w:tcPr>
            <w:tcW w:w="1511" w:type="dxa"/>
            <w:vAlign w:val="bottom"/>
          </w:tcPr>
          <w:p w14:paraId="75583686"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281 €</w:t>
            </w:r>
          </w:p>
        </w:tc>
        <w:tc>
          <w:tcPr>
            <w:tcW w:w="1569" w:type="dxa"/>
            <w:vAlign w:val="bottom"/>
          </w:tcPr>
          <w:p w14:paraId="54309F53"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222 €</w:t>
            </w:r>
          </w:p>
        </w:tc>
        <w:tc>
          <w:tcPr>
            <w:tcW w:w="1417" w:type="dxa"/>
            <w:vAlign w:val="bottom"/>
          </w:tcPr>
          <w:p w14:paraId="685D1BAD"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134 €</w:t>
            </w:r>
          </w:p>
        </w:tc>
      </w:tr>
      <w:tr w:rsidR="0019257C" w14:paraId="00F4308C" w14:textId="77777777" w:rsidTr="0019257C">
        <w:trPr>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0EE658E0"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Extremadura</w:t>
            </w:r>
          </w:p>
        </w:tc>
        <w:tc>
          <w:tcPr>
            <w:tcW w:w="1364" w:type="dxa"/>
            <w:vAlign w:val="bottom"/>
          </w:tcPr>
          <w:p w14:paraId="35EC544E"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164 €</w:t>
            </w:r>
          </w:p>
        </w:tc>
        <w:tc>
          <w:tcPr>
            <w:tcW w:w="1510" w:type="dxa"/>
            <w:vAlign w:val="bottom"/>
          </w:tcPr>
          <w:p w14:paraId="466B0063"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0"/>
                <w:szCs w:val="20"/>
              </w:rPr>
            </w:pPr>
            <w:r>
              <w:rPr>
                <w:rFonts w:ascii="Open Sans" w:eastAsia="Open Sans" w:hAnsi="Open Sans" w:cs="Open Sans"/>
                <w:color w:val="000000"/>
                <w:sz w:val="20"/>
                <w:szCs w:val="20"/>
              </w:rPr>
              <w:t>146 €</w:t>
            </w:r>
          </w:p>
        </w:tc>
        <w:tc>
          <w:tcPr>
            <w:tcW w:w="1511" w:type="dxa"/>
            <w:vAlign w:val="bottom"/>
          </w:tcPr>
          <w:p w14:paraId="11FABDD2"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117 €</w:t>
            </w:r>
          </w:p>
        </w:tc>
        <w:tc>
          <w:tcPr>
            <w:tcW w:w="1569" w:type="dxa"/>
            <w:vAlign w:val="bottom"/>
          </w:tcPr>
          <w:p w14:paraId="5B50CB53"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94 €</w:t>
            </w:r>
          </w:p>
        </w:tc>
        <w:tc>
          <w:tcPr>
            <w:tcW w:w="1417" w:type="dxa"/>
            <w:vAlign w:val="bottom"/>
          </w:tcPr>
          <w:p w14:paraId="4595052C"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66 €</w:t>
            </w:r>
          </w:p>
        </w:tc>
      </w:tr>
      <w:tr w:rsidR="0019257C" w14:paraId="336567D1" w14:textId="77777777" w:rsidTr="0019257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32F709E1"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Galicia</w:t>
            </w:r>
          </w:p>
        </w:tc>
        <w:tc>
          <w:tcPr>
            <w:tcW w:w="1364" w:type="dxa"/>
            <w:vAlign w:val="bottom"/>
          </w:tcPr>
          <w:p w14:paraId="4A42DE39"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221 €</w:t>
            </w:r>
          </w:p>
        </w:tc>
        <w:tc>
          <w:tcPr>
            <w:tcW w:w="1510" w:type="dxa"/>
            <w:vAlign w:val="bottom"/>
          </w:tcPr>
          <w:p w14:paraId="0253FBC0"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0"/>
                <w:szCs w:val="20"/>
              </w:rPr>
            </w:pPr>
            <w:r>
              <w:rPr>
                <w:rFonts w:ascii="Open Sans" w:eastAsia="Open Sans" w:hAnsi="Open Sans" w:cs="Open Sans"/>
                <w:color w:val="000000"/>
                <w:sz w:val="20"/>
                <w:szCs w:val="20"/>
              </w:rPr>
              <w:t>208 €</w:t>
            </w:r>
          </w:p>
        </w:tc>
        <w:tc>
          <w:tcPr>
            <w:tcW w:w="1511" w:type="dxa"/>
            <w:vAlign w:val="bottom"/>
          </w:tcPr>
          <w:p w14:paraId="6AEDB809"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158 €</w:t>
            </w:r>
          </w:p>
        </w:tc>
        <w:tc>
          <w:tcPr>
            <w:tcW w:w="1569" w:type="dxa"/>
            <w:vAlign w:val="bottom"/>
          </w:tcPr>
          <w:p w14:paraId="3CBA0F75"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114 €</w:t>
            </w:r>
          </w:p>
        </w:tc>
        <w:tc>
          <w:tcPr>
            <w:tcW w:w="1417" w:type="dxa"/>
            <w:vAlign w:val="bottom"/>
          </w:tcPr>
          <w:p w14:paraId="48EFD258"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43 €</w:t>
            </w:r>
          </w:p>
        </w:tc>
      </w:tr>
      <w:tr w:rsidR="0019257C" w14:paraId="2DF648DB" w14:textId="77777777" w:rsidTr="0019257C">
        <w:trPr>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544C7B57"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La Rioja</w:t>
            </w:r>
          </w:p>
        </w:tc>
        <w:tc>
          <w:tcPr>
            <w:tcW w:w="1364" w:type="dxa"/>
            <w:vAlign w:val="bottom"/>
          </w:tcPr>
          <w:p w14:paraId="15249E36"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229 €</w:t>
            </w:r>
          </w:p>
        </w:tc>
        <w:tc>
          <w:tcPr>
            <w:tcW w:w="1510" w:type="dxa"/>
            <w:vAlign w:val="bottom"/>
          </w:tcPr>
          <w:p w14:paraId="38D63CC8"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0"/>
                <w:szCs w:val="20"/>
              </w:rPr>
            </w:pPr>
            <w:r>
              <w:rPr>
                <w:rFonts w:ascii="Open Sans" w:eastAsia="Open Sans" w:hAnsi="Open Sans" w:cs="Open Sans"/>
                <w:color w:val="000000"/>
                <w:sz w:val="20"/>
                <w:szCs w:val="20"/>
              </w:rPr>
              <w:t>210 €</w:t>
            </w:r>
          </w:p>
        </w:tc>
        <w:tc>
          <w:tcPr>
            <w:tcW w:w="1511" w:type="dxa"/>
            <w:vAlign w:val="bottom"/>
          </w:tcPr>
          <w:p w14:paraId="0DE6A338"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170 €</w:t>
            </w:r>
          </w:p>
        </w:tc>
        <w:tc>
          <w:tcPr>
            <w:tcW w:w="1569" w:type="dxa"/>
            <w:vAlign w:val="bottom"/>
          </w:tcPr>
          <w:p w14:paraId="641057A9"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129 €</w:t>
            </w:r>
          </w:p>
        </w:tc>
        <w:tc>
          <w:tcPr>
            <w:tcW w:w="1417" w:type="dxa"/>
            <w:vAlign w:val="bottom"/>
          </w:tcPr>
          <w:p w14:paraId="61FFD0B3"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65 €</w:t>
            </w:r>
          </w:p>
        </w:tc>
      </w:tr>
      <w:tr w:rsidR="0019257C" w14:paraId="02B7C151" w14:textId="77777777" w:rsidTr="0019257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5C55CDA0"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Madrid</w:t>
            </w:r>
          </w:p>
        </w:tc>
        <w:tc>
          <w:tcPr>
            <w:tcW w:w="1364" w:type="dxa"/>
            <w:vAlign w:val="bottom"/>
          </w:tcPr>
          <w:p w14:paraId="62BE6BAF"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542 €</w:t>
            </w:r>
          </w:p>
        </w:tc>
        <w:tc>
          <w:tcPr>
            <w:tcW w:w="1510" w:type="dxa"/>
            <w:vAlign w:val="bottom"/>
          </w:tcPr>
          <w:p w14:paraId="3E35FC61"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0"/>
                <w:szCs w:val="20"/>
              </w:rPr>
            </w:pPr>
            <w:r>
              <w:rPr>
                <w:rFonts w:ascii="Open Sans" w:eastAsia="Open Sans" w:hAnsi="Open Sans" w:cs="Open Sans"/>
                <w:color w:val="000000"/>
                <w:sz w:val="20"/>
                <w:szCs w:val="20"/>
              </w:rPr>
              <w:t>634 €</w:t>
            </w:r>
          </w:p>
        </w:tc>
        <w:tc>
          <w:tcPr>
            <w:tcW w:w="1511" w:type="dxa"/>
            <w:vAlign w:val="bottom"/>
          </w:tcPr>
          <w:p w14:paraId="381FECFB"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476 €</w:t>
            </w:r>
          </w:p>
        </w:tc>
        <w:tc>
          <w:tcPr>
            <w:tcW w:w="1569" w:type="dxa"/>
            <w:vAlign w:val="bottom"/>
          </w:tcPr>
          <w:p w14:paraId="3BD3278F"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362 €</w:t>
            </w:r>
          </w:p>
        </w:tc>
        <w:tc>
          <w:tcPr>
            <w:tcW w:w="1417" w:type="dxa"/>
            <w:vAlign w:val="bottom"/>
          </w:tcPr>
          <w:p w14:paraId="2EA172A4"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117 €</w:t>
            </w:r>
          </w:p>
        </w:tc>
      </w:tr>
      <w:tr w:rsidR="0019257C" w14:paraId="1AD0E027" w14:textId="77777777" w:rsidTr="0019257C">
        <w:trPr>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5E7FFBB1"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Navarra</w:t>
            </w:r>
          </w:p>
        </w:tc>
        <w:tc>
          <w:tcPr>
            <w:tcW w:w="1364" w:type="dxa"/>
            <w:vAlign w:val="bottom"/>
          </w:tcPr>
          <w:p w14:paraId="6EE7A924"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230 €</w:t>
            </w:r>
          </w:p>
        </w:tc>
        <w:tc>
          <w:tcPr>
            <w:tcW w:w="1510" w:type="dxa"/>
            <w:vAlign w:val="bottom"/>
          </w:tcPr>
          <w:p w14:paraId="4850B3E0"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0"/>
                <w:szCs w:val="20"/>
              </w:rPr>
            </w:pPr>
            <w:r>
              <w:rPr>
                <w:rFonts w:ascii="Open Sans" w:eastAsia="Open Sans" w:hAnsi="Open Sans" w:cs="Open Sans"/>
                <w:color w:val="000000"/>
                <w:sz w:val="20"/>
                <w:szCs w:val="20"/>
              </w:rPr>
              <w:t>224 €</w:t>
            </w:r>
          </w:p>
        </w:tc>
        <w:tc>
          <w:tcPr>
            <w:tcW w:w="1511" w:type="dxa"/>
            <w:vAlign w:val="bottom"/>
          </w:tcPr>
          <w:p w14:paraId="5B11847F"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163 €</w:t>
            </w:r>
          </w:p>
        </w:tc>
        <w:tc>
          <w:tcPr>
            <w:tcW w:w="1569" w:type="dxa"/>
            <w:vAlign w:val="bottom"/>
          </w:tcPr>
          <w:p w14:paraId="4A14DA19"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151 €</w:t>
            </w:r>
          </w:p>
        </w:tc>
        <w:tc>
          <w:tcPr>
            <w:tcW w:w="1417" w:type="dxa"/>
            <w:vAlign w:val="bottom"/>
          </w:tcPr>
          <w:p w14:paraId="1CFFC262"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46 €</w:t>
            </w:r>
          </w:p>
        </w:tc>
      </w:tr>
      <w:tr w:rsidR="0019257C" w14:paraId="44CE2DE5" w14:textId="77777777" w:rsidTr="0019257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5A33F4A2"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País Vasco</w:t>
            </w:r>
          </w:p>
        </w:tc>
        <w:tc>
          <w:tcPr>
            <w:tcW w:w="1364" w:type="dxa"/>
            <w:vAlign w:val="bottom"/>
          </w:tcPr>
          <w:p w14:paraId="163CDB19"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323 €</w:t>
            </w:r>
          </w:p>
        </w:tc>
        <w:tc>
          <w:tcPr>
            <w:tcW w:w="1510" w:type="dxa"/>
            <w:vAlign w:val="bottom"/>
          </w:tcPr>
          <w:p w14:paraId="37AE054E"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0"/>
                <w:szCs w:val="20"/>
              </w:rPr>
            </w:pPr>
            <w:r>
              <w:rPr>
                <w:rFonts w:ascii="Open Sans" w:eastAsia="Open Sans" w:hAnsi="Open Sans" w:cs="Open Sans"/>
                <w:color w:val="000000"/>
                <w:sz w:val="20"/>
                <w:szCs w:val="20"/>
              </w:rPr>
              <w:t>325 €</w:t>
            </w:r>
          </w:p>
        </w:tc>
        <w:tc>
          <w:tcPr>
            <w:tcW w:w="1511" w:type="dxa"/>
            <w:vAlign w:val="bottom"/>
          </w:tcPr>
          <w:p w14:paraId="2A0E5628"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289 €</w:t>
            </w:r>
          </w:p>
        </w:tc>
        <w:tc>
          <w:tcPr>
            <w:tcW w:w="1569" w:type="dxa"/>
            <w:vAlign w:val="bottom"/>
          </w:tcPr>
          <w:p w14:paraId="030C07B0"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187 €</w:t>
            </w:r>
          </w:p>
        </w:tc>
        <w:tc>
          <w:tcPr>
            <w:tcW w:w="1417" w:type="dxa"/>
            <w:vAlign w:val="bottom"/>
          </w:tcPr>
          <w:p w14:paraId="7F8FA587"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98 €</w:t>
            </w:r>
          </w:p>
        </w:tc>
      </w:tr>
      <w:tr w:rsidR="0019257C" w14:paraId="623C8B4C" w14:textId="77777777" w:rsidTr="0019257C">
        <w:trPr>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34C392B8"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Región de Murcia</w:t>
            </w:r>
          </w:p>
        </w:tc>
        <w:tc>
          <w:tcPr>
            <w:tcW w:w="1364" w:type="dxa"/>
            <w:vAlign w:val="bottom"/>
          </w:tcPr>
          <w:p w14:paraId="4DE05F3B"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0"/>
                <w:szCs w:val="20"/>
              </w:rPr>
            </w:pPr>
            <w:r>
              <w:rPr>
                <w:rFonts w:ascii="Open Sans" w:eastAsia="Open Sans" w:hAnsi="Open Sans" w:cs="Open Sans"/>
                <w:color w:val="000000"/>
                <w:sz w:val="20"/>
                <w:szCs w:val="20"/>
              </w:rPr>
              <w:t>231 €</w:t>
            </w:r>
          </w:p>
        </w:tc>
        <w:tc>
          <w:tcPr>
            <w:tcW w:w="1510" w:type="dxa"/>
            <w:vAlign w:val="bottom"/>
          </w:tcPr>
          <w:p w14:paraId="33B231BA"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0"/>
                <w:szCs w:val="20"/>
              </w:rPr>
            </w:pPr>
            <w:r>
              <w:rPr>
                <w:rFonts w:ascii="Open Sans" w:eastAsia="Open Sans" w:hAnsi="Open Sans" w:cs="Open Sans"/>
                <w:color w:val="000000"/>
                <w:sz w:val="20"/>
                <w:szCs w:val="20"/>
              </w:rPr>
              <w:t>207 €</w:t>
            </w:r>
          </w:p>
        </w:tc>
        <w:tc>
          <w:tcPr>
            <w:tcW w:w="1511" w:type="dxa"/>
            <w:vAlign w:val="bottom"/>
          </w:tcPr>
          <w:p w14:paraId="562A777F"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161 €</w:t>
            </w:r>
          </w:p>
        </w:tc>
        <w:tc>
          <w:tcPr>
            <w:tcW w:w="1569" w:type="dxa"/>
            <w:vAlign w:val="bottom"/>
          </w:tcPr>
          <w:p w14:paraId="3637358E"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141 €</w:t>
            </w:r>
          </w:p>
        </w:tc>
        <w:tc>
          <w:tcPr>
            <w:tcW w:w="1417" w:type="dxa"/>
            <w:vAlign w:val="bottom"/>
          </w:tcPr>
          <w:p w14:paraId="7F0E4A12"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56 €</w:t>
            </w:r>
          </w:p>
        </w:tc>
      </w:tr>
      <w:tr w:rsidR="0019257C" w14:paraId="712CA6D5" w14:textId="77777777" w:rsidTr="0019257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47B8DF11" w14:textId="77777777" w:rsidR="0019257C" w:rsidRDefault="0019257C">
            <w:pPr>
              <w:rPr>
                <w:rFonts w:ascii="Open Sans" w:eastAsia="Open Sans" w:hAnsi="Open Sans" w:cs="Open Sans"/>
                <w:sz w:val="20"/>
                <w:szCs w:val="20"/>
              </w:rPr>
            </w:pPr>
          </w:p>
        </w:tc>
        <w:tc>
          <w:tcPr>
            <w:tcW w:w="1364" w:type="dxa"/>
            <w:vAlign w:val="bottom"/>
          </w:tcPr>
          <w:p w14:paraId="1A525DB4" w14:textId="77777777" w:rsidR="0019257C" w:rsidRDefault="0019257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p>
        </w:tc>
        <w:tc>
          <w:tcPr>
            <w:tcW w:w="1510" w:type="dxa"/>
            <w:vAlign w:val="bottom"/>
          </w:tcPr>
          <w:p w14:paraId="64E183A7" w14:textId="77777777" w:rsidR="0019257C" w:rsidRDefault="0019257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p>
        </w:tc>
        <w:tc>
          <w:tcPr>
            <w:tcW w:w="1511" w:type="dxa"/>
            <w:vAlign w:val="bottom"/>
          </w:tcPr>
          <w:p w14:paraId="3A847F86" w14:textId="77777777" w:rsidR="0019257C" w:rsidRDefault="0019257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p>
        </w:tc>
        <w:tc>
          <w:tcPr>
            <w:tcW w:w="1569" w:type="dxa"/>
            <w:vAlign w:val="bottom"/>
          </w:tcPr>
          <w:p w14:paraId="081D1A10" w14:textId="77777777" w:rsidR="0019257C" w:rsidRDefault="0019257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p>
        </w:tc>
        <w:tc>
          <w:tcPr>
            <w:tcW w:w="1417" w:type="dxa"/>
            <w:vAlign w:val="bottom"/>
          </w:tcPr>
          <w:p w14:paraId="5F7D9E3E" w14:textId="77777777" w:rsidR="0019257C" w:rsidRDefault="0019257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p>
        </w:tc>
      </w:tr>
    </w:tbl>
    <w:p w14:paraId="59093250" w14:textId="77777777" w:rsidR="0019257C" w:rsidRDefault="0019257C">
      <w:pPr>
        <w:spacing w:line="276" w:lineRule="auto"/>
        <w:ind w:right="-567"/>
        <w:jc w:val="both"/>
        <w:rPr>
          <w:rFonts w:ascii="Open Sans" w:eastAsia="Open Sans" w:hAnsi="Open Sans" w:cs="Open Sans"/>
          <w:color w:val="000000"/>
        </w:rPr>
      </w:pPr>
    </w:p>
    <w:p w14:paraId="50DC077F" w14:textId="77777777" w:rsidR="0019257C" w:rsidRDefault="0019257C">
      <w:pPr>
        <w:spacing w:line="276" w:lineRule="auto"/>
        <w:ind w:right="-567"/>
        <w:jc w:val="center"/>
        <w:rPr>
          <w:rFonts w:ascii="Open Sans Light" w:eastAsia="Open Sans Light" w:hAnsi="Open Sans Light" w:cs="Open Sans Light"/>
          <w:b/>
          <w:bCs/>
          <w:color w:val="303AB2"/>
          <w:sz w:val="28"/>
          <w:szCs w:val="28"/>
        </w:rPr>
      </w:pPr>
    </w:p>
    <w:p w14:paraId="24186436" w14:textId="77777777" w:rsidR="0019257C" w:rsidRDefault="0019257C">
      <w:pPr>
        <w:spacing w:line="276" w:lineRule="auto"/>
        <w:ind w:right="-567"/>
        <w:jc w:val="center"/>
        <w:rPr>
          <w:rFonts w:ascii="Open Sans Light" w:eastAsia="Open Sans Light" w:hAnsi="Open Sans Light" w:cs="Open Sans Light"/>
          <w:b/>
          <w:bCs/>
          <w:color w:val="303AB2"/>
          <w:sz w:val="28"/>
          <w:szCs w:val="28"/>
        </w:rPr>
      </w:pPr>
    </w:p>
    <w:p w14:paraId="56C9339F" w14:textId="77777777" w:rsidR="0019257C" w:rsidRDefault="00000000">
      <w:pPr>
        <w:spacing w:line="276" w:lineRule="auto"/>
        <w:ind w:right="-567"/>
        <w:jc w:val="center"/>
        <w:rPr>
          <w:rFonts w:ascii="Open Sans" w:eastAsia="Open Sans" w:hAnsi="Open Sans" w:cs="Open Sans"/>
          <w:color w:val="000000"/>
        </w:rPr>
      </w:pPr>
      <w:r>
        <w:rPr>
          <w:rFonts w:ascii="Open Sans Light" w:eastAsia="Open Sans Light" w:hAnsi="Open Sans Light" w:cs="Open Sans Light"/>
          <w:b/>
          <w:bCs/>
          <w:color w:val="303AB2"/>
          <w:sz w:val="28"/>
          <w:szCs w:val="28"/>
        </w:rPr>
        <w:lastRenderedPageBreak/>
        <w:t>Incremento del alquiler por comunidades en porcentaje por años (%)</w:t>
      </w:r>
    </w:p>
    <w:p w14:paraId="7FCE49F4" w14:textId="77777777" w:rsidR="0019257C" w:rsidRDefault="0019257C">
      <w:pPr>
        <w:spacing w:line="276" w:lineRule="auto"/>
        <w:ind w:right="-567"/>
        <w:jc w:val="both"/>
        <w:rPr>
          <w:rFonts w:ascii="Open Sans" w:eastAsia="Open Sans" w:hAnsi="Open Sans" w:cs="Open Sans"/>
          <w:color w:val="000000"/>
        </w:rPr>
      </w:pPr>
    </w:p>
    <w:tbl>
      <w:tblPr>
        <w:tblStyle w:val="a3"/>
        <w:tblW w:w="9067"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96"/>
        <w:gridCol w:w="1364"/>
        <w:gridCol w:w="1510"/>
        <w:gridCol w:w="1511"/>
        <w:gridCol w:w="1569"/>
        <w:gridCol w:w="1417"/>
      </w:tblGrid>
      <w:tr w:rsidR="0019257C" w14:paraId="115F3BD6" w14:textId="77777777" w:rsidTr="0019257C">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696" w:type="dxa"/>
          </w:tcPr>
          <w:p w14:paraId="27F804C3"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Comunidad Autónoma</w:t>
            </w:r>
          </w:p>
        </w:tc>
        <w:tc>
          <w:tcPr>
            <w:tcW w:w="1364" w:type="dxa"/>
            <w:vAlign w:val="bottom"/>
          </w:tcPr>
          <w:p w14:paraId="70DB6EB3" w14:textId="77777777" w:rsidR="0019257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 xml:space="preserve">Incremento </w:t>
            </w:r>
          </w:p>
          <w:p w14:paraId="2D32BC45" w14:textId="77777777" w:rsidR="0019257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5 años (%)</w:t>
            </w:r>
          </w:p>
        </w:tc>
        <w:tc>
          <w:tcPr>
            <w:tcW w:w="1510" w:type="dxa"/>
            <w:vAlign w:val="bottom"/>
          </w:tcPr>
          <w:p w14:paraId="0E6D64A2" w14:textId="77777777" w:rsidR="0019257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 xml:space="preserve">Incremento </w:t>
            </w:r>
          </w:p>
          <w:p w14:paraId="15BA4BDC" w14:textId="77777777" w:rsidR="0019257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4 años (%)</w:t>
            </w:r>
          </w:p>
        </w:tc>
        <w:tc>
          <w:tcPr>
            <w:tcW w:w="1511" w:type="dxa"/>
            <w:vAlign w:val="bottom"/>
          </w:tcPr>
          <w:p w14:paraId="26FCE275" w14:textId="77777777" w:rsidR="0019257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 xml:space="preserve">Incremento </w:t>
            </w:r>
          </w:p>
          <w:p w14:paraId="4E886A6F" w14:textId="77777777" w:rsidR="0019257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3 años (%)</w:t>
            </w:r>
          </w:p>
        </w:tc>
        <w:tc>
          <w:tcPr>
            <w:tcW w:w="1569" w:type="dxa"/>
            <w:vAlign w:val="bottom"/>
          </w:tcPr>
          <w:p w14:paraId="62680C8C" w14:textId="77777777" w:rsidR="0019257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 xml:space="preserve">Incremento </w:t>
            </w:r>
          </w:p>
          <w:p w14:paraId="4CB64A19" w14:textId="77777777" w:rsidR="0019257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2 años (%)</w:t>
            </w:r>
          </w:p>
        </w:tc>
        <w:tc>
          <w:tcPr>
            <w:tcW w:w="1417" w:type="dxa"/>
            <w:vAlign w:val="bottom"/>
          </w:tcPr>
          <w:p w14:paraId="084588DD" w14:textId="77777777" w:rsidR="0019257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 xml:space="preserve">Incremento </w:t>
            </w:r>
          </w:p>
          <w:p w14:paraId="6EA02959" w14:textId="77777777" w:rsidR="0019257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1 año (%)</w:t>
            </w:r>
          </w:p>
        </w:tc>
      </w:tr>
      <w:tr w:rsidR="0019257C" w14:paraId="06F2CA7F" w14:textId="77777777" w:rsidTr="0019257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0D874801"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Andalucía</w:t>
            </w:r>
          </w:p>
        </w:tc>
        <w:tc>
          <w:tcPr>
            <w:tcW w:w="1364" w:type="dxa"/>
            <w:vAlign w:val="bottom"/>
          </w:tcPr>
          <w:p w14:paraId="19E1F7E0"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34%</w:t>
            </w:r>
          </w:p>
        </w:tc>
        <w:tc>
          <w:tcPr>
            <w:tcW w:w="1510" w:type="dxa"/>
            <w:vAlign w:val="bottom"/>
          </w:tcPr>
          <w:p w14:paraId="0CEF17FB"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color w:val="000000"/>
                <w:sz w:val="20"/>
                <w:szCs w:val="20"/>
              </w:rPr>
              <w:t>35%</w:t>
            </w:r>
          </w:p>
        </w:tc>
        <w:tc>
          <w:tcPr>
            <w:tcW w:w="1511" w:type="dxa"/>
            <w:vAlign w:val="bottom"/>
          </w:tcPr>
          <w:p w14:paraId="4B77B639"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30%</w:t>
            </w:r>
          </w:p>
        </w:tc>
        <w:tc>
          <w:tcPr>
            <w:tcW w:w="1569" w:type="dxa"/>
            <w:vAlign w:val="bottom"/>
          </w:tcPr>
          <w:p w14:paraId="4A9691D5"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19%</w:t>
            </w:r>
          </w:p>
        </w:tc>
        <w:tc>
          <w:tcPr>
            <w:tcW w:w="1417" w:type="dxa"/>
            <w:vAlign w:val="bottom"/>
          </w:tcPr>
          <w:p w14:paraId="0D656C27"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w:t>
            </w:r>
          </w:p>
        </w:tc>
      </w:tr>
      <w:tr w:rsidR="0019257C" w14:paraId="29908DE9" w14:textId="77777777" w:rsidTr="0019257C">
        <w:trPr>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2B4F11B3"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Aragón</w:t>
            </w:r>
          </w:p>
        </w:tc>
        <w:tc>
          <w:tcPr>
            <w:tcW w:w="1364" w:type="dxa"/>
            <w:vAlign w:val="bottom"/>
          </w:tcPr>
          <w:p w14:paraId="1366D646"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31%</w:t>
            </w:r>
          </w:p>
        </w:tc>
        <w:tc>
          <w:tcPr>
            <w:tcW w:w="1510" w:type="dxa"/>
            <w:vAlign w:val="bottom"/>
          </w:tcPr>
          <w:p w14:paraId="6B36F187"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0"/>
                <w:szCs w:val="20"/>
              </w:rPr>
            </w:pPr>
            <w:r>
              <w:rPr>
                <w:rFonts w:ascii="Open Sans" w:eastAsia="Open Sans" w:hAnsi="Open Sans" w:cs="Open Sans"/>
                <w:color w:val="000000"/>
                <w:sz w:val="20"/>
                <w:szCs w:val="20"/>
              </w:rPr>
              <w:t>32%</w:t>
            </w:r>
          </w:p>
        </w:tc>
        <w:tc>
          <w:tcPr>
            <w:tcW w:w="1511" w:type="dxa"/>
            <w:vAlign w:val="bottom"/>
          </w:tcPr>
          <w:p w14:paraId="35DCA76D"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29%</w:t>
            </w:r>
          </w:p>
        </w:tc>
        <w:tc>
          <w:tcPr>
            <w:tcW w:w="1569" w:type="dxa"/>
            <w:vAlign w:val="bottom"/>
          </w:tcPr>
          <w:p w14:paraId="6D0FE347"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24%</w:t>
            </w:r>
          </w:p>
        </w:tc>
        <w:tc>
          <w:tcPr>
            <w:tcW w:w="1417" w:type="dxa"/>
            <w:vAlign w:val="bottom"/>
          </w:tcPr>
          <w:p w14:paraId="158EFD1A"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14%</w:t>
            </w:r>
          </w:p>
        </w:tc>
      </w:tr>
      <w:tr w:rsidR="0019257C" w14:paraId="06AEBD8A" w14:textId="77777777" w:rsidTr="0019257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29A0F7B7"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Asturias</w:t>
            </w:r>
          </w:p>
        </w:tc>
        <w:tc>
          <w:tcPr>
            <w:tcW w:w="1364" w:type="dxa"/>
            <w:vAlign w:val="bottom"/>
          </w:tcPr>
          <w:p w14:paraId="1F4BF9AE"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50%</w:t>
            </w:r>
          </w:p>
        </w:tc>
        <w:tc>
          <w:tcPr>
            <w:tcW w:w="1510" w:type="dxa"/>
            <w:vAlign w:val="bottom"/>
          </w:tcPr>
          <w:p w14:paraId="40B645A7"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0"/>
                <w:szCs w:val="20"/>
              </w:rPr>
            </w:pPr>
            <w:r>
              <w:rPr>
                <w:rFonts w:ascii="Open Sans" w:eastAsia="Open Sans" w:hAnsi="Open Sans" w:cs="Open Sans"/>
                <w:color w:val="000000"/>
                <w:sz w:val="20"/>
                <w:szCs w:val="20"/>
              </w:rPr>
              <w:t>46%</w:t>
            </w:r>
          </w:p>
        </w:tc>
        <w:tc>
          <w:tcPr>
            <w:tcW w:w="1511" w:type="dxa"/>
            <w:vAlign w:val="bottom"/>
          </w:tcPr>
          <w:p w14:paraId="2B9AEF69"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37%</w:t>
            </w:r>
          </w:p>
        </w:tc>
        <w:tc>
          <w:tcPr>
            <w:tcW w:w="1569" w:type="dxa"/>
            <w:vAlign w:val="bottom"/>
          </w:tcPr>
          <w:p w14:paraId="71DF5D84"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25%</w:t>
            </w:r>
          </w:p>
        </w:tc>
        <w:tc>
          <w:tcPr>
            <w:tcW w:w="1417" w:type="dxa"/>
            <w:vAlign w:val="bottom"/>
          </w:tcPr>
          <w:p w14:paraId="21139102"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11%</w:t>
            </w:r>
          </w:p>
        </w:tc>
      </w:tr>
      <w:tr w:rsidR="0019257C" w14:paraId="0A3E5B10" w14:textId="77777777" w:rsidTr="0019257C">
        <w:trPr>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78AA195E"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Baleares</w:t>
            </w:r>
          </w:p>
        </w:tc>
        <w:tc>
          <w:tcPr>
            <w:tcW w:w="1364" w:type="dxa"/>
            <w:vAlign w:val="bottom"/>
          </w:tcPr>
          <w:p w14:paraId="309C1ADE"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64%</w:t>
            </w:r>
          </w:p>
        </w:tc>
        <w:tc>
          <w:tcPr>
            <w:tcW w:w="1510" w:type="dxa"/>
            <w:vAlign w:val="bottom"/>
          </w:tcPr>
          <w:p w14:paraId="6FBF89E4"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0"/>
                <w:szCs w:val="20"/>
              </w:rPr>
            </w:pPr>
            <w:r>
              <w:rPr>
                <w:rFonts w:ascii="Open Sans" w:eastAsia="Open Sans" w:hAnsi="Open Sans" w:cs="Open Sans"/>
                <w:color w:val="000000"/>
                <w:sz w:val="20"/>
                <w:szCs w:val="20"/>
              </w:rPr>
              <w:t>60%</w:t>
            </w:r>
          </w:p>
        </w:tc>
        <w:tc>
          <w:tcPr>
            <w:tcW w:w="1511" w:type="dxa"/>
            <w:vAlign w:val="bottom"/>
          </w:tcPr>
          <w:p w14:paraId="2219E877"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36%</w:t>
            </w:r>
          </w:p>
        </w:tc>
        <w:tc>
          <w:tcPr>
            <w:tcW w:w="1569" w:type="dxa"/>
            <w:vAlign w:val="bottom"/>
          </w:tcPr>
          <w:p w14:paraId="56F7E1CA"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12%</w:t>
            </w:r>
          </w:p>
        </w:tc>
        <w:tc>
          <w:tcPr>
            <w:tcW w:w="1417" w:type="dxa"/>
            <w:vAlign w:val="bottom"/>
          </w:tcPr>
          <w:p w14:paraId="7E9DE3F0"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10%</w:t>
            </w:r>
          </w:p>
        </w:tc>
      </w:tr>
      <w:tr w:rsidR="0019257C" w14:paraId="0068919B" w14:textId="77777777" w:rsidTr="0019257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15382572"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Canarias</w:t>
            </w:r>
          </w:p>
        </w:tc>
        <w:tc>
          <w:tcPr>
            <w:tcW w:w="1364" w:type="dxa"/>
            <w:vAlign w:val="bottom"/>
          </w:tcPr>
          <w:p w14:paraId="26013579"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55%</w:t>
            </w:r>
          </w:p>
        </w:tc>
        <w:tc>
          <w:tcPr>
            <w:tcW w:w="1510" w:type="dxa"/>
            <w:vAlign w:val="bottom"/>
          </w:tcPr>
          <w:p w14:paraId="176D1922"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0"/>
                <w:szCs w:val="20"/>
              </w:rPr>
            </w:pPr>
            <w:r>
              <w:rPr>
                <w:rFonts w:ascii="Open Sans" w:eastAsia="Open Sans" w:hAnsi="Open Sans" w:cs="Open Sans"/>
                <w:color w:val="000000"/>
                <w:sz w:val="20"/>
                <w:szCs w:val="20"/>
              </w:rPr>
              <w:t>56%</w:t>
            </w:r>
          </w:p>
        </w:tc>
        <w:tc>
          <w:tcPr>
            <w:tcW w:w="1511" w:type="dxa"/>
            <w:vAlign w:val="bottom"/>
          </w:tcPr>
          <w:p w14:paraId="4F69ED57"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34%</w:t>
            </w:r>
          </w:p>
        </w:tc>
        <w:tc>
          <w:tcPr>
            <w:tcW w:w="1569" w:type="dxa"/>
            <w:vAlign w:val="bottom"/>
          </w:tcPr>
          <w:p w14:paraId="2DC30117"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14%</w:t>
            </w:r>
          </w:p>
        </w:tc>
        <w:tc>
          <w:tcPr>
            <w:tcW w:w="1417" w:type="dxa"/>
            <w:vAlign w:val="bottom"/>
          </w:tcPr>
          <w:p w14:paraId="2D0DAB12"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w:t>
            </w:r>
          </w:p>
        </w:tc>
      </w:tr>
      <w:tr w:rsidR="0019257C" w14:paraId="42EB5119" w14:textId="77777777" w:rsidTr="0019257C">
        <w:trPr>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46A6A666"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Cantabria</w:t>
            </w:r>
          </w:p>
        </w:tc>
        <w:tc>
          <w:tcPr>
            <w:tcW w:w="1364" w:type="dxa"/>
            <w:vAlign w:val="bottom"/>
          </w:tcPr>
          <w:p w14:paraId="024A6EA7"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37%</w:t>
            </w:r>
          </w:p>
        </w:tc>
        <w:tc>
          <w:tcPr>
            <w:tcW w:w="1510" w:type="dxa"/>
            <w:vAlign w:val="bottom"/>
          </w:tcPr>
          <w:p w14:paraId="7C83A520"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0"/>
                <w:szCs w:val="20"/>
              </w:rPr>
            </w:pPr>
            <w:r>
              <w:rPr>
                <w:rFonts w:ascii="Open Sans" w:eastAsia="Open Sans" w:hAnsi="Open Sans" w:cs="Open Sans"/>
                <w:color w:val="000000"/>
                <w:sz w:val="20"/>
                <w:szCs w:val="20"/>
              </w:rPr>
              <w:t>29%</w:t>
            </w:r>
          </w:p>
        </w:tc>
        <w:tc>
          <w:tcPr>
            <w:tcW w:w="1511" w:type="dxa"/>
            <w:vAlign w:val="bottom"/>
          </w:tcPr>
          <w:p w14:paraId="6162C020"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18%</w:t>
            </w:r>
          </w:p>
        </w:tc>
        <w:tc>
          <w:tcPr>
            <w:tcW w:w="1569" w:type="dxa"/>
            <w:vAlign w:val="bottom"/>
          </w:tcPr>
          <w:p w14:paraId="24717401"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4%</w:t>
            </w:r>
          </w:p>
        </w:tc>
        <w:tc>
          <w:tcPr>
            <w:tcW w:w="1417" w:type="dxa"/>
            <w:vAlign w:val="bottom"/>
          </w:tcPr>
          <w:p w14:paraId="2F7BFED0"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w:t>
            </w:r>
          </w:p>
        </w:tc>
      </w:tr>
      <w:tr w:rsidR="0019257C" w14:paraId="5CEFE5E7" w14:textId="77777777" w:rsidTr="0019257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5892F643"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Castilla y León</w:t>
            </w:r>
          </w:p>
        </w:tc>
        <w:tc>
          <w:tcPr>
            <w:tcW w:w="1364" w:type="dxa"/>
            <w:vAlign w:val="bottom"/>
          </w:tcPr>
          <w:p w14:paraId="18FE3B70"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36%</w:t>
            </w:r>
          </w:p>
        </w:tc>
        <w:tc>
          <w:tcPr>
            <w:tcW w:w="1510" w:type="dxa"/>
            <w:vAlign w:val="bottom"/>
          </w:tcPr>
          <w:p w14:paraId="6C3AFC05"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0"/>
                <w:szCs w:val="20"/>
              </w:rPr>
            </w:pPr>
            <w:r>
              <w:rPr>
                <w:rFonts w:ascii="Open Sans" w:eastAsia="Open Sans" w:hAnsi="Open Sans" w:cs="Open Sans"/>
                <w:color w:val="000000"/>
                <w:sz w:val="20"/>
                <w:szCs w:val="20"/>
              </w:rPr>
              <w:t>33%</w:t>
            </w:r>
          </w:p>
        </w:tc>
        <w:tc>
          <w:tcPr>
            <w:tcW w:w="1511" w:type="dxa"/>
            <w:vAlign w:val="bottom"/>
          </w:tcPr>
          <w:p w14:paraId="2DE33ED5"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26%</w:t>
            </w:r>
          </w:p>
        </w:tc>
        <w:tc>
          <w:tcPr>
            <w:tcW w:w="1569" w:type="dxa"/>
            <w:vAlign w:val="bottom"/>
          </w:tcPr>
          <w:p w14:paraId="01EE4454"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17%</w:t>
            </w:r>
          </w:p>
        </w:tc>
        <w:tc>
          <w:tcPr>
            <w:tcW w:w="1417" w:type="dxa"/>
            <w:vAlign w:val="bottom"/>
          </w:tcPr>
          <w:p w14:paraId="2CC000EA"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8%</w:t>
            </w:r>
          </w:p>
        </w:tc>
      </w:tr>
      <w:tr w:rsidR="0019257C" w14:paraId="00FD41B8" w14:textId="77777777" w:rsidTr="0019257C">
        <w:trPr>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7A53B80A"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Castilla-La Mancha</w:t>
            </w:r>
          </w:p>
        </w:tc>
        <w:tc>
          <w:tcPr>
            <w:tcW w:w="1364" w:type="dxa"/>
            <w:vAlign w:val="bottom"/>
          </w:tcPr>
          <w:p w14:paraId="78C851C3"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46%</w:t>
            </w:r>
          </w:p>
        </w:tc>
        <w:tc>
          <w:tcPr>
            <w:tcW w:w="1510" w:type="dxa"/>
            <w:vAlign w:val="bottom"/>
          </w:tcPr>
          <w:p w14:paraId="37F5A90A"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0"/>
                <w:szCs w:val="20"/>
              </w:rPr>
            </w:pPr>
            <w:r>
              <w:rPr>
                <w:rFonts w:ascii="Open Sans" w:eastAsia="Open Sans" w:hAnsi="Open Sans" w:cs="Open Sans"/>
                <w:color w:val="000000"/>
                <w:sz w:val="20"/>
                <w:szCs w:val="20"/>
              </w:rPr>
              <w:t>45%</w:t>
            </w:r>
          </w:p>
        </w:tc>
        <w:tc>
          <w:tcPr>
            <w:tcW w:w="1511" w:type="dxa"/>
            <w:vAlign w:val="bottom"/>
          </w:tcPr>
          <w:p w14:paraId="6662C091"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42%</w:t>
            </w:r>
          </w:p>
        </w:tc>
        <w:tc>
          <w:tcPr>
            <w:tcW w:w="1569" w:type="dxa"/>
            <w:vAlign w:val="bottom"/>
          </w:tcPr>
          <w:p w14:paraId="75827601"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35%</w:t>
            </w:r>
          </w:p>
        </w:tc>
        <w:tc>
          <w:tcPr>
            <w:tcW w:w="1417" w:type="dxa"/>
            <w:vAlign w:val="bottom"/>
          </w:tcPr>
          <w:p w14:paraId="28F603D1"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15%</w:t>
            </w:r>
          </w:p>
        </w:tc>
      </w:tr>
      <w:tr w:rsidR="0019257C" w14:paraId="720A06A5" w14:textId="77777777" w:rsidTr="0019257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0ECEECB0"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Cataluña</w:t>
            </w:r>
          </w:p>
        </w:tc>
        <w:tc>
          <w:tcPr>
            <w:tcW w:w="1364" w:type="dxa"/>
            <w:vAlign w:val="bottom"/>
          </w:tcPr>
          <w:p w14:paraId="335AE24C"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41%</w:t>
            </w:r>
          </w:p>
        </w:tc>
        <w:tc>
          <w:tcPr>
            <w:tcW w:w="1510" w:type="dxa"/>
            <w:vAlign w:val="bottom"/>
          </w:tcPr>
          <w:p w14:paraId="40A85217"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46%</w:t>
            </w:r>
          </w:p>
        </w:tc>
        <w:tc>
          <w:tcPr>
            <w:tcW w:w="1511" w:type="dxa"/>
            <w:vAlign w:val="bottom"/>
          </w:tcPr>
          <w:p w14:paraId="146221B3"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41%</w:t>
            </w:r>
          </w:p>
        </w:tc>
        <w:tc>
          <w:tcPr>
            <w:tcW w:w="1569" w:type="dxa"/>
            <w:vAlign w:val="bottom"/>
          </w:tcPr>
          <w:p w14:paraId="13B38A06"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28%</w:t>
            </w:r>
          </w:p>
        </w:tc>
        <w:tc>
          <w:tcPr>
            <w:tcW w:w="1417" w:type="dxa"/>
            <w:vAlign w:val="bottom"/>
          </w:tcPr>
          <w:p w14:paraId="69C2D248"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23%</w:t>
            </w:r>
          </w:p>
        </w:tc>
      </w:tr>
      <w:tr w:rsidR="0019257C" w14:paraId="61D68356" w14:textId="77777777" w:rsidTr="0019257C">
        <w:trPr>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05ADD6C4"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Comunitat Valenciana</w:t>
            </w:r>
          </w:p>
        </w:tc>
        <w:tc>
          <w:tcPr>
            <w:tcW w:w="1364" w:type="dxa"/>
            <w:vAlign w:val="bottom"/>
          </w:tcPr>
          <w:p w14:paraId="7914C330"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61%</w:t>
            </w:r>
          </w:p>
        </w:tc>
        <w:tc>
          <w:tcPr>
            <w:tcW w:w="1510" w:type="dxa"/>
            <w:vAlign w:val="bottom"/>
          </w:tcPr>
          <w:p w14:paraId="2C910C2A"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0"/>
                <w:szCs w:val="20"/>
              </w:rPr>
            </w:pPr>
            <w:r>
              <w:rPr>
                <w:rFonts w:ascii="Open Sans" w:eastAsia="Open Sans" w:hAnsi="Open Sans" w:cs="Open Sans"/>
                <w:color w:val="000000"/>
                <w:sz w:val="20"/>
                <w:szCs w:val="20"/>
              </w:rPr>
              <w:t>59%</w:t>
            </w:r>
          </w:p>
        </w:tc>
        <w:tc>
          <w:tcPr>
            <w:tcW w:w="1511" w:type="dxa"/>
            <w:vAlign w:val="bottom"/>
          </w:tcPr>
          <w:p w14:paraId="538C6752"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39%</w:t>
            </w:r>
          </w:p>
        </w:tc>
        <w:tc>
          <w:tcPr>
            <w:tcW w:w="1569" w:type="dxa"/>
            <w:vAlign w:val="bottom"/>
          </w:tcPr>
          <w:p w14:paraId="4C649A3E"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19%</w:t>
            </w:r>
          </w:p>
        </w:tc>
        <w:tc>
          <w:tcPr>
            <w:tcW w:w="1417" w:type="dxa"/>
            <w:vAlign w:val="bottom"/>
          </w:tcPr>
          <w:p w14:paraId="4A7E141D"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10%</w:t>
            </w:r>
          </w:p>
        </w:tc>
      </w:tr>
      <w:tr w:rsidR="0019257C" w14:paraId="65E90DB7" w14:textId="77777777" w:rsidTr="0019257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7D795C2C"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España</w:t>
            </w:r>
          </w:p>
        </w:tc>
        <w:tc>
          <w:tcPr>
            <w:tcW w:w="1364" w:type="dxa"/>
            <w:vAlign w:val="bottom"/>
          </w:tcPr>
          <w:p w14:paraId="33D1ED56"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0"/>
                <w:szCs w:val="20"/>
              </w:rPr>
              <w:t>30%</w:t>
            </w:r>
          </w:p>
        </w:tc>
        <w:tc>
          <w:tcPr>
            <w:tcW w:w="1510" w:type="dxa"/>
            <w:vAlign w:val="bottom"/>
          </w:tcPr>
          <w:p w14:paraId="178ABEB5"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0"/>
                <w:szCs w:val="20"/>
              </w:rPr>
            </w:pPr>
            <w:r>
              <w:rPr>
                <w:rFonts w:ascii="Open Sans" w:eastAsia="Open Sans" w:hAnsi="Open Sans" w:cs="Open Sans"/>
                <w:b/>
                <w:bCs/>
                <w:color w:val="000000"/>
                <w:sz w:val="20"/>
                <w:szCs w:val="20"/>
              </w:rPr>
              <w:t>39%</w:t>
            </w:r>
          </w:p>
        </w:tc>
        <w:tc>
          <w:tcPr>
            <w:tcW w:w="1511" w:type="dxa"/>
            <w:vAlign w:val="bottom"/>
          </w:tcPr>
          <w:p w14:paraId="40C2DDA7"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0"/>
                <w:szCs w:val="20"/>
              </w:rPr>
            </w:pPr>
            <w:r>
              <w:rPr>
                <w:rFonts w:ascii="Open Sans" w:eastAsia="Open Sans" w:hAnsi="Open Sans" w:cs="Open Sans"/>
                <w:b/>
                <w:bCs/>
                <w:color w:val="000000"/>
                <w:sz w:val="20"/>
                <w:szCs w:val="20"/>
              </w:rPr>
              <w:t>33%</w:t>
            </w:r>
          </w:p>
        </w:tc>
        <w:tc>
          <w:tcPr>
            <w:tcW w:w="1569" w:type="dxa"/>
            <w:vAlign w:val="bottom"/>
          </w:tcPr>
          <w:p w14:paraId="0EBE167B"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C00000"/>
                <w:sz w:val="20"/>
                <w:szCs w:val="20"/>
              </w:rPr>
            </w:pPr>
            <w:r>
              <w:rPr>
                <w:rFonts w:ascii="Open Sans" w:eastAsia="Open Sans" w:hAnsi="Open Sans" w:cs="Open Sans"/>
                <w:b/>
                <w:bCs/>
                <w:color w:val="000000"/>
                <w:sz w:val="20"/>
                <w:szCs w:val="20"/>
              </w:rPr>
              <w:t>25%</w:t>
            </w:r>
          </w:p>
        </w:tc>
        <w:tc>
          <w:tcPr>
            <w:tcW w:w="1417" w:type="dxa"/>
            <w:vAlign w:val="bottom"/>
          </w:tcPr>
          <w:p w14:paraId="2D7112C0"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C00000"/>
                <w:sz w:val="20"/>
                <w:szCs w:val="20"/>
              </w:rPr>
            </w:pPr>
            <w:r>
              <w:rPr>
                <w:rFonts w:ascii="Open Sans" w:eastAsia="Open Sans" w:hAnsi="Open Sans" w:cs="Open Sans"/>
                <w:b/>
                <w:bCs/>
                <w:color w:val="000000"/>
                <w:sz w:val="20"/>
                <w:szCs w:val="20"/>
              </w:rPr>
              <w:t>14%</w:t>
            </w:r>
          </w:p>
        </w:tc>
      </w:tr>
      <w:tr w:rsidR="0019257C" w14:paraId="119EE867" w14:textId="77777777" w:rsidTr="0019257C">
        <w:trPr>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38C007A3"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Extremadura</w:t>
            </w:r>
          </w:p>
        </w:tc>
        <w:tc>
          <w:tcPr>
            <w:tcW w:w="1364" w:type="dxa"/>
            <w:vAlign w:val="bottom"/>
          </w:tcPr>
          <w:p w14:paraId="39F1D01B"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39%</w:t>
            </w:r>
          </w:p>
        </w:tc>
        <w:tc>
          <w:tcPr>
            <w:tcW w:w="1510" w:type="dxa"/>
            <w:vAlign w:val="bottom"/>
          </w:tcPr>
          <w:p w14:paraId="0CC97820"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0"/>
                <w:szCs w:val="20"/>
              </w:rPr>
            </w:pPr>
            <w:r>
              <w:rPr>
                <w:rFonts w:ascii="Open Sans" w:eastAsia="Open Sans" w:hAnsi="Open Sans" w:cs="Open Sans"/>
                <w:color w:val="000000"/>
                <w:sz w:val="20"/>
                <w:szCs w:val="20"/>
              </w:rPr>
              <w:t>33%</w:t>
            </w:r>
          </w:p>
        </w:tc>
        <w:tc>
          <w:tcPr>
            <w:tcW w:w="1511" w:type="dxa"/>
            <w:vAlign w:val="bottom"/>
          </w:tcPr>
          <w:p w14:paraId="28120EB6"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25%</w:t>
            </w:r>
          </w:p>
        </w:tc>
        <w:tc>
          <w:tcPr>
            <w:tcW w:w="1569" w:type="dxa"/>
            <w:vAlign w:val="bottom"/>
          </w:tcPr>
          <w:p w14:paraId="57CB209A"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19%</w:t>
            </w:r>
          </w:p>
        </w:tc>
        <w:tc>
          <w:tcPr>
            <w:tcW w:w="1417" w:type="dxa"/>
            <w:vAlign w:val="bottom"/>
          </w:tcPr>
          <w:p w14:paraId="26AE8E89"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13%</w:t>
            </w:r>
          </w:p>
        </w:tc>
      </w:tr>
      <w:tr w:rsidR="0019257C" w14:paraId="1EF581D1" w14:textId="77777777" w:rsidTr="0019257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1846679A"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Galicia</w:t>
            </w:r>
          </w:p>
        </w:tc>
        <w:tc>
          <w:tcPr>
            <w:tcW w:w="1364" w:type="dxa"/>
            <w:vAlign w:val="bottom"/>
          </w:tcPr>
          <w:p w14:paraId="60012A8D"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39%</w:t>
            </w:r>
          </w:p>
        </w:tc>
        <w:tc>
          <w:tcPr>
            <w:tcW w:w="1510" w:type="dxa"/>
            <w:vAlign w:val="bottom"/>
          </w:tcPr>
          <w:p w14:paraId="27CA587D"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0"/>
                <w:szCs w:val="20"/>
              </w:rPr>
            </w:pPr>
            <w:r>
              <w:rPr>
                <w:rFonts w:ascii="Open Sans" w:eastAsia="Open Sans" w:hAnsi="Open Sans" w:cs="Open Sans"/>
                <w:color w:val="000000"/>
                <w:sz w:val="20"/>
                <w:szCs w:val="20"/>
              </w:rPr>
              <w:t>36%</w:t>
            </w:r>
          </w:p>
        </w:tc>
        <w:tc>
          <w:tcPr>
            <w:tcW w:w="1511" w:type="dxa"/>
            <w:vAlign w:val="bottom"/>
          </w:tcPr>
          <w:p w14:paraId="18B17127"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25%</w:t>
            </w:r>
          </w:p>
        </w:tc>
        <w:tc>
          <w:tcPr>
            <w:tcW w:w="1569" w:type="dxa"/>
            <w:vAlign w:val="bottom"/>
          </w:tcPr>
          <w:p w14:paraId="6A4EB26B"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17%</w:t>
            </w:r>
          </w:p>
        </w:tc>
        <w:tc>
          <w:tcPr>
            <w:tcW w:w="1417" w:type="dxa"/>
            <w:vAlign w:val="bottom"/>
          </w:tcPr>
          <w:p w14:paraId="681F971F"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6%</w:t>
            </w:r>
          </w:p>
        </w:tc>
      </w:tr>
      <w:tr w:rsidR="0019257C" w14:paraId="269902AD" w14:textId="77777777" w:rsidTr="0019257C">
        <w:trPr>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4B81E493"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La Rioja</w:t>
            </w:r>
          </w:p>
        </w:tc>
        <w:tc>
          <w:tcPr>
            <w:tcW w:w="1364" w:type="dxa"/>
            <w:vAlign w:val="bottom"/>
          </w:tcPr>
          <w:p w14:paraId="512AB757"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41%</w:t>
            </w:r>
          </w:p>
        </w:tc>
        <w:tc>
          <w:tcPr>
            <w:tcW w:w="1510" w:type="dxa"/>
            <w:vAlign w:val="bottom"/>
          </w:tcPr>
          <w:p w14:paraId="6EC85992"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0"/>
                <w:szCs w:val="20"/>
              </w:rPr>
            </w:pPr>
            <w:r>
              <w:rPr>
                <w:rFonts w:ascii="Open Sans" w:eastAsia="Open Sans" w:hAnsi="Open Sans" w:cs="Open Sans"/>
                <w:color w:val="000000"/>
                <w:sz w:val="20"/>
                <w:szCs w:val="20"/>
              </w:rPr>
              <w:t>36%</w:t>
            </w:r>
          </w:p>
        </w:tc>
        <w:tc>
          <w:tcPr>
            <w:tcW w:w="1511" w:type="dxa"/>
            <w:vAlign w:val="bottom"/>
          </w:tcPr>
          <w:p w14:paraId="1721357F"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27%</w:t>
            </w:r>
          </w:p>
        </w:tc>
        <w:tc>
          <w:tcPr>
            <w:tcW w:w="1569" w:type="dxa"/>
            <w:vAlign w:val="bottom"/>
          </w:tcPr>
          <w:p w14:paraId="700DFB90"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19%</w:t>
            </w:r>
          </w:p>
        </w:tc>
        <w:tc>
          <w:tcPr>
            <w:tcW w:w="1417" w:type="dxa"/>
            <w:vAlign w:val="bottom"/>
          </w:tcPr>
          <w:p w14:paraId="6378A684"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9%</w:t>
            </w:r>
          </w:p>
        </w:tc>
      </w:tr>
      <w:tr w:rsidR="0019257C" w14:paraId="70B02091" w14:textId="77777777" w:rsidTr="0019257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57086FD4"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Madrid</w:t>
            </w:r>
          </w:p>
        </w:tc>
        <w:tc>
          <w:tcPr>
            <w:tcW w:w="1364" w:type="dxa"/>
            <w:vAlign w:val="bottom"/>
          </w:tcPr>
          <w:p w14:paraId="79B6EEB4"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47%</w:t>
            </w:r>
          </w:p>
        </w:tc>
        <w:tc>
          <w:tcPr>
            <w:tcW w:w="1510" w:type="dxa"/>
            <w:vAlign w:val="bottom"/>
          </w:tcPr>
          <w:p w14:paraId="79F075A9"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59%</w:t>
            </w:r>
          </w:p>
        </w:tc>
        <w:tc>
          <w:tcPr>
            <w:tcW w:w="1511" w:type="dxa"/>
            <w:vAlign w:val="bottom"/>
          </w:tcPr>
          <w:p w14:paraId="18DEC16B"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39%</w:t>
            </w:r>
          </w:p>
        </w:tc>
        <w:tc>
          <w:tcPr>
            <w:tcW w:w="1569" w:type="dxa"/>
            <w:vAlign w:val="bottom"/>
          </w:tcPr>
          <w:p w14:paraId="34AEE470"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27%</w:t>
            </w:r>
          </w:p>
        </w:tc>
        <w:tc>
          <w:tcPr>
            <w:tcW w:w="1417" w:type="dxa"/>
            <w:vAlign w:val="bottom"/>
          </w:tcPr>
          <w:p w14:paraId="347E69DD"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7%</w:t>
            </w:r>
          </w:p>
        </w:tc>
      </w:tr>
      <w:tr w:rsidR="0019257C" w14:paraId="0645CCC5" w14:textId="77777777" w:rsidTr="0019257C">
        <w:trPr>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2FDE6059"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Navarra</w:t>
            </w:r>
          </w:p>
        </w:tc>
        <w:tc>
          <w:tcPr>
            <w:tcW w:w="1364" w:type="dxa"/>
            <w:vAlign w:val="bottom"/>
          </w:tcPr>
          <w:p w14:paraId="012311F9"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30%</w:t>
            </w:r>
          </w:p>
        </w:tc>
        <w:tc>
          <w:tcPr>
            <w:tcW w:w="1510" w:type="dxa"/>
            <w:vAlign w:val="bottom"/>
          </w:tcPr>
          <w:p w14:paraId="3975368E"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0"/>
                <w:szCs w:val="20"/>
              </w:rPr>
            </w:pPr>
            <w:r>
              <w:rPr>
                <w:rFonts w:ascii="Open Sans" w:eastAsia="Open Sans" w:hAnsi="Open Sans" w:cs="Open Sans"/>
                <w:color w:val="000000"/>
                <w:sz w:val="20"/>
                <w:szCs w:val="20"/>
              </w:rPr>
              <w:t>29%</w:t>
            </w:r>
          </w:p>
        </w:tc>
        <w:tc>
          <w:tcPr>
            <w:tcW w:w="1511" w:type="dxa"/>
            <w:vAlign w:val="bottom"/>
          </w:tcPr>
          <w:p w14:paraId="60BAA8CC"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19%</w:t>
            </w:r>
          </w:p>
        </w:tc>
        <w:tc>
          <w:tcPr>
            <w:tcW w:w="1569" w:type="dxa"/>
            <w:vAlign w:val="bottom"/>
          </w:tcPr>
          <w:p w14:paraId="73EA7CC9"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18%</w:t>
            </w:r>
          </w:p>
        </w:tc>
        <w:tc>
          <w:tcPr>
            <w:tcW w:w="1417" w:type="dxa"/>
            <w:vAlign w:val="bottom"/>
          </w:tcPr>
          <w:p w14:paraId="05C233B1"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5%</w:t>
            </w:r>
          </w:p>
        </w:tc>
      </w:tr>
      <w:tr w:rsidR="0019257C" w14:paraId="10727A6E" w14:textId="77777777" w:rsidTr="0019257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3ECD4F46"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País Vasco</w:t>
            </w:r>
          </w:p>
        </w:tc>
        <w:tc>
          <w:tcPr>
            <w:tcW w:w="1364" w:type="dxa"/>
            <w:vAlign w:val="bottom"/>
          </w:tcPr>
          <w:p w14:paraId="656702A0"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30%</w:t>
            </w:r>
          </w:p>
        </w:tc>
        <w:tc>
          <w:tcPr>
            <w:tcW w:w="1510" w:type="dxa"/>
            <w:vAlign w:val="bottom"/>
          </w:tcPr>
          <w:p w14:paraId="3BDC97EE"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0"/>
                <w:szCs w:val="20"/>
              </w:rPr>
            </w:pPr>
            <w:r>
              <w:rPr>
                <w:rFonts w:ascii="Open Sans" w:eastAsia="Open Sans" w:hAnsi="Open Sans" w:cs="Open Sans"/>
                <w:color w:val="000000"/>
                <w:sz w:val="20"/>
                <w:szCs w:val="20"/>
              </w:rPr>
              <w:t>30%</w:t>
            </w:r>
          </w:p>
        </w:tc>
        <w:tc>
          <w:tcPr>
            <w:tcW w:w="1511" w:type="dxa"/>
            <w:vAlign w:val="bottom"/>
          </w:tcPr>
          <w:p w14:paraId="18BD5D34"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26%</w:t>
            </w:r>
          </w:p>
        </w:tc>
        <w:tc>
          <w:tcPr>
            <w:tcW w:w="1569" w:type="dxa"/>
            <w:vAlign w:val="bottom"/>
          </w:tcPr>
          <w:p w14:paraId="33AD6244"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16%</w:t>
            </w:r>
          </w:p>
        </w:tc>
        <w:tc>
          <w:tcPr>
            <w:tcW w:w="1417" w:type="dxa"/>
            <w:vAlign w:val="bottom"/>
          </w:tcPr>
          <w:p w14:paraId="1D9FA465"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8%</w:t>
            </w:r>
          </w:p>
        </w:tc>
      </w:tr>
      <w:tr w:rsidR="0019257C" w14:paraId="1ADFBC40" w14:textId="77777777" w:rsidTr="0019257C">
        <w:trPr>
          <w:trHeight w:val="282"/>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12CF893B"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Región de Murcia</w:t>
            </w:r>
          </w:p>
        </w:tc>
        <w:tc>
          <w:tcPr>
            <w:tcW w:w="1364" w:type="dxa"/>
            <w:vAlign w:val="bottom"/>
          </w:tcPr>
          <w:p w14:paraId="3ED069E9"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0"/>
                <w:szCs w:val="20"/>
              </w:rPr>
            </w:pPr>
            <w:r>
              <w:rPr>
                <w:rFonts w:ascii="Open Sans" w:eastAsia="Open Sans" w:hAnsi="Open Sans" w:cs="Open Sans"/>
                <w:color w:val="000000"/>
                <w:sz w:val="20"/>
                <w:szCs w:val="20"/>
              </w:rPr>
              <w:t>42%</w:t>
            </w:r>
          </w:p>
        </w:tc>
        <w:tc>
          <w:tcPr>
            <w:tcW w:w="1510" w:type="dxa"/>
            <w:vAlign w:val="bottom"/>
          </w:tcPr>
          <w:p w14:paraId="5C7BE270"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0"/>
                <w:szCs w:val="20"/>
              </w:rPr>
            </w:pPr>
            <w:r>
              <w:rPr>
                <w:rFonts w:ascii="Open Sans" w:eastAsia="Open Sans" w:hAnsi="Open Sans" w:cs="Open Sans"/>
                <w:color w:val="000000"/>
                <w:sz w:val="20"/>
                <w:szCs w:val="20"/>
              </w:rPr>
              <w:t>36%</w:t>
            </w:r>
          </w:p>
        </w:tc>
        <w:tc>
          <w:tcPr>
            <w:tcW w:w="1511" w:type="dxa"/>
            <w:vAlign w:val="bottom"/>
          </w:tcPr>
          <w:p w14:paraId="17AAD7E1"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26%</w:t>
            </w:r>
          </w:p>
        </w:tc>
        <w:tc>
          <w:tcPr>
            <w:tcW w:w="1569" w:type="dxa"/>
            <w:vAlign w:val="bottom"/>
          </w:tcPr>
          <w:p w14:paraId="10288984"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22%</w:t>
            </w:r>
          </w:p>
        </w:tc>
        <w:tc>
          <w:tcPr>
            <w:tcW w:w="1417" w:type="dxa"/>
            <w:vAlign w:val="bottom"/>
          </w:tcPr>
          <w:p w14:paraId="7E3037F5"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8%</w:t>
            </w:r>
          </w:p>
        </w:tc>
      </w:tr>
    </w:tbl>
    <w:p w14:paraId="14459BAD" w14:textId="77777777" w:rsidR="0019257C" w:rsidRDefault="0019257C">
      <w:pPr>
        <w:spacing w:line="276" w:lineRule="auto"/>
        <w:ind w:right="-567"/>
        <w:jc w:val="both"/>
        <w:rPr>
          <w:rFonts w:ascii="Open Sans" w:eastAsia="Open Sans" w:hAnsi="Open Sans" w:cs="Open Sans"/>
          <w:color w:val="000000"/>
        </w:rPr>
      </w:pPr>
    </w:p>
    <w:p w14:paraId="4D71E6B5" w14:textId="77777777" w:rsidR="0019257C" w:rsidRDefault="00000000">
      <w:pPr>
        <w:spacing w:line="276" w:lineRule="auto"/>
        <w:ind w:right="-567"/>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Precios de la vivienda de 80 metros en alquiler por años</w:t>
      </w:r>
    </w:p>
    <w:p w14:paraId="25AC83B3" w14:textId="77777777" w:rsidR="0019257C" w:rsidRDefault="0019257C">
      <w:pPr>
        <w:spacing w:line="276" w:lineRule="auto"/>
        <w:ind w:right="-567"/>
        <w:jc w:val="both"/>
        <w:rPr>
          <w:rFonts w:ascii="Open Sans" w:eastAsia="Open Sans" w:hAnsi="Open Sans" w:cs="Open Sans"/>
          <w:color w:val="000000"/>
        </w:rPr>
      </w:pPr>
    </w:p>
    <w:tbl>
      <w:tblPr>
        <w:tblStyle w:val="a4"/>
        <w:tblW w:w="9113"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56"/>
        <w:gridCol w:w="1316"/>
        <w:gridCol w:w="1134"/>
        <w:gridCol w:w="1134"/>
        <w:gridCol w:w="1418"/>
        <w:gridCol w:w="1134"/>
        <w:gridCol w:w="1321"/>
      </w:tblGrid>
      <w:tr w:rsidR="0019257C" w14:paraId="7BA128AE" w14:textId="77777777" w:rsidTr="0019257C">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656" w:type="dxa"/>
          </w:tcPr>
          <w:p w14:paraId="66452A9D"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Comunidad Autónoma</w:t>
            </w:r>
          </w:p>
        </w:tc>
        <w:tc>
          <w:tcPr>
            <w:tcW w:w="1316" w:type="dxa"/>
          </w:tcPr>
          <w:p w14:paraId="0680B8E8" w14:textId="77777777" w:rsidR="0019257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 xml:space="preserve">Piso 80 metros </w:t>
            </w:r>
          </w:p>
          <w:p w14:paraId="13425707" w14:textId="77777777" w:rsidR="0019257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 xml:space="preserve"> Oct-2020</w:t>
            </w:r>
          </w:p>
        </w:tc>
        <w:tc>
          <w:tcPr>
            <w:tcW w:w="1134" w:type="dxa"/>
          </w:tcPr>
          <w:p w14:paraId="73116A9A" w14:textId="77777777" w:rsidR="0019257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 xml:space="preserve">Piso 80 metros </w:t>
            </w:r>
          </w:p>
          <w:p w14:paraId="7E338596" w14:textId="77777777" w:rsidR="0019257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 xml:space="preserve"> Oct-2021</w:t>
            </w:r>
          </w:p>
        </w:tc>
        <w:tc>
          <w:tcPr>
            <w:tcW w:w="1134" w:type="dxa"/>
          </w:tcPr>
          <w:p w14:paraId="1998BE36" w14:textId="77777777" w:rsidR="0019257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 xml:space="preserve">Piso 80 metros </w:t>
            </w:r>
          </w:p>
          <w:p w14:paraId="13C5D4B1" w14:textId="77777777" w:rsidR="0019257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 xml:space="preserve"> Oct-2022</w:t>
            </w:r>
          </w:p>
        </w:tc>
        <w:tc>
          <w:tcPr>
            <w:tcW w:w="1418" w:type="dxa"/>
          </w:tcPr>
          <w:p w14:paraId="277D512F" w14:textId="77777777" w:rsidR="0019257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 xml:space="preserve">Piso 80 metros </w:t>
            </w:r>
          </w:p>
          <w:p w14:paraId="0DA04B79" w14:textId="77777777" w:rsidR="0019257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 xml:space="preserve"> Oct-2023</w:t>
            </w:r>
          </w:p>
        </w:tc>
        <w:tc>
          <w:tcPr>
            <w:tcW w:w="1134" w:type="dxa"/>
          </w:tcPr>
          <w:p w14:paraId="597C1ACD" w14:textId="77777777" w:rsidR="0019257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 xml:space="preserve">Piso 80 metros </w:t>
            </w:r>
          </w:p>
          <w:p w14:paraId="091D0D02" w14:textId="77777777" w:rsidR="0019257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 xml:space="preserve"> Oct-2024</w:t>
            </w:r>
          </w:p>
        </w:tc>
        <w:tc>
          <w:tcPr>
            <w:tcW w:w="1321" w:type="dxa"/>
          </w:tcPr>
          <w:p w14:paraId="3A88B3BC" w14:textId="77777777" w:rsidR="0019257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 xml:space="preserve">Piso 80 metros </w:t>
            </w:r>
          </w:p>
          <w:p w14:paraId="2963FB01" w14:textId="77777777" w:rsidR="0019257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 xml:space="preserve"> Oct-2025</w:t>
            </w:r>
          </w:p>
        </w:tc>
      </w:tr>
      <w:tr w:rsidR="0019257C" w14:paraId="4D80A8AB" w14:textId="77777777" w:rsidTr="0019257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656" w:type="dxa"/>
          </w:tcPr>
          <w:p w14:paraId="70A29AD0"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Andalucía</w:t>
            </w:r>
          </w:p>
        </w:tc>
        <w:tc>
          <w:tcPr>
            <w:tcW w:w="1316" w:type="dxa"/>
          </w:tcPr>
          <w:p w14:paraId="291A044A"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684 €</w:t>
            </w:r>
          </w:p>
        </w:tc>
        <w:tc>
          <w:tcPr>
            <w:tcW w:w="1134" w:type="dxa"/>
          </w:tcPr>
          <w:p w14:paraId="662365EB"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676 €</w:t>
            </w:r>
          </w:p>
        </w:tc>
        <w:tc>
          <w:tcPr>
            <w:tcW w:w="1134" w:type="dxa"/>
          </w:tcPr>
          <w:p w14:paraId="7709DCCE"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702 €</w:t>
            </w:r>
          </w:p>
        </w:tc>
        <w:tc>
          <w:tcPr>
            <w:tcW w:w="1418" w:type="dxa"/>
          </w:tcPr>
          <w:p w14:paraId="5068D561"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770 €</w:t>
            </w:r>
          </w:p>
        </w:tc>
        <w:tc>
          <w:tcPr>
            <w:tcW w:w="1134" w:type="dxa"/>
          </w:tcPr>
          <w:p w14:paraId="60CEBE88"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840 €</w:t>
            </w:r>
          </w:p>
        </w:tc>
        <w:tc>
          <w:tcPr>
            <w:tcW w:w="1321" w:type="dxa"/>
            <w:vAlign w:val="bottom"/>
          </w:tcPr>
          <w:p w14:paraId="76704E81"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914 €</w:t>
            </w:r>
          </w:p>
        </w:tc>
      </w:tr>
      <w:tr w:rsidR="0019257C" w14:paraId="03A8A583" w14:textId="77777777" w:rsidTr="0019257C">
        <w:trPr>
          <w:trHeight w:val="282"/>
        </w:trPr>
        <w:tc>
          <w:tcPr>
            <w:cnfStyle w:val="001000000000" w:firstRow="0" w:lastRow="0" w:firstColumn="1" w:lastColumn="0" w:oddVBand="0" w:evenVBand="0" w:oddHBand="0" w:evenHBand="0" w:firstRowFirstColumn="0" w:firstRowLastColumn="0" w:lastRowFirstColumn="0" w:lastRowLastColumn="0"/>
            <w:tcW w:w="1656" w:type="dxa"/>
          </w:tcPr>
          <w:p w14:paraId="5BD3810F"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Aragón</w:t>
            </w:r>
          </w:p>
        </w:tc>
        <w:tc>
          <w:tcPr>
            <w:tcW w:w="1316" w:type="dxa"/>
          </w:tcPr>
          <w:p w14:paraId="5C0B0D97"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680 €</w:t>
            </w:r>
          </w:p>
        </w:tc>
        <w:tc>
          <w:tcPr>
            <w:tcW w:w="1134" w:type="dxa"/>
          </w:tcPr>
          <w:p w14:paraId="2F153E56"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674 €</w:t>
            </w:r>
          </w:p>
        </w:tc>
        <w:tc>
          <w:tcPr>
            <w:tcW w:w="1134" w:type="dxa"/>
          </w:tcPr>
          <w:p w14:paraId="5D0532F8"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690 €</w:t>
            </w:r>
          </w:p>
        </w:tc>
        <w:tc>
          <w:tcPr>
            <w:tcW w:w="1418" w:type="dxa"/>
          </w:tcPr>
          <w:p w14:paraId="2B814A1B"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722 €</w:t>
            </w:r>
          </w:p>
        </w:tc>
        <w:tc>
          <w:tcPr>
            <w:tcW w:w="1134" w:type="dxa"/>
          </w:tcPr>
          <w:p w14:paraId="1A04CADF"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786 €</w:t>
            </w:r>
          </w:p>
        </w:tc>
        <w:tc>
          <w:tcPr>
            <w:tcW w:w="1321" w:type="dxa"/>
            <w:vAlign w:val="bottom"/>
          </w:tcPr>
          <w:p w14:paraId="44E7976A"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892 €</w:t>
            </w:r>
          </w:p>
        </w:tc>
      </w:tr>
      <w:tr w:rsidR="0019257C" w14:paraId="73B0D97A" w14:textId="77777777" w:rsidTr="0019257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656" w:type="dxa"/>
          </w:tcPr>
          <w:p w14:paraId="77E24A8F"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Asturias</w:t>
            </w:r>
          </w:p>
        </w:tc>
        <w:tc>
          <w:tcPr>
            <w:tcW w:w="1316" w:type="dxa"/>
          </w:tcPr>
          <w:p w14:paraId="3F534417"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620 €</w:t>
            </w:r>
          </w:p>
        </w:tc>
        <w:tc>
          <w:tcPr>
            <w:tcW w:w="1134" w:type="dxa"/>
          </w:tcPr>
          <w:p w14:paraId="7867EECF"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638 €</w:t>
            </w:r>
          </w:p>
        </w:tc>
        <w:tc>
          <w:tcPr>
            <w:tcW w:w="1134" w:type="dxa"/>
          </w:tcPr>
          <w:p w14:paraId="46416DD7"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682 €</w:t>
            </w:r>
          </w:p>
        </w:tc>
        <w:tc>
          <w:tcPr>
            <w:tcW w:w="1418" w:type="dxa"/>
          </w:tcPr>
          <w:p w14:paraId="571FA7A6"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744 €</w:t>
            </w:r>
          </w:p>
        </w:tc>
        <w:tc>
          <w:tcPr>
            <w:tcW w:w="1134" w:type="dxa"/>
          </w:tcPr>
          <w:p w14:paraId="746F5D46"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836 €</w:t>
            </w:r>
          </w:p>
        </w:tc>
        <w:tc>
          <w:tcPr>
            <w:tcW w:w="1321" w:type="dxa"/>
            <w:vAlign w:val="bottom"/>
          </w:tcPr>
          <w:p w14:paraId="6F5A3BB1"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932 €</w:t>
            </w:r>
          </w:p>
        </w:tc>
      </w:tr>
      <w:tr w:rsidR="0019257C" w14:paraId="26BFB73F" w14:textId="77777777" w:rsidTr="0019257C">
        <w:trPr>
          <w:trHeight w:val="282"/>
        </w:trPr>
        <w:tc>
          <w:tcPr>
            <w:cnfStyle w:val="001000000000" w:firstRow="0" w:lastRow="0" w:firstColumn="1" w:lastColumn="0" w:oddVBand="0" w:evenVBand="0" w:oddHBand="0" w:evenHBand="0" w:firstRowFirstColumn="0" w:firstRowLastColumn="0" w:lastRowFirstColumn="0" w:lastRowLastColumn="0"/>
            <w:tcW w:w="1656" w:type="dxa"/>
          </w:tcPr>
          <w:p w14:paraId="629417FA"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Baleares</w:t>
            </w:r>
          </w:p>
        </w:tc>
        <w:tc>
          <w:tcPr>
            <w:tcW w:w="1316" w:type="dxa"/>
          </w:tcPr>
          <w:p w14:paraId="6668B8FF"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931 €</w:t>
            </w:r>
          </w:p>
        </w:tc>
        <w:tc>
          <w:tcPr>
            <w:tcW w:w="1134" w:type="dxa"/>
          </w:tcPr>
          <w:p w14:paraId="5A8DED0C"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954 €</w:t>
            </w:r>
          </w:p>
        </w:tc>
        <w:tc>
          <w:tcPr>
            <w:tcW w:w="1134" w:type="dxa"/>
          </w:tcPr>
          <w:p w14:paraId="11CBBA1B"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1.119 €</w:t>
            </w:r>
          </w:p>
        </w:tc>
        <w:tc>
          <w:tcPr>
            <w:tcW w:w="1418" w:type="dxa"/>
          </w:tcPr>
          <w:p w14:paraId="4FAF61FE"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1.358 €</w:t>
            </w:r>
          </w:p>
        </w:tc>
        <w:tc>
          <w:tcPr>
            <w:tcW w:w="1134" w:type="dxa"/>
          </w:tcPr>
          <w:p w14:paraId="164F325B"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1.388 €</w:t>
            </w:r>
          </w:p>
        </w:tc>
        <w:tc>
          <w:tcPr>
            <w:tcW w:w="1321" w:type="dxa"/>
            <w:vAlign w:val="bottom"/>
          </w:tcPr>
          <w:p w14:paraId="774B81CE"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1.523 €</w:t>
            </w:r>
          </w:p>
        </w:tc>
      </w:tr>
      <w:tr w:rsidR="0019257C" w14:paraId="5C98B093" w14:textId="77777777" w:rsidTr="0019257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656" w:type="dxa"/>
          </w:tcPr>
          <w:p w14:paraId="23E5A5A9"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Canarias</w:t>
            </w:r>
          </w:p>
        </w:tc>
        <w:tc>
          <w:tcPr>
            <w:tcW w:w="1316" w:type="dxa"/>
          </w:tcPr>
          <w:p w14:paraId="3C10F998"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774 €</w:t>
            </w:r>
          </w:p>
        </w:tc>
        <w:tc>
          <w:tcPr>
            <w:tcW w:w="1134" w:type="dxa"/>
          </w:tcPr>
          <w:p w14:paraId="724414B5"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765 €</w:t>
            </w:r>
          </w:p>
        </w:tc>
        <w:tc>
          <w:tcPr>
            <w:tcW w:w="1134" w:type="dxa"/>
          </w:tcPr>
          <w:p w14:paraId="38DB5173"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896 €</w:t>
            </w:r>
          </w:p>
        </w:tc>
        <w:tc>
          <w:tcPr>
            <w:tcW w:w="1418" w:type="dxa"/>
          </w:tcPr>
          <w:p w14:paraId="50D07F9E"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1.048 €</w:t>
            </w:r>
          </w:p>
        </w:tc>
        <w:tc>
          <w:tcPr>
            <w:tcW w:w="1134" w:type="dxa"/>
          </w:tcPr>
          <w:p w14:paraId="69BCBE3E"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1.134 €</w:t>
            </w:r>
          </w:p>
        </w:tc>
        <w:tc>
          <w:tcPr>
            <w:tcW w:w="1321" w:type="dxa"/>
            <w:vAlign w:val="bottom"/>
          </w:tcPr>
          <w:p w14:paraId="08DB354E"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1.197 €</w:t>
            </w:r>
          </w:p>
        </w:tc>
      </w:tr>
      <w:tr w:rsidR="0019257C" w14:paraId="20D6B5CD" w14:textId="77777777" w:rsidTr="0019257C">
        <w:trPr>
          <w:trHeight w:val="282"/>
        </w:trPr>
        <w:tc>
          <w:tcPr>
            <w:cnfStyle w:val="001000000000" w:firstRow="0" w:lastRow="0" w:firstColumn="1" w:lastColumn="0" w:oddVBand="0" w:evenVBand="0" w:oddHBand="0" w:evenHBand="0" w:firstRowFirstColumn="0" w:firstRowLastColumn="0" w:lastRowFirstColumn="0" w:lastRowLastColumn="0"/>
            <w:tcW w:w="1656" w:type="dxa"/>
          </w:tcPr>
          <w:p w14:paraId="68BADCEE"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Cantabria</w:t>
            </w:r>
          </w:p>
        </w:tc>
        <w:tc>
          <w:tcPr>
            <w:tcW w:w="1316" w:type="dxa"/>
          </w:tcPr>
          <w:p w14:paraId="63BA7505"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695 €</w:t>
            </w:r>
          </w:p>
        </w:tc>
        <w:tc>
          <w:tcPr>
            <w:tcW w:w="1134" w:type="dxa"/>
          </w:tcPr>
          <w:p w14:paraId="03282380"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736 €</w:t>
            </w:r>
          </w:p>
        </w:tc>
        <w:tc>
          <w:tcPr>
            <w:tcW w:w="1134" w:type="dxa"/>
          </w:tcPr>
          <w:p w14:paraId="35E6A172"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804 €</w:t>
            </w:r>
          </w:p>
        </w:tc>
        <w:tc>
          <w:tcPr>
            <w:tcW w:w="1418" w:type="dxa"/>
          </w:tcPr>
          <w:p w14:paraId="6BCC51E1"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911 €</w:t>
            </w:r>
          </w:p>
        </w:tc>
        <w:tc>
          <w:tcPr>
            <w:tcW w:w="1134" w:type="dxa"/>
          </w:tcPr>
          <w:p w14:paraId="186E0FD0"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901 €</w:t>
            </w:r>
          </w:p>
        </w:tc>
        <w:tc>
          <w:tcPr>
            <w:tcW w:w="1321" w:type="dxa"/>
            <w:vAlign w:val="bottom"/>
          </w:tcPr>
          <w:p w14:paraId="516167C4"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951 €</w:t>
            </w:r>
          </w:p>
        </w:tc>
      </w:tr>
      <w:tr w:rsidR="0019257C" w14:paraId="088B5F52" w14:textId="77777777" w:rsidTr="0019257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656" w:type="dxa"/>
          </w:tcPr>
          <w:p w14:paraId="68094D04"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Castilla y León</w:t>
            </w:r>
          </w:p>
        </w:tc>
        <w:tc>
          <w:tcPr>
            <w:tcW w:w="1316" w:type="dxa"/>
          </w:tcPr>
          <w:p w14:paraId="47DC8099"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567 €</w:t>
            </w:r>
          </w:p>
        </w:tc>
        <w:tc>
          <w:tcPr>
            <w:tcW w:w="1134" w:type="dxa"/>
          </w:tcPr>
          <w:p w14:paraId="713E47DE"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578 €</w:t>
            </w:r>
          </w:p>
        </w:tc>
        <w:tc>
          <w:tcPr>
            <w:tcW w:w="1134" w:type="dxa"/>
          </w:tcPr>
          <w:p w14:paraId="7D580B20"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614 €</w:t>
            </w:r>
          </w:p>
        </w:tc>
        <w:tc>
          <w:tcPr>
            <w:tcW w:w="1418" w:type="dxa"/>
          </w:tcPr>
          <w:p w14:paraId="35AFD804"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661 €</w:t>
            </w:r>
          </w:p>
        </w:tc>
        <w:tc>
          <w:tcPr>
            <w:tcW w:w="1134" w:type="dxa"/>
          </w:tcPr>
          <w:p w14:paraId="35FEE201"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717 €</w:t>
            </w:r>
          </w:p>
        </w:tc>
        <w:tc>
          <w:tcPr>
            <w:tcW w:w="1321" w:type="dxa"/>
            <w:vAlign w:val="bottom"/>
          </w:tcPr>
          <w:p w14:paraId="0E30FDF5"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771 €</w:t>
            </w:r>
          </w:p>
        </w:tc>
      </w:tr>
      <w:tr w:rsidR="0019257C" w14:paraId="41C59AEE" w14:textId="77777777" w:rsidTr="0019257C">
        <w:trPr>
          <w:trHeight w:val="282"/>
        </w:trPr>
        <w:tc>
          <w:tcPr>
            <w:cnfStyle w:val="001000000000" w:firstRow="0" w:lastRow="0" w:firstColumn="1" w:lastColumn="0" w:oddVBand="0" w:evenVBand="0" w:oddHBand="0" w:evenHBand="0" w:firstRowFirstColumn="0" w:firstRowLastColumn="0" w:lastRowFirstColumn="0" w:lastRowLastColumn="0"/>
            <w:tcW w:w="1656" w:type="dxa"/>
          </w:tcPr>
          <w:p w14:paraId="65D492EC"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Castilla-La Mancha</w:t>
            </w:r>
          </w:p>
        </w:tc>
        <w:tc>
          <w:tcPr>
            <w:tcW w:w="1316" w:type="dxa"/>
          </w:tcPr>
          <w:p w14:paraId="2715422D"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459 €</w:t>
            </w:r>
          </w:p>
        </w:tc>
        <w:tc>
          <w:tcPr>
            <w:tcW w:w="1134" w:type="dxa"/>
          </w:tcPr>
          <w:p w14:paraId="75987509"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462 €</w:t>
            </w:r>
          </w:p>
        </w:tc>
        <w:tc>
          <w:tcPr>
            <w:tcW w:w="1134" w:type="dxa"/>
          </w:tcPr>
          <w:p w14:paraId="74CEDF6A"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474 €</w:t>
            </w:r>
          </w:p>
        </w:tc>
        <w:tc>
          <w:tcPr>
            <w:tcW w:w="1418" w:type="dxa"/>
          </w:tcPr>
          <w:p w14:paraId="3F5DDD2B"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499 €</w:t>
            </w:r>
          </w:p>
        </w:tc>
        <w:tc>
          <w:tcPr>
            <w:tcW w:w="1134" w:type="dxa"/>
          </w:tcPr>
          <w:p w14:paraId="0EFA979C"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586 €</w:t>
            </w:r>
          </w:p>
        </w:tc>
        <w:tc>
          <w:tcPr>
            <w:tcW w:w="1321" w:type="dxa"/>
            <w:vAlign w:val="bottom"/>
          </w:tcPr>
          <w:p w14:paraId="3E96FF1C"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672 €</w:t>
            </w:r>
          </w:p>
        </w:tc>
      </w:tr>
      <w:tr w:rsidR="0019257C" w14:paraId="4E1F1BB2" w14:textId="77777777" w:rsidTr="0019257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656" w:type="dxa"/>
          </w:tcPr>
          <w:p w14:paraId="54D57A6C"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Cataluña</w:t>
            </w:r>
          </w:p>
        </w:tc>
        <w:tc>
          <w:tcPr>
            <w:tcW w:w="1316" w:type="dxa"/>
          </w:tcPr>
          <w:p w14:paraId="1CC65289"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1.142 €</w:t>
            </w:r>
          </w:p>
        </w:tc>
        <w:tc>
          <w:tcPr>
            <w:tcW w:w="1134" w:type="dxa"/>
          </w:tcPr>
          <w:p w14:paraId="7F590850"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1.102 €</w:t>
            </w:r>
          </w:p>
        </w:tc>
        <w:tc>
          <w:tcPr>
            <w:tcW w:w="1134" w:type="dxa"/>
          </w:tcPr>
          <w:p w14:paraId="15A0EE42"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1.140 €</w:t>
            </w:r>
          </w:p>
        </w:tc>
        <w:tc>
          <w:tcPr>
            <w:tcW w:w="1418" w:type="dxa"/>
          </w:tcPr>
          <w:p w14:paraId="59E123EE"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1.255 €</w:t>
            </w:r>
          </w:p>
        </w:tc>
        <w:tc>
          <w:tcPr>
            <w:tcW w:w="1134" w:type="dxa"/>
          </w:tcPr>
          <w:p w14:paraId="2D2C4604"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1.306 €</w:t>
            </w:r>
          </w:p>
        </w:tc>
        <w:tc>
          <w:tcPr>
            <w:tcW w:w="1321" w:type="dxa"/>
            <w:vAlign w:val="bottom"/>
          </w:tcPr>
          <w:p w14:paraId="1686D827"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1.610 €</w:t>
            </w:r>
          </w:p>
        </w:tc>
      </w:tr>
      <w:tr w:rsidR="0019257C" w14:paraId="74BED62F" w14:textId="77777777" w:rsidTr="0019257C">
        <w:trPr>
          <w:trHeight w:val="282"/>
        </w:trPr>
        <w:tc>
          <w:tcPr>
            <w:cnfStyle w:val="001000000000" w:firstRow="0" w:lastRow="0" w:firstColumn="1" w:lastColumn="0" w:oddVBand="0" w:evenVBand="0" w:oddHBand="0" w:evenHBand="0" w:firstRowFirstColumn="0" w:firstRowLastColumn="0" w:lastRowFirstColumn="0" w:lastRowLastColumn="0"/>
            <w:tcW w:w="1656" w:type="dxa"/>
          </w:tcPr>
          <w:p w14:paraId="1A76591A"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Comunitat Valenciana</w:t>
            </w:r>
          </w:p>
        </w:tc>
        <w:tc>
          <w:tcPr>
            <w:tcW w:w="1316" w:type="dxa"/>
          </w:tcPr>
          <w:p w14:paraId="49450154"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671 €</w:t>
            </w:r>
          </w:p>
        </w:tc>
        <w:tc>
          <w:tcPr>
            <w:tcW w:w="1134" w:type="dxa"/>
          </w:tcPr>
          <w:p w14:paraId="7750C6E8"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679 €</w:t>
            </w:r>
          </w:p>
        </w:tc>
        <w:tc>
          <w:tcPr>
            <w:tcW w:w="1134" w:type="dxa"/>
          </w:tcPr>
          <w:p w14:paraId="70EBB8DA"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775 €</w:t>
            </w:r>
          </w:p>
        </w:tc>
        <w:tc>
          <w:tcPr>
            <w:tcW w:w="1418" w:type="dxa"/>
          </w:tcPr>
          <w:p w14:paraId="1E1F65BA"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909 €</w:t>
            </w:r>
          </w:p>
        </w:tc>
        <w:tc>
          <w:tcPr>
            <w:tcW w:w="1134" w:type="dxa"/>
          </w:tcPr>
          <w:p w14:paraId="358E6504"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986 €</w:t>
            </w:r>
          </w:p>
        </w:tc>
        <w:tc>
          <w:tcPr>
            <w:tcW w:w="1321" w:type="dxa"/>
            <w:vAlign w:val="bottom"/>
          </w:tcPr>
          <w:p w14:paraId="32C61921"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1.081 €</w:t>
            </w:r>
          </w:p>
        </w:tc>
      </w:tr>
      <w:tr w:rsidR="0019257C" w14:paraId="39F59276" w14:textId="77777777" w:rsidTr="0019257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656" w:type="dxa"/>
          </w:tcPr>
          <w:p w14:paraId="582BC90D" w14:textId="77777777" w:rsidR="0019257C" w:rsidRDefault="00000000">
            <w:pPr>
              <w:rPr>
                <w:rFonts w:ascii="Open Sans" w:eastAsia="Open Sans" w:hAnsi="Open Sans" w:cs="Open Sans"/>
                <w:sz w:val="20"/>
                <w:szCs w:val="20"/>
              </w:rPr>
            </w:pPr>
            <w:r>
              <w:rPr>
                <w:rFonts w:ascii="Open Sans" w:eastAsia="Open Sans" w:hAnsi="Open Sans" w:cs="Open Sans"/>
                <w:sz w:val="20"/>
                <w:szCs w:val="20"/>
              </w:rPr>
              <w:t>España</w:t>
            </w:r>
          </w:p>
        </w:tc>
        <w:tc>
          <w:tcPr>
            <w:tcW w:w="1316" w:type="dxa"/>
          </w:tcPr>
          <w:p w14:paraId="22CCDADB"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b/>
                <w:bCs/>
                <w:color w:val="000000"/>
                <w:sz w:val="20"/>
                <w:szCs w:val="20"/>
              </w:rPr>
              <w:t>860 €</w:t>
            </w:r>
          </w:p>
        </w:tc>
        <w:tc>
          <w:tcPr>
            <w:tcW w:w="1134" w:type="dxa"/>
          </w:tcPr>
          <w:p w14:paraId="27F4C2F3"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0"/>
                <w:szCs w:val="20"/>
              </w:rPr>
            </w:pPr>
            <w:r>
              <w:rPr>
                <w:rFonts w:ascii="Open Sans" w:eastAsia="Open Sans" w:hAnsi="Open Sans" w:cs="Open Sans"/>
                <w:b/>
                <w:bCs/>
                <w:color w:val="000000"/>
                <w:sz w:val="20"/>
                <w:szCs w:val="20"/>
              </w:rPr>
              <w:t>807 €</w:t>
            </w:r>
          </w:p>
        </w:tc>
        <w:tc>
          <w:tcPr>
            <w:tcW w:w="1134" w:type="dxa"/>
          </w:tcPr>
          <w:p w14:paraId="73E7B160"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0"/>
                <w:szCs w:val="20"/>
              </w:rPr>
            </w:pPr>
            <w:r>
              <w:rPr>
                <w:rFonts w:ascii="Open Sans" w:eastAsia="Open Sans" w:hAnsi="Open Sans" w:cs="Open Sans"/>
                <w:b/>
                <w:bCs/>
                <w:color w:val="000000"/>
                <w:sz w:val="20"/>
                <w:szCs w:val="20"/>
              </w:rPr>
              <w:t>839 €</w:t>
            </w:r>
          </w:p>
        </w:tc>
        <w:tc>
          <w:tcPr>
            <w:tcW w:w="1418" w:type="dxa"/>
          </w:tcPr>
          <w:p w14:paraId="1A8CAC8F"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C00000"/>
                <w:sz w:val="20"/>
                <w:szCs w:val="20"/>
              </w:rPr>
            </w:pPr>
            <w:r>
              <w:rPr>
                <w:rFonts w:ascii="Open Sans" w:eastAsia="Open Sans" w:hAnsi="Open Sans" w:cs="Open Sans"/>
                <w:b/>
                <w:bCs/>
                <w:color w:val="000000"/>
                <w:sz w:val="20"/>
                <w:szCs w:val="20"/>
              </w:rPr>
              <w:t>898 €</w:t>
            </w:r>
          </w:p>
        </w:tc>
        <w:tc>
          <w:tcPr>
            <w:tcW w:w="1134" w:type="dxa"/>
          </w:tcPr>
          <w:p w14:paraId="21C4A705"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C00000"/>
                <w:sz w:val="20"/>
                <w:szCs w:val="20"/>
              </w:rPr>
            </w:pPr>
            <w:r>
              <w:rPr>
                <w:rFonts w:ascii="Open Sans" w:eastAsia="Open Sans" w:hAnsi="Open Sans" w:cs="Open Sans"/>
                <w:b/>
                <w:bCs/>
                <w:color w:val="000000"/>
                <w:sz w:val="20"/>
                <w:szCs w:val="20"/>
              </w:rPr>
              <w:t>986 €</w:t>
            </w:r>
          </w:p>
        </w:tc>
        <w:tc>
          <w:tcPr>
            <w:tcW w:w="1321" w:type="dxa"/>
            <w:vAlign w:val="bottom"/>
          </w:tcPr>
          <w:p w14:paraId="10481FB8"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0"/>
                <w:szCs w:val="20"/>
              </w:rPr>
            </w:pPr>
            <w:r>
              <w:rPr>
                <w:rFonts w:ascii="Open Sans" w:eastAsia="Open Sans" w:hAnsi="Open Sans" w:cs="Open Sans"/>
                <w:b/>
                <w:bCs/>
                <w:color w:val="000000"/>
                <w:sz w:val="22"/>
                <w:szCs w:val="22"/>
              </w:rPr>
              <w:t>1.120 €</w:t>
            </w:r>
          </w:p>
        </w:tc>
      </w:tr>
      <w:tr w:rsidR="0019257C" w14:paraId="551DB433" w14:textId="77777777" w:rsidTr="0019257C">
        <w:trPr>
          <w:trHeight w:val="282"/>
        </w:trPr>
        <w:tc>
          <w:tcPr>
            <w:cnfStyle w:val="001000000000" w:firstRow="0" w:lastRow="0" w:firstColumn="1" w:lastColumn="0" w:oddVBand="0" w:evenVBand="0" w:oddHBand="0" w:evenHBand="0" w:firstRowFirstColumn="0" w:firstRowLastColumn="0" w:lastRowFirstColumn="0" w:lastRowLastColumn="0"/>
            <w:tcW w:w="1656" w:type="dxa"/>
          </w:tcPr>
          <w:p w14:paraId="1D0090B0"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Extremadura</w:t>
            </w:r>
          </w:p>
        </w:tc>
        <w:tc>
          <w:tcPr>
            <w:tcW w:w="1316" w:type="dxa"/>
          </w:tcPr>
          <w:p w14:paraId="39BB5EEB"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422 €</w:t>
            </w:r>
          </w:p>
        </w:tc>
        <w:tc>
          <w:tcPr>
            <w:tcW w:w="1134" w:type="dxa"/>
          </w:tcPr>
          <w:p w14:paraId="643532F0"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441 €</w:t>
            </w:r>
          </w:p>
        </w:tc>
        <w:tc>
          <w:tcPr>
            <w:tcW w:w="1134" w:type="dxa"/>
          </w:tcPr>
          <w:p w14:paraId="67F00BA9"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470 €</w:t>
            </w:r>
          </w:p>
        </w:tc>
        <w:tc>
          <w:tcPr>
            <w:tcW w:w="1418" w:type="dxa"/>
          </w:tcPr>
          <w:p w14:paraId="7EFC3080"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492 €</w:t>
            </w:r>
          </w:p>
        </w:tc>
        <w:tc>
          <w:tcPr>
            <w:tcW w:w="1134" w:type="dxa"/>
          </w:tcPr>
          <w:p w14:paraId="2BDDA419"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520 €</w:t>
            </w:r>
          </w:p>
        </w:tc>
        <w:tc>
          <w:tcPr>
            <w:tcW w:w="1321" w:type="dxa"/>
            <w:vAlign w:val="bottom"/>
          </w:tcPr>
          <w:p w14:paraId="70ED27D3"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586 €</w:t>
            </w:r>
          </w:p>
        </w:tc>
      </w:tr>
      <w:tr w:rsidR="0019257C" w14:paraId="7046F33D" w14:textId="77777777" w:rsidTr="0019257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656" w:type="dxa"/>
          </w:tcPr>
          <w:p w14:paraId="6F96EDC1"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Galicia</w:t>
            </w:r>
          </w:p>
        </w:tc>
        <w:tc>
          <w:tcPr>
            <w:tcW w:w="1316" w:type="dxa"/>
          </w:tcPr>
          <w:p w14:paraId="0C2BEE2B"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568 €</w:t>
            </w:r>
          </w:p>
        </w:tc>
        <w:tc>
          <w:tcPr>
            <w:tcW w:w="1134" w:type="dxa"/>
          </w:tcPr>
          <w:p w14:paraId="0C5C8E36"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581 €</w:t>
            </w:r>
          </w:p>
        </w:tc>
        <w:tc>
          <w:tcPr>
            <w:tcW w:w="1134" w:type="dxa"/>
          </w:tcPr>
          <w:p w14:paraId="55C875FF"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631 €</w:t>
            </w:r>
          </w:p>
        </w:tc>
        <w:tc>
          <w:tcPr>
            <w:tcW w:w="1418" w:type="dxa"/>
          </w:tcPr>
          <w:p w14:paraId="0663A350"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675 €</w:t>
            </w:r>
          </w:p>
        </w:tc>
        <w:tc>
          <w:tcPr>
            <w:tcW w:w="1134" w:type="dxa"/>
          </w:tcPr>
          <w:p w14:paraId="377CE837"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746 €</w:t>
            </w:r>
          </w:p>
        </w:tc>
        <w:tc>
          <w:tcPr>
            <w:tcW w:w="1321" w:type="dxa"/>
            <w:vAlign w:val="bottom"/>
          </w:tcPr>
          <w:p w14:paraId="4DE549A4"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789 €</w:t>
            </w:r>
          </w:p>
        </w:tc>
      </w:tr>
      <w:tr w:rsidR="0019257C" w14:paraId="72DF648D" w14:textId="77777777" w:rsidTr="0019257C">
        <w:trPr>
          <w:trHeight w:val="282"/>
        </w:trPr>
        <w:tc>
          <w:tcPr>
            <w:cnfStyle w:val="001000000000" w:firstRow="0" w:lastRow="0" w:firstColumn="1" w:lastColumn="0" w:oddVBand="0" w:evenVBand="0" w:oddHBand="0" w:evenHBand="0" w:firstRowFirstColumn="0" w:firstRowLastColumn="0" w:lastRowFirstColumn="0" w:lastRowLastColumn="0"/>
            <w:tcW w:w="1656" w:type="dxa"/>
          </w:tcPr>
          <w:p w14:paraId="6CEE631E"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lastRenderedPageBreak/>
              <w:t>La Rioja</w:t>
            </w:r>
          </w:p>
        </w:tc>
        <w:tc>
          <w:tcPr>
            <w:tcW w:w="1316" w:type="dxa"/>
          </w:tcPr>
          <w:p w14:paraId="105D6EC3"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561 €</w:t>
            </w:r>
          </w:p>
        </w:tc>
        <w:tc>
          <w:tcPr>
            <w:tcW w:w="1134" w:type="dxa"/>
          </w:tcPr>
          <w:p w14:paraId="6B6EE1DD"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580 €</w:t>
            </w:r>
          </w:p>
        </w:tc>
        <w:tc>
          <w:tcPr>
            <w:tcW w:w="1134" w:type="dxa"/>
          </w:tcPr>
          <w:p w14:paraId="17DBCFE0"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620 €</w:t>
            </w:r>
          </w:p>
        </w:tc>
        <w:tc>
          <w:tcPr>
            <w:tcW w:w="1418" w:type="dxa"/>
          </w:tcPr>
          <w:p w14:paraId="66C29020"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661 €</w:t>
            </w:r>
          </w:p>
        </w:tc>
        <w:tc>
          <w:tcPr>
            <w:tcW w:w="1134" w:type="dxa"/>
          </w:tcPr>
          <w:p w14:paraId="51200DF7"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725 €</w:t>
            </w:r>
          </w:p>
        </w:tc>
        <w:tc>
          <w:tcPr>
            <w:tcW w:w="1321" w:type="dxa"/>
            <w:vAlign w:val="bottom"/>
          </w:tcPr>
          <w:p w14:paraId="55C49D9D"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790 €</w:t>
            </w:r>
          </w:p>
        </w:tc>
      </w:tr>
      <w:tr w:rsidR="0019257C" w14:paraId="251701DD" w14:textId="77777777" w:rsidTr="0019257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656" w:type="dxa"/>
          </w:tcPr>
          <w:p w14:paraId="7F21713A"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Madrid</w:t>
            </w:r>
          </w:p>
        </w:tc>
        <w:tc>
          <w:tcPr>
            <w:tcW w:w="1316" w:type="dxa"/>
          </w:tcPr>
          <w:p w14:paraId="4101AF96"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1.161 €</w:t>
            </w:r>
          </w:p>
        </w:tc>
        <w:tc>
          <w:tcPr>
            <w:tcW w:w="1134" w:type="dxa"/>
          </w:tcPr>
          <w:p w14:paraId="78B9EE85"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1.068 €</w:t>
            </w:r>
          </w:p>
        </w:tc>
        <w:tc>
          <w:tcPr>
            <w:tcW w:w="1134" w:type="dxa"/>
          </w:tcPr>
          <w:p w14:paraId="10006D24"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1.226 €</w:t>
            </w:r>
          </w:p>
        </w:tc>
        <w:tc>
          <w:tcPr>
            <w:tcW w:w="1418" w:type="dxa"/>
          </w:tcPr>
          <w:p w14:paraId="7B67A543"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1.341 €</w:t>
            </w:r>
          </w:p>
        </w:tc>
        <w:tc>
          <w:tcPr>
            <w:tcW w:w="1134" w:type="dxa"/>
          </w:tcPr>
          <w:p w14:paraId="523BFB77"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1.586 €</w:t>
            </w:r>
          </w:p>
        </w:tc>
        <w:tc>
          <w:tcPr>
            <w:tcW w:w="1321" w:type="dxa"/>
            <w:vAlign w:val="bottom"/>
          </w:tcPr>
          <w:p w14:paraId="622AF572"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1.702 €</w:t>
            </w:r>
          </w:p>
        </w:tc>
      </w:tr>
      <w:tr w:rsidR="0019257C" w14:paraId="4D5511AF" w14:textId="77777777" w:rsidTr="0019257C">
        <w:trPr>
          <w:trHeight w:val="282"/>
        </w:trPr>
        <w:tc>
          <w:tcPr>
            <w:cnfStyle w:val="001000000000" w:firstRow="0" w:lastRow="0" w:firstColumn="1" w:lastColumn="0" w:oddVBand="0" w:evenVBand="0" w:oddHBand="0" w:evenHBand="0" w:firstRowFirstColumn="0" w:firstRowLastColumn="0" w:lastRowFirstColumn="0" w:lastRowLastColumn="0"/>
            <w:tcW w:w="1656" w:type="dxa"/>
          </w:tcPr>
          <w:p w14:paraId="7EAF40E4"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Navarra</w:t>
            </w:r>
          </w:p>
        </w:tc>
        <w:tc>
          <w:tcPr>
            <w:tcW w:w="1316" w:type="dxa"/>
          </w:tcPr>
          <w:p w14:paraId="24596138"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779 €</w:t>
            </w:r>
          </w:p>
        </w:tc>
        <w:tc>
          <w:tcPr>
            <w:tcW w:w="1134" w:type="dxa"/>
          </w:tcPr>
          <w:p w14:paraId="13F35486"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786 €</w:t>
            </w:r>
          </w:p>
        </w:tc>
        <w:tc>
          <w:tcPr>
            <w:tcW w:w="1134" w:type="dxa"/>
          </w:tcPr>
          <w:p w14:paraId="78FE4E7A"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846 €</w:t>
            </w:r>
          </w:p>
        </w:tc>
        <w:tc>
          <w:tcPr>
            <w:tcW w:w="1418" w:type="dxa"/>
          </w:tcPr>
          <w:p w14:paraId="4F158832"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858 €</w:t>
            </w:r>
          </w:p>
        </w:tc>
        <w:tc>
          <w:tcPr>
            <w:tcW w:w="1134" w:type="dxa"/>
          </w:tcPr>
          <w:p w14:paraId="0816B2F8"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963 €</w:t>
            </w:r>
          </w:p>
        </w:tc>
        <w:tc>
          <w:tcPr>
            <w:tcW w:w="1321" w:type="dxa"/>
            <w:vAlign w:val="bottom"/>
          </w:tcPr>
          <w:p w14:paraId="69DC8E89"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1.010 €</w:t>
            </w:r>
          </w:p>
        </w:tc>
      </w:tr>
      <w:tr w:rsidR="0019257C" w14:paraId="58EA7F2D" w14:textId="77777777" w:rsidTr="0019257C">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656" w:type="dxa"/>
          </w:tcPr>
          <w:p w14:paraId="53944056"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País Vasco</w:t>
            </w:r>
          </w:p>
        </w:tc>
        <w:tc>
          <w:tcPr>
            <w:tcW w:w="1316" w:type="dxa"/>
          </w:tcPr>
          <w:p w14:paraId="7975144E"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1.071 €</w:t>
            </w:r>
          </w:p>
        </w:tc>
        <w:tc>
          <w:tcPr>
            <w:tcW w:w="1134" w:type="dxa"/>
          </w:tcPr>
          <w:p w14:paraId="1B98F836"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1.070 €</w:t>
            </w:r>
          </w:p>
        </w:tc>
        <w:tc>
          <w:tcPr>
            <w:tcW w:w="1134" w:type="dxa"/>
          </w:tcPr>
          <w:p w14:paraId="5676FD77"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1.106 €</w:t>
            </w:r>
          </w:p>
        </w:tc>
        <w:tc>
          <w:tcPr>
            <w:tcW w:w="1418" w:type="dxa"/>
          </w:tcPr>
          <w:p w14:paraId="2DE6B3DF"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1.207 €</w:t>
            </w:r>
          </w:p>
        </w:tc>
        <w:tc>
          <w:tcPr>
            <w:tcW w:w="1134" w:type="dxa"/>
          </w:tcPr>
          <w:p w14:paraId="068F2C3C"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1.296 €</w:t>
            </w:r>
          </w:p>
        </w:tc>
        <w:tc>
          <w:tcPr>
            <w:tcW w:w="1321" w:type="dxa"/>
            <w:vAlign w:val="bottom"/>
          </w:tcPr>
          <w:p w14:paraId="3DA0B271" w14:textId="77777777" w:rsidR="0019257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1.394 €</w:t>
            </w:r>
          </w:p>
        </w:tc>
      </w:tr>
      <w:tr w:rsidR="0019257C" w14:paraId="2FC17071" w14:textId="77777777" w:rsidTr="0019257C">
        <w:trPr>
          <w:trHeight w:val="282"/>
        </w:trPr>
        <w:tc>
          <w:tcPr>
            <w:cnfStyle w:val="001000000000" w:firstRow="0" w:lastRow="0" w:firstColumn="1" w:lastColumn="0" w:oddVBand="0" w:evenVBand="0" w:oddHBand="0" w:evenHBand="0" w:firstRowFirstColumn="0" w:firstRowLastColumn="0" w:lastRowFirstColumn="0" w:lastRowLastColumn="0"/>
            <w:tcW w:w="1656" w:type="dxa"/>
          </w:tcPr>
          <w:p w14:paraId="371DD14B" w14:textId="77777777" w:rsidR="0019257C" w:rsidRDefault="00000000">
            <w:pPr>
              <w:rPr>
                <w:rFonts w:ascii="Open Sans" w:eastAsia="Open Sans" w:hAnsi="Open Sans" w:cs="Open Sans"/>
                <w:sz w:val="20"/>
                <w:szCs w:val="20"/>
              </w:rPr>
            </w:pPr>
            <w:r>
              <w:rPr>
                <w:rFonts w:ascii="Open Sans" w:eastAsia="Open Sans" w:hAnsi="Open Sans" w:cs="Open Sans"/>
                <w:b w:val="0"/>
                <w:bCs w:val="0"/>
                <w:sz w:val="20"/>
                <w:szCs w:val="20"/>
              </w:rPr>
              <w:t>Región de Murcia</w:t>
            </w:r>
          </w:p>
        </w:tc>
        <w:tc>
          <w:tcPr>
            <w:tcW w:w="1316" w:type="dxa"/>
            <w:vAlign w:val="bottom"/>
          </w:tcPr>
          <w:p w14:paraId="0DF2EBF6"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552 €</w:t>
            </w:r>
          </w:p>
        </w:tc>
        <w:tc>
          <w:tcPr>
            <w:tcW w:w="1134" w:type="dxa"/>
            <w:vAlign w:val="bottom"/>
          </w:tcPr>
          <w:p w14:paraId="3B52FB4F"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0"/>
                <w:szCs w:val="20"/>
              </w:rPr>
            </w:pPr>
            <w:r>
              <w:rPr>
                <w:rFonts w:ascii="Open Sans" w:eastAsia="Open Sans" w:hAnsi="Open Sans" w:cs="Open Sans"/>
                <w:color w:val="000000"/>
                <w:sz w:val="20"/>
                <w:szCs w:val="20"/>
              </w:rPr>
              <w:t>576 €</w:t>
            </w:r>
          </w:p>
        </w:tc>
        <w:tc>
          <w:tcPr>
            <w:tcW w:w="1134" w:type="dxa"/>
            <w:vAlign w:val="bottom"/>
          </w:tcPr>
          <w:p w14:paraId="797FCF5A"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622 €</w:t>
            </w:r>
          </w:p>
        </w:tc>
        <w:tc>
          <w:tcPr>
            <w:tcW w:w="1418" w:type="dxa"/>
            <w:vAlign w:val="bottom"/>
          </w:tcPr>
          <w:p w14:paraId="37429EBD"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642 €</w:t>
            </w:r>
          </w:p>
        </w:tc>
        <w:tc>
          <w:tcPr>
            <w:tcW w:w="1134" w:type="dxa"/>
            <w:vAlign w:val="bottom"/>
          </w:tcPr>
          <w:p w14:paraId="11D099FF"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0"/>
                <w:szCs w:val="20"/>
              </w:rPr>
            </w:pPr>
            <w:r>
              <w:rPr>
                <w:rFonts w:ascii="Open Sans" w:eastAsia="Open Sans" w:hAnsi="Open Sans" w:cs="Open Sans"/>
                <w:color w:val="000000"/>
                <w:sz w:val="20"/>
                <w:szCs w:val="20"/>
              </w:rPr>
              <w:t>727 €</w:t>
            </w:r>
          </w:p>
        </w:tc>
        <w:tc>
          <w:tcPr>
            <w:tcW w:w="1321" w:type="dxa"/>
            <w:vAlign w:val="bottom"/>
          </w:tcPr>
          <w:p w14:paraId="0AB07D3E" w14:textId="77777777" w:rsidR="0019257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783 €</w:t>
            </w:r>
          </w:p>
        </w:tc>
      </w:tr>
    </w:tbl>
    <w:p w14:paraId="2B036C61" w14:textId="77777777" w:rsidR="0019257C" w:rsidRDefault="0019257C">
      <w:pPr>
        <w:spacing w:line="276" w:lineRule="auto"/>
        <w:ind w:right="-567"/>
        <w:jc w:val="both"/>
        <w:rPr>
          <w:rFonts w:ascii="Open Sans" w:eastAsia="Open Sans" w:hAnsi="Open Sans" w:cs="Open Sans"/>
          <w:color w:val="000000"/>
        </w:rPr>
      </w:pPr>
    </w:p>
    <w:p w14:paraId="3D618A19" w14:textId="77777777" w:rsidR="0019257C" w:rsidRDefault="0019257C">
      <w:pPr>
        <w:spacing w:line="276" w:lineRule="auto"/>
        <w:ind w:right="-426"/>
        <w:jc w:val="right"/>
        <w:rPr>
          <w:rFonts w:ascii="Open Sans Light" w:eastAsia="Open Sans Light" w:hAnsi="Open Sans Light" w:cs="Open Sans Light"/>
          <w:b/>
          <w:bCs/>
          <w:color w:val="303AB2"/>
        </w:rPr>
      </w:pPr>
    </w:p>
    <w:p w14:paraId="61FBB826" w14:textId="77777777" w:rsidR="0019257C" w:rsidRDefault="00000000">
      <w:pPr>
        <w:spacing w:line="276" w:lineRule="auto"/>
        <w:ind w:right="-426"/>
        <w:jc w:val="right"/>
        <w:rPr>
          <w:rFonts w:ascii="Open Sans Light" w:eastAsia="Open Sans Light" w:hAnsi="Open Sans Light" w:cs="Open Sans Light"/>
          <w:b/>
          <w:bCs/>
          <w:color w:val="303AB2"/>
          <w:sz w:val="26"/>
          <w:szCs w:val="26"/>
        </w:rPr>
      </w:pPr>
      <w:r>
        <w:rPr>
          <w:rFonts w:ascii="Open Sans Light" w:eastAsia="Open Sans Light" w:hAnsi="Open Sans Light" w:cs="Open Sans Light"/>
          <w:b/>
          <w:bCs/>
          <w:color w:val="303AB2"/>
          <w:sz w:val="26"/>
          <w:szCs w:val="26"/>
        </w:rPr>
        <w:t>Sobre el Índice Inmobiliario de alquiler Fotocasa</w:t>
      </w:r>
    </w:p>
    <w:p w14:paraId="10D46632" w14:textId="77777777" w:rsidR="0019257C" w:rsidRDefault="0019257C">
      <w:pPr>
        <w:spacing w:line="276" w:lineRule="auto"/>
        <w:ind w:right="-426"/>
        <w:jc w:val="right"/>
        <w:rPr>
          <w:rFonts w:ascii="Open Sans Light" w:eastAsia="Open Sans Light" w:hAnsi="Open Sans Light" w:cs="Open Sans Light"/>
          <w:b/>
          <w:bCs/>
          <w:color w:val="303AB2"/>
        </w:rPr>
      </w:pPr>
    </w:p>
    <w:p w14:paraId="3F613E37" w14:textId="77777777" w:rsidR="0019257C" w:rsidRDefault="00000000">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estudio se elabora a partir de </w:t>
      </w:r>
      <w:r>
        <w:rPr>
          <w:rFonts w:ascii="Open Sans" w:eastAsia="Open Sans" w:hAnsi="Open Sans" w:cs="Open Sans"/>
          <w:b/>
          <w:bCs/>
          <w:color w:val="000000"/>
          <w:sz w:val="22"/>
          <w:szCs w:val="22"/>
        </w:rPr>
        <w:t>la base de datos de Fotocasa</w:t>
      </w:r>
      <w:r>
        <w:rPr>
          <w:rFonts w:ascii="Open Sans" w:eastAsia="Open Sans" w:hAnsi="Open Sans" w:cs="Open Sans"/>
          <w:color w:val="000000"/>
          <w:sz w:val="22"/>
          <w:szCs w:val="22"/>
        </w:rPr>
        <w:t xml:space="preserve">, con información de </w:t>
      </w:r>
      <w:r>
        <w:rPr>
          <w:rFonts w:ascii="Open Sans" w:eastAsia="Open Sans" w:hAnsi="Open Sans" w:cs="Open Sans"/>
          <w:b/>
          <w:bCs/>
          <w:color w:val="000000"/>
          <w:sz w:val="22"/>
          <w:szCs w:val="22"/>
        </w:rPr>
        <w:t>viviendas en alquiler</w:t>
      </w:r>
      <w:r>
        <w:rPr>
          <w:rFonts w:ascii="Open Sans" w:eastAsia="Open Sans" w:hAnsi="Open Sans" w:cs="Open Sans"/>
          <w:color w:val="000000"/>
          <w:sz w:val="22"/>
          <w:szCs w:val="22"/>
        </w:rPr>
        <w:t xml:space="preserve"> ofrecidas por particulares y profesionales. Se incluyen únicamente pisos y áticos, y los precios reflejan </w:t>
      </w:r>
      <w:r>
        <w:rPr>
          <w:rFonts w:ascii="Open Sans" w:eastAsia="Open Sans" w:hAnsi="Open Sans" w:cs="Open Sans"/>
          <w:b/>
          <w:bCs/>
          <w:color w:val="000000"/>
          <w:sz w:val="22"/>
          <w:szCs w:val="22"/>
        </w:rPr>
        <w:t>valores de oferta</w:t>
      </w:r>
      <w:r>
        <w:rPr>
          <w:rFonts w:ascii="Open Sans" w:eastAsia="Open Sans" w:hAnsi="Open Sans" w:cs="Open Sans"/>
          <w:color w:val="000000"/>
          <w:sz w:val="22"/>
          <w:szCs w:val="22"/>
        </w:rPr>
        <w:t xml:space="preserve">, no necesariamente la renta final de los contratos, expresados en </w:t>
      </w:r>
      <w:r>
        <w:rPr>
          <w:rFonts w:ascii="Open Sans" w:eastAsia="Open Sans" w:hAnsi="Open Sans" w:cs="Open Sans"/>
          <w:b/>
          <w:bCs/>
          <w:color w:val="000000"/>
          <w:sz w:val="22"/>
          <w:szCs w:val="22"/>
        </w:rPr>
        <w:t>euros por metro cuadrado construido</w:t>
      </w:r>
      <w:r>
        <w:rPr>
          <w:rFonts w:ascii="Open Sans" w:eastAsia="Open Sans" w:hAnsi="Open Sans" w:cs="Open Sans"/>
          <w:color w:val="000000"/>
          <w:sz w:val="22"/>
          <w:szCs w:val="22"/>
        </w:rPr>
        <w:t>.</w:t>
      </w:r>
    </w:p>
    <w:p w14:paraId="109CAAB6" w14:textId="77777777" w:rsidR="0019257C" w:rsidRDefault="0019257C">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p>
    <w:p w14:paraId="654DBCB7" w14:textId="77777777" w:rsidR="0019257C" w:rsidRDefault="00000000">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datos están disponibles </w:t>
      </w:r>
      <w:r>
        <w:rPr>
          <w:rFonts w:ascii="Open Sans" w:eastAsia="Open Sans" w:hAnsi="Open Sans" w:cs="Open Sans"/>
          <w:b/>
          <w:bCs/>
          <w:color w:val="000000"/>
          <w:sz w:val="22"/>
          <w:szCs w:val="22"/>
        </w:rPr>
        <w:t>mensualmente desde diciembre de 2006</w:t>
      </w:r>
      <w:r>
        <w:rPr>
          <w:rFonts w:ascii="Open Sans" w:eastAsia="Open Sans" w:hAnsi="Open Sans" w:cs="Open Sans"/>
          <w:color w:val="000000"/>
          <w:sz w:val="22"/>
          <w:szCs w:val="22"/>
        </w:rPr>
        <w:t xml:space="preserve">, abarcando todo el territorio nacional con desgloses por comunidades, provincias, municipios y distritos principales. La calidad de la información se garantiza mediante </w:t>
      </w:r>
      <w:r>
        <w:rPr>
          <w:rFonts w:ascii="Open Sans" w:eastAsia="Open Sans" w:hAnsi="Open Sans" w:cs="Open Sans"/>
          <w:b/>
          <w:bCs/>
          <w:color w:val="000000"/>
          <w:sz w:val="22"/>
          <w:szCs w:val="22"/>
        </w:rPr>
        <w:t>filtros de control del portal y filtros estadísticos específicos</w:t>
      </w:r>
      <w:r>
        <w:rPr>
          <w:rFonts w:ascii="Open Sans" w:eastAsia="Open Sans" w:hAnsi="Open Sans" w:cs="Open Sans"/>
          <w:color w:val="000000"/>
          <w:sz w:val="22"/>
          <w:szCs w:val="22"/>
        </w:rPr>
        <w:t xml:space="preserve">, que eliminan duplicidades, incoherencias y valores extremos, junto con </w:t>
      </w:r>
      <w:r>
        <w:rPr>
          <w:rFonts w:ascii="Open Sans" w:eastAsia="Open Sans" w:hAnsi="Open Sans" w:cs="Open Sans"/>
          <w:b/>
          <w:bCs/>
          <w:color w:val="000000"/>
          <w:sz w:val="22"/>
          <w:szCs w:val="22"/>
        </w:rPr>
        <w:t>un tamaño mínimo de muestra</w:t>
      </w:r>
      <w:r>
        <w:rPr>
          <w:rFonts w:ascii="Open Sans" w:eastAsia="Open Sans" w:hAnsi="Open Sans" w:cs="Open Sans"/>
          <w:color w:val="000000"/>
          <w:sz w:val="22"/>
          <w:szCs w:val="22"/>
        </w:rPr>
        <w:t xml:space="preserve"> para asegurar la significatividad de los resultados.</w:t>
      </w:r>
    </w:p>
    <w:p w14:paraId="724DA5F3" w14:textId="77777777" w:rsidR="0019257C" w:rsidRDefault="0019257C">
      <w:pPr>
        <w:spacing w:line="276" w:lineRule="auto"/>
        <w:ind w:right="-426"/>
        <w:jc w:val="right"/>
        <w:rPr>
          <w:rFonts w:ascii="Open Sans Light" w:eastAsia="Open Sans Light" w:hAnsi="Open Sans Light" w:cs="Open Sans Light"/>
          <w:b/>
          <w:bCs/>
          <w:color w:val="303AB2"/>
        </w:rPr>
      </w:pPr>
    </w:p>
    <w:p w14:paraId="27E44394" w14:textId="77777777" w:rsidR="0019257C" w:rsidRDefault="00000000">
      <w:pPr>
        <w:spacing w:line="276" w:lineRule="auto"/>
        <w:ind w:right="-426"/>
        <w:jc w:val="right"/>
        <w:rPr>
          <w:rFonts w:ascii="Open Sans Light" w:eastAsia="Open Sans Light" w:hAnsi="Open Sans Light" w:cs="Open Sans Light"/>
          <w:b/>
          <w:bCs/>
          <w:color w:val="303AB2"/>
          <w:sz w:val="26"/>
          <w:szCs w:val="26"/>
        </w:rPr>
      </w:pPr>
      <w:r>
        <w:rPr>
          <w:rFonts w:ascii="Open Sans Light" w:eastAsia="Open Sans Light" w:hAnsi="Open Sans Light" w:cs="Open Sans Light"/>
          <w:b/>
          <w:bCs/>
          <w:color w:val="303AB2"/>
          <w:sz w:val="26"/>
          <w:szCs w:val="26"/>
        </w:rPr>
        <w:t>Sobre Fotocasa</w:t>
      </w:r>
    </w:p>
    <w:p w14:paraId="7B01589B" w14:textId="77777777" w:rsidR="0019257C" w:rsidRDefault="0019257C">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p>
    <w:p w14:paraId="7DB13C53" w14:textId="77777777" w:rsidR="0019257C" w:rsidRDefault="00000000">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color w:val="000000"/>
          <w:sz w:val="22"/>
          <w:szCs w:val="22"/>
        </w:rPr>
        <w:t>Fotocasa Group</w:t>
      </w:r>
      <w:r>
        <w:rPr>
          <w:rFonts w:ascii="Open Sans" w:eastAsia="Open Sans" w:hAnsi="Open Sans" w:cs="Open Sans"/>
          <w:color w:val="000000"/>
          <w:sz w:val="22"/>
          <w:szCs w:val="22"/>
        </w:rPr>
        <w:t>. </w:t>
      </w:r>
    </w:p>
    <w:p w14:paraId="13642C79" w14:textId="77777777" w:rsidR="0019257C" w:rsidRDefault="0019257C">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p>
    <w:p w14:paraId="050ADC3A" w14:textId="77777777" w:rsidR="0019257C" w:rsidRDefault="00000000">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Mensualmente, elabora el </w:t>
      </w:r>
      <w:hyperlink r:id="rId12">
        <w:r w:rsidR="0019257C">
          <w:rPr>
            <w:rFonts w:ascii="Open Sans" w:eastAsia="Open Sans" w:hAnsi="Open Sans" w:cs="Open Sans"/>
            <w:b/>
            <w:bCs/>
            <w:color w:val="0000FF"/>
            <w:sz w:val="22"/>
            <w:szCs w:val="22"/>
            <w:u w:val="single"/>
          </w:rPr>
          <w:t>Índice inmobiliario Fotocasa</w:t>
        </w:r>
      </w:hyperlink>
      <w:r>
        <w:rPr>
          <w:rFonts w:ascii="Open Sans" w:eastAsia="Open Sans" w:hAnsi="Open Sans" w:cs="Open Sans"/>
          <w:color w:val="000000"/>
          <w:sz w:val="22"/>
          <w:szCs w:val="22"/>
        </w:rPr>
        <w:t>, un informe de referencia que analiza la evolución del precio medio de la vivienda en España, tanto en venta como en alquiler.</w:t>
      </w:r>
    </w:p>
    <w:p w14:paraId="0CAF4E60" w14:textId="77777777" w:rsidR="0019257C" w:rsidRDefault="0019257C">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p>
    <w:p w14:paraId="3C5E8048" w14:textId="77777777" w:rsidR="0019257C" w:rsidRDefault="00000000">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Desde 2017, desarrolla además estudios sociológicos bajo el sello </w:t>
      </w:r>
      <w:hyperlink r:id="rId13">
        <w:r w:rsidR="0019257C">
          <w:rPr>
            <w:rFonts w:ascii="Open Sans" w:eastAsia="Open Sans" w:hAnsi="Open Sans" w:cs="Open Sans"/>
            <w:b/>
            <w:bCs/>
            <w:color w:val="0000FF"/>
            <w:sz w:val="22"/>
            <w:szCs w:val="22"/>
            <w:u w:val="single"/>
          </w:rPr>
          <w:t>Fotocasa Research</w:t>
        </w:r>
      </w:hyperlink>
      <w:r>
        <w:rPr>
          <w:rFonts w:ascii="Open Sans" w:eastAsia="Open Sans" w:hAnsi="Open Sans" w:cs="Open Sans"/>
          <w:color w:val="000000"/>
          <w:sz w:val="22"/>
          <w:szCs w:val="22"/>
        </w:rPr>
        <w:t>, con el objetivo de aportar conocimiento y análisis en profundidad sobre las tendencias del mercado y el comportamiento de los ciudadanos en relación con la vivienda.</w:t>
      </w:r>
    </w:p>
    <w:p w14:paraId="106C27F8" w14:textId="77777777" w:rsidR="0019257C" w:rsidRDefault="0019257C">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p>
    <w:p w14:paraId="20461875" w14:textId="77777777" w:rsidR="0019257C" w:rsidRDefault="00000000">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Toda la información y los últimos comunicados están disponibles en su </w:t>
      </w:r>
      <w:hyperlink r:id="rId14">
        <w:r w:rsidR="0019257C">
          <w:rPr>
            <w:rFonts w:ascii="Open Sans" w:eastAsia="Open Sans" w:hAnsi="Open Sans" w:cs="Open Sans"/>
            <w:b/>
            <w:bCs/>
            <w:color w:val="0000FF"/>
            <w:sz w:val="22"/>
            <w:szCs w:val="22"/>
            <w:u w:val="single"/>
          </w:rPr>
          <w:t>Sala de Prensa</w:t>
        </w:r>
      </w:hyperlink>
    </w:p>
    <w:p w14:paraId="3C24FF4B" w14:textId="77777777" w:rsidR="0019257C" w:rsidRDefault="0019257C">
      <w:pPr>
        <w:spacing w:line="276" w:lineRule="auto"/>
        <w:ind w:right="-426"/>
        <w:jc w:val="right"/>
        <w:rPr>
          <w:rFonts w:ascii="Open Sans Light" w:eastAsia="Open Sans Light" w:hAnsi="Open Sans Light" w:cs="Open Sans Light"/>
          <w:b/>
          <w:bCs/>
          <w:color w:val="303AB2"/>
        </w:rPr>
      </w:pPr>
    </w:p>
    <w:p w14:paraId="7262C253" w14:textId="77777777" w:rsidR="0019257C" w:rsidRDefault="0019257C">
      <w:pPr>
        <w:spacing w:line="276" w:lineRule="auto"/>
        <w:ind w:right="-426"/>
        <w:jc w:val="right"/>
        <w:rPr>
          <w:rFonts w:ascii="Open Sans Light" w:eastAsia="Open Sans Light" w:hAnsi="Open Sans Light" w:cs="Open Sans Light"/>
          <w:b/>
          <w:bCs/>
          <w:color w:val="303AB2"/>
          <w:sz w:val="26"/>
          <w:szCs w:val="26"/>
        </w:rPr>
      </w:pPr>
    </w:p>
    <w:p w14:paraId="51C5E170" w14:textId="77777777" w:rsidR="0019257C" w:rsidRDefault="0019257C">
      <w:pPr>
        <w:spacing w:line="276" w:lineRule="auto"/>
        <w:ind w:right="-426"/>
        <w:jc w:val="right"/>
        <w:rPr>
          <w:rFonts w:ascii="Open Sans Light" w:eastAsia="Open Sans Light" w:hAnsi="Open Sans Light" w:cs="Open Sans Light"/>
          <w:b/>
          <w:bCs/>
          <w:color w:val="303AB2"/>
          <w:sz w:val="26"/>
          <w:szCs w:val="26"/>
        </w:rPr>
      </w:pPr>
    </w:p>
    <w:p w14:paraId="2F66661F" w14:textId="77777777" w:rsidR="0019257C" w:rsidRDefault="00000000">
      <w:pPr>
        <w:spacing w:line="276" w:lineRule="auto"/>
        <w:ind w:right="-426"/>
        <w:jc w:val="right"/>
        <w:rPr>
          <w:rFonts w:ascii="Open Sans Light" w:eastAsia="Open Sans Light" w:hAnsi="Open Sans Light" w:cs="Open Sans Light"/>
          <w:b/>
          <w:bCs/>
          <w:color w:val="303AB2"/>
          <w:sz w:val="26"/>
          <w:szCs w:val="26"/>
        </w:rPr>
      </w:pPr>
      <w:r>
        <w:rPr>
          <w:rFonts w:ascii="Open Sans Light" w:eastAsia="Open Sans Light" w:hAnsi="Open Sans Light" w:cs="Open Sans Light"/>
          <w:b/>
          <w:bCs/>
          <w:color w:val="303AB2"/>
          <w:sz w:val="26"/>
          <w:szCs w:val="26"/>
        </w:rPr>
        <w:lastRenderedPageBreak/>
        <w:t>Sobre Fotocasa Group</w:t>
      </w:r>
    </w:p>
    <w:p w14:paraId="06688457" w14:textId="77777777" w:rsidR="0019257C" w:rsidRDefault="0019257C">
      <w:pPr>
        <w:pBdr>
          <w:top w:val="nil"/>
          <w:left w:val="nil"/>
          <w:bottom w:val="nil"/>
          <w:right w:val="nil"/>
          <w:between w:val="nil"/>
        </w:pBdr>
        <w:shd w:val="clear" w:color="auto" w:fill="FFFFFF"/>
        <w:spacing w:line="276" w:lineRule="auto"/>
        <w:ind w:right="-567"/>
        <w:jc w:val="both"/>
        <w:rPr>
          <w:rFonts w:ascii="Open Sans" w:eastAsia="Open Sans" w:hAnsi="Open Sans" w:cs="Open Sans"/>
          <w:b/>
          <w:bCs/>
          <w:color w:val="000000"/>
          <w:sz w:val="22"/>
          <w:szCs w:val="22"/>
        </w:rPr>
      </w:pPr>
    </w:p>
    <w:p w14:paraId="72A99F3F" w14:textId="77777777" w:rsidR="0019257C" w:rsidRDefault="00000000">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r>
        <w:rPr>
          <w:rFonts w:ascii="Open Sans" w:eastAsia="Open Sans" w:hAnsi="Open Sans" w:cs="Open Sans"/>
          <w:b/>
          <w:bCs/>
          <w:color w:val="000000"/>
          <w:sz w:val="22"/>
          <w:szCs w:val="22"/>
        </w:rPr>
        <w:t>Fotocasa Group</w:t>
      </w:r>
      <w:r>
        <w:rPr>
          <w:rFonts w:ascii="Open Sans" w:eastAsia="Open Sans" w:hAnsi="Open Sans" w:cs="Open Sans"/>
          <w:color w:val="000000"/>
          <w:sz w:val="22"/>
          <w:szCs w:val="22"/>
        </w:rPr>
        <w:t xml:space="preserve"> es un referente del sector inmobiliario en España, </w:t>
      </w:r>
      <w:r>
        <w:rPr>
          <w:rFonts w:ascii="Open Sans" w:eastAsia="Open Sans" w:hAnsi="Open Sans" w:cs="Open Sans"/>
          <w:b/>
          <w:bCs/>
          <w:color w:val="000000"/>
          <w:sz w:val="22"/>
          <w:szCs w:val="22"/>
        </w:rPr>
        <w:t>con más de 25 años de experiencia</w:t>
      </w:r>
      <w:r>
        <w:rPr>
          <w:rFonts w:ascii="Open Sans" w:eastAsia="Open Sans" w:hAnsi="Open Sans" w:cs="Open Sans"/>
          <w:color w:val="000000"/>
          <w:sz w:val="22"/>
          <w:szCs w:val="22"/>
        </w:rPr>
        <w:t> liderando la transformación del real estate a través de la innovación, los datos y la tecnología.</w:t>
      </w:r>
    </w:p>
    <w:p w14:paraId="704F2314" w14:textId="77777777" w:rsidR="0019257C" w:rsidRDefault="0019257C">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p>
    <w:p w14:paraId="2701A563" w14:textId="77777777" w:rsidR="0019257C" w:rsidRDefault="0019257C">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p>
    <w:p w14:paraId="053288D5" w14:textId="77777777" w:rsidR="0019257C" w:rsidRDefault="00000000">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r>
        <w:rPr>
          <w:rFonts w:ascii="Open Sans" w:eastAsia="Open Sans" w:hAnsi="Open Sans" w:cs="Open Sans"/>
          <w:color w:val="000000"/>
          <w:sz w:val="22"/>
          <w:szCs w:val="22"/>
        </w:rPr>
        <w:t>Bajo su marca paraguas, Fotocasa Group impulsa y da visibilidad a un ecosistema de marcas líderes —</w:t>
      </w:r>
      <w:hyperlink r:id="rId15">
        <w:r w:rsidR="0019257C">
          <w:rPr>
            <w:rFonts w:ascii="Open Sans" w:eastAsia="Open Sans" w:hAnsi="Open Sans" w:cs="Open Sans"/>
            <w:b/>
            <w:bCs/>
            <w:color w:val="0000FF"/>
            <w:sz w:val="22"/>
            <w:szCs w:val="22"/>
            <w:u w:val="single"/>
          </w:rPr>
          <w:t>Fotocasa</w:t>
        </w:r>
      </w:hyperlink>
      <w:r>
        <w:rPr>
          <w:rFonts w:ascii="Open Sans" w:eastAsia="Open Sans" w:hAnsi="Open Sans" w:cs="Open Sans"/>
          <w:color w:val="000000"/>
          <w:sz w:val="22"/>
          <w:szCs w:val="22"/>
        </w:rPr>
        <w:t xml:space="preserve">, </w:t>
      </w:r>
      <w:hyperlink r:id="rId16">
        <w:r w:rsidR="0019257C">
          <w:rPr>
            <w:rFonts w:ascii="Open Sans" w:eastAsia="Open Sans" w:hAnsi="Open Sans" w:cs="Open Sans"/>
            <w:b/>
            <w:bCs/>
            <w:color w:val="0000FF"/>
            <w:sz w:val="22"/>
            <w:szCs w:val="22"/>
            <w:u w:val="single"/>
          </w:rPr>
          <w:t>habitaclia</w:t>
        </w:r>
      </w:hyperlink>
      <w:r>
        <w:rPr>
          <w:rFonts w:ascii="Open Sans" w:eastAsia="Open Sans" w:hAnsi="Open Sans" w:cs="Open Sans"/>
          <w:color w:val="000000"/>
          <w:sz w:val="22"/>
          <w:szCs w:val="22"/>
        </w:rPr>
        <w:t xml:space="preserve">, </w:t>
      </w:r>
      <w:hyperlink r:id="rId17">
        <w:r w:rsidR="0019257C">
          <w:rPr>
            <w:rFonts w:ascii="Open Sans" w:eastAsia="Open Sans" w:hAnsi="Open Sans" w:cs="Open Sans"/>
            <w:b/>
            <w:bCs/>
            <w:color w:val="0000FF"/>
            <w:sz w:val="22"/>
            <w:szCs w:val="22"/>
            <w:u w:val="single"/>
          </w:rPr>
          <w:t>Fotocasa Pro</w:t>
        </w:r>
      </w:hyperlink>
      <w:r>
        <w:rPr>
          <w:rFonts w:ascii="Open Sans" w:eastAsia="Open Sans" w:hAnsi="Open Sans" w:cs="Open Sans"/>
          <w:color w:val="000000"/>
          <w:sz w:val="22"/>
          <w:szCs w:val="22"/>
        </w:rPr>
        <w:t xml:space="preserve">, </w:t>
      </w:r>
      <w:hyperlink r:id="rId18">
        <w:r w:rsidR="0019257C">
          <w:rPr>
            <w:rFonts w:ascii="Open Sans" w:eastAsia="Open Sans" w:hAnsi="Open Sans" w:cs="Open Sans"/>
            <w:b/>
            <w:bCs/>
            <w:color w:val="0000FF"/>
            <w:sz w:val="22"/>
            <w:szCs w:val="22"/>
            <w:u w:val="single"/>
          </w:rPr>
          <w:t>Datavenues</w:t>
        </w:r>
      </w:hyperlink>
      <w:r>
        <w:rPr>
          <w:rFonts w:ascii="Open Sans" w:eastAsia="Open Sans" w:hAnsi="Open Sans" w:cs="Open Sans"/>
          <w:color w:val="000000"/>
          <w:sz w:val="22"/>
          <w:szCs w:val="22"/>
        </w:rPr>
        <w:t xml:space="preserve">, </w:t>
      </w:r>
      <w:hyperlink r:id="rId19">
        <w:r w:rsidR="0019257C">
          <w:rPr>
            <w:rFonts w:ascii="Open Sans" w:eastAsia="Open Sans" w:hAnsi="Open Sans" w:cs="Open Sans"/>
            <w:b/>
            <w:bCs/>
            <w:color w:val="0000FF"/>
            <w:sz w:val="22"/>
            <w:szCs w:val="22"/>
            <w:u w:val="single"/>
          </w:rPr>
          <w:t>Witei</w:t>
        </w:r>
      </w:hyperlink>
      <w:r>
        <w:rPr>
          <w:rFonts w:ascii="Open Sans" w:eastAsia="Open Sans" w:hAnsi="Open Sans" w:cs="Open Sans"/>
          <w:color w:val="000000"/>
          <w:sz w:val="22"/>
          <w:szCs w:val="22"/>
        </w:rPr>
        <w:t xml:space="preserve"> e </w:t>
      </w:r>
      <w:hyperlink r:id="rId20">
        <w:r w:rsidR="0019257C">
          <w:rPr>
            <w:rFonts w:ascii="Open Sans" w:eastAsia="Open Sans" w:hAnsi="Open Sans" w:cs="Open Sans"/>
            <w:b/>
            <w:bCs/>
            <w:color w:val="0000FF"/>
            <w:sz w:val="22"/>
            <w:szCs w:val="22"/>
            <w:u w:val="single"/>
          </w:rPr>
          <w:t>Inmoweb</w:t>
        </w:r>
      </w:hyperlink>
      <w:r>
        <w:rPr>
          <w:rFonts w:ascii="Open Sans" w:eastAsia="Open Sans" w:hAnsi="Open Sans" w:cs="Open Sans"/>
          <w:color w:val="000000"/>
          <w:sz w:val="22"/>
          <w:szCs w:val="22"/>
        </w:rPr>
        <w:t xml:space="preserve">— que ofrecen soluciones integrales tanto </w:t>
      </w:r>
      <w:r>
        <w:rPr>
          <w:rFonts w:ascii="Open Sans" w:eastAsia="Open Sans" w:hAnsi="Open Sans" w:cs="Open Sans"/>
          <w:b/>
          <w:bCs/>
          <w:color w:val="000000"/>
          <w:sz w:val="22"/>
          <w:szCs w:val="22"/>
        </w:rPr>
        <w:t>para particulares como para profesionales del sector</w:t>
      </w:r>
      <w:r>
        <w:rPr>
          <w:rFonts w:ascii="Open Sans" w:eastAsia="Open Sans" w:hAnsi="Open Sans" w:cs="Open Sans"/>
          <w:color w:val="000000"/>
          <w:sz w:val="22"/>
          <w:szCs w:val="22"/>
        </w:rPr>
        <w:t>.</w:t>
      </w:r>
    </w:p>
    <w:p w14:paraId="7EB7F9E3" w14:textId="77777777" w:rsidR="0019257C" w:rsidRDefault="0019257C">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p>
    <w:p w14:paraId="72FA879A" w14:textId="77777777" w:rsidR="0019257C" w:rsidRDefault="00000000">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r>
        <w:rPr>
          <w:rFonts w:ascii="Open Sans" w:eastAsia="Open Sans" w:hAnsi="Open Sans" w:cs="Open Sans"/>
          <w:b/>
          <w:bCs/>
          <w:color w:val="000000"/>
          <w:sz w:val="22"/>
          <w:szCs w:val="22"/>
        </w:rPr>
        <w:t>Fotocasa</w:t>
      </w:r>
      <w:r>
        <w:rPr>
          <w:rFonts w:ascii="Open Sans" w:eastAsia="Open Sans" w:hAnsi="Open Sans" w:cs="Open Sans"/>
          <w:color w:val="000000"/>
          <w:sz w:val="22"/>
          <w:szCs w:val="22"/>
        </w:rPr>
        <w:t>, la marca insignia del grupo, conecta cada día a </w:t>
      </w:r>
      <w:r>
        <w:rPr>
          <w:rFonts w:ascii="Open Sans" w:eastAsia="Open Sans" w:hAnsi="Open Sans" w:cs="Open Sans"/>
          <w:b/>
          <w:bCs/>
          <w:color w:val="000000"/>
          <w:sz w:val="22"/>
          <w:szCs w:val="22"/>
        </w:rPr>
        <w:t>millones de personas con su próximo hogar</w:t>
      </w:r>
      <w:r>
        <w:rPr>
          <w:rFonts w:ascii="Open Sans" w:eastAsia="Open Sans" w:hAnsi="Open Sans" w:cs="Open Sans"/>
          <w:color w:val="000000"/>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color w:val="000000"/>
          <w:sz w:val="22"/>
          <w:szCs w:val="22"/>
        </w:rPr>
        <w:t>referente del mercado inmobiliario</w:t>
      </w:r>
      <w:r>
        <w:rPr>
          <w:rFonts w:ascii="Open Sans" w:eastAsia="Open Sans" w:hAnsi="Open Sans" w:cs="Open Sans"/>
          <w:color w:val="000000"/>
          <w:sz w:val="22"/>
          <w:szCs w:val="22"/>
        </w:rPr>
        <w:t>.</w:t>
      </w:r>
    </w:p>
    <w:p w14:paraId="10310ED1" w14:textId="77777777" w:rsidR="0019257C" w:rsidRDefault="0019257C">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p>
    <w:p w14:paraId="451222BF" w14:textId="77777777" w:rsidR="0019257C" w:rsidRDefault="00000000">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r>
        <w:rPr>
          <w:rFonts w:ascii="Open Sans" w:eastAsia="Open Sans" w:hAnsi="Open Sans" w:cs="Open Sans"/>
          <w:color w:val="000000"/>
          <w:sz w:val="22"/>
          <w:szCs w:val="22"/>
        </w:rPr>
        <w:t>En Fotocasa Group, </w:t>
      </w:r>
      <w:r>
        <w:rPr>
          <w:rFonts w:ascii="Open Sans" w:eastAsia="Open Sans" w:hAnsi="Open Sans" w:cs="Open Sans"/>
          <w:b/>
          <w:bCs/>
          <w:color w:val="000000"/>
          <w:sz w:val="22"/>
          <w:szCs w:val="22"/>
        </w:rPr>
        <w:t>unimos personas y propiedades</w:t>
      </w:r>
      <w:r>
        <w:rPr>
          <w:rFonts w:ascii="Open Sans" w:eastAsia="Open Sans" w:hAnsi="Open Sans" w:cs="Open Sans"/>
          <w:color w:val="000000"/>
          <w:sz w:val="22"/>
          <w:szCs w:val="22"/>
        </w:rPr>
        <w:t> a través de una plataforma inteligente, diseñada para hacer que </w:t>
      </w:r>
      <w:r>
        <w:rPr>
          <w:rFonts w:ascii="Open Sans" w:eastAsia="Open Sans" w:hAnsi="Open Sans" w:cs="Open Sans"/>
          <w:b/>
          <w:bCs/>
          <w:color w:val="000000"/>
          <w:sz w:val="22"/>
          <w:szCs w:val="22"/>
        </w:rPr>
        <w:t>buscar, comprar o alquilar vivienda</w:t>
      </w:r>
      <w:r>
        <w:rPr>
          <w:rFonts w:ascii="Open Sans" w:eastAsia="Open Sans" w:hAnsi="Open Sans" w:cs="Open Sans"/>
          <w:color w:val="000000"/>
          <w:sz w:val="22"/>
          <w:szCs w:val="22"/>
        </w:rPr>
        <w:t> sea una experiencia más fácil, transparente y eficiente.</w:t>
      </w:r>
    </w:p>
    <w:p w14:paraId="63CBC36A" w14:textId="77777777" w:rsidR="0019257C" w:rsidRDefault="0019257C">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p>
    <w:p w14:paraId="1B14A508" w14:textId="77777777" w:rsidR="0019257C" w:rsidRDefault="00000000">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r>
        <w:rPr>
          <w:rFonts w:ascii="Open Sans" w:eastAsia="Open Sans" w:hAnsi="Open Sans" w:cs="Open Sans"/>
          <w:color w:val="000000"/>
          <w:sz w:val="22"/>
          <w:szCs w:val="22"/>
        </w:rPr>
        <w:t>Nuestra visión es clara</w:t>
      </w:r>
      <w:r>
        <w:rPr>
          <w:rFonts w:ascii="Open Sans" w:eastAsia="Open Sans" w:hAnsi="Open Sans" w:cs="Open Sans"/>
          <w:b/>
          <w:bCs/>
          <w:color w:val="000000"/>
          <w:sz w:val="22"/>
          <w:szCs w:val="22"/>
        </w:rPr>
        <w:t>: ser el lugar donde tu nuevo hogar te encuentra</w:t>
      </w:r>
      <w:r>
        <w:rPr>
          <w:rFonts w:ascii="Open Sans" w:eastAsia="Open Sans" w:hAnsi="Open Sans" w:cs="Open Sans"/>
          <w:color w:val="000000"/>
          <w:sz w:val="22"/>
          <w:szCs w:val="22"/>
        </w:rPr>
        <w:t>.</w:t>
      </w:r>
    </w:p>
    <w:p w14:paraId="020BF07D" w14:textId="77777777" w:rsidR="0019257C" w:rsidRDefault="0019257C">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p>
    <w:p w14:paraId="1F1590F4" w14:textId="77777777" w:rsidR="0019257C" w:rsidRDefault="0019257C">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p>
    <w:p w14:paraId="19669432" w14:textId="77777777" w:rsidR="0019257C" w:rsidRDefault="00000000">
      <w:pPr>
        <w:pBdr>
          <w:top w:val="nil"/>
          <w:left w:val="nil"/>
          <w:bottom w:val="nil"/>
          <w:right w:val="nil"/>
          <w:between w:val="nil"/>
        </w:pBdr>
        <w:rPr>
          <w:rFonts w:ascii="Open Sans Light" w:eastAsia="Open Sans Light" w:hAnsi="Open Sans Light" w:cs="Open Sans Light"/>
          <w:b/>
          <w:bCs/>
          <w:color w:val="303AB2"/>
        </w:rPr>
      </w:pPr>
      <w:r>
        <w:rPr>
          <w:rFonts w:ascii="Open Sans Light" w:eastAsia="Open Sans Light" w:hAnsi="Open Sans Light" w:cs="Open Sans Light"/>
          <w:b/>
          <w:bCs/>
          <w:color w:val="303AB2"/>
        </w:rPr>
        <w:t>Departamento Comunicación Fotocasa Group</w:t>
      </w:r>
    </w:p>
    <w:p w14:paraId="0F500B72" w14:textId="77777777" w:rsidR="0019257C" w:rsidRDefault="0019257C">
      <w:pPr>
        <w:shd w:val="clear" w:color="auto" w:fill="FFFFFF"/>
        <w:spacing w:line="276" w:lineRule="auto"/>
        <w:rPr>
          <w:rFonts w:ascii="Open Sans" w:eastAsia="Open Sans" w:hAnsi="Open Sans" w:cs="Open Sans"/>
          <w:b/>
          <w:bCs/>
          <w:color w:val="000000"/>
          <w:sz w:val="22"/>
          <w:szCs w:val="22"/>
        </w:rPr>
      </w:pPr>
    </w:p>
    <w:p w14:paraId="0CD3E09F" w14:textId="77777777" w:rsidR="0019257C" w:rsidRDefault="00000000">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López</w:t>
      </w:r>
    </w:p>
    <w:p w14:paraId="375CDCD3" w14:textId="77777777" w:rsidR="0019257C" w:rsidRDefault="0019257C">
      <w:pPr>
        <w:pBdr>
          <w:top w:val="nil"/>
          <w:left w:val="nil"/>
          <w:bottom w:val="nil"/>
          <w:right w:val="nil"/>
          <w:between w:val="nil"/>
        </w:pBdr>
        <w:rPr>
          <w:rFonts w:ascii="Open Sans" w:eastAsia="Open Sans" w:hAnsi="Open Sans" w:cs="Open Sans"/>
          <w:color w:val="000000"/>
          <w:u w:val="single"/>
        </w:rPr>
      </w:pPr>
      <w:hyperlink r:id="rId21">
        <w:r>
          <w:rPr>
            <w:rFonts w:ascii="Open Sans" w:eastAsia="Open Sans" w:hAnsi="Open Sans" w:cs="Open Sans"/>
            <w:color w:val="0000FF"/>
            <w:sz w:val="22"/>
            <w:szCs w:val="22"/>
            <w:u w:val="single"/>
          </w:rPr>
          <w:t>comunicacion@fotocasa.es</w:t>
        </w:r>
      </w:hyperlink>
    </w:p>
    <w:p w14:paraId="009052D0" w14:textId="77777777" w:rsidR="0019257C" w:rsidRDefault="00000000">
      <w:pPr>
        <w:pBdr>
          <w:top w:val="nil"/>
          <w:left w:val="nil"/>
          <w:bottom w:val="nil"/>
          <w:right w:val="nil"/>
          <w:between w:val="nil"/>
        </w:pBdr>
        <w:rPr>
          <w:rFonts w:ascii="Open Sans" w:eastAsia="Open Sans" w:hAnsi="Open Sans" w:cs="Open Sans"/>
          <w:color w:val="000000"/>
        </w:rPr>
      </w:pPr>
      <w:r>
        <w:rPr>
          <w:rFonts w:ascii="Open Sans" w:eastAsia="Open Sans" w:hAnsi="Open Sans" w:cs="Open Sans"/>
          <w:color w:val="000000"/>
        </w:rPr>
        <w:t>620 66 29 26</w:t>
      </w:r>
    </w:p>
    <w:p w14:paraId="3BC5A5F7" w14:textId="77777777" w:rsidR="0019257C" w:rsidRDefault="0019257C">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p>
    <w:p w14:paraId="287CDB9C" w14:textId="77777777" w:rsidR="0019257C" w:rsidRDefault="0019257C">
      <w:pPr>
        <w:pBdr>
          <w:top w:val="nil"/>
          <w:left w:val="nil"/>
          <w:bottom w:val="nil"/>
          <w:right w:val="nil"/>
          <w:between w:val="nil"/>
        </w:pBdr>
        <w:shd w:val="clear" w:color="auto" w:fill="FFFFFF"/>
        <w:spacing w:line="276" w:lineRule="auto"/>
        <w:ind w:right="-567"/>
        <w:jc w:val="both"/>
        <w:rPr>
          <w:rFonts w:ascii="Open Sans" w:eastAsia="Open Sans" w:hAnsi="Open Sans" w:cs="Open Sans"/>
          <w:color w:val="000000"/>
          <w:sz w:val="22"/>
          <w:szCs w:val="22"/>
        </w:rPr>
      </w:pPr>
    </w:p>
    <w:p w14:paraId="5901BDAC" w14:textId="77777777" w:rsidR="0019257C" w:rsidRDefault="0019257C">
      <w:pPr>
        <w:spacing w:line="276" w:lineRule="auto"/>
        <w:ind w:right="-426"/>
        <w:jc w:val="right"/>
        <w:rPr>
          <w:rFonts w:ascii="Open Sans" w:eastAsia="Open Sans" w:hAnsi="Open Sans" w:cs="Open Sans"/>
          <w:color w:val="000000"/>
          <w:sz w:val="22"/>
          <w:szCs w:val="22"/>
        </w:rPr>
      </w:pPr>
    </w:p>
    <w:sectPr w:rsidR="0019257C">
      <w:footerReference w:type="default" r:id="rId22"/>
      <w:pgSz w:w="11900" w:h="16840"/>
      <w:pgMar w:top="1417" w:right="1694"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E383B" w14:textId="77777777" w:rsidR="000E0BAF" w:rsidRDefault="000E0BAF">
      <w:r>
        <w:separator/>
      </w:r>
    </w:p>
  </w:endnote>
  <w:endnote w:type="continuationSeparator" w:id="0">
    <w:p w14:paraId="19FF84A4" w14:textId="77777777" w:rsidR="000E0BAF" w:rsidRDefault="000E0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A98F194-1595-4A26-BDEC-65E3411257E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70A532E-9B9E-4779-BD21-03FDE13DEA90}"/>
    <w:embedBold r:id="rId3" w:fontKey="{CD009C27-13AE-40DD-BC90-59C848B1376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886EBE02-37D5-4336-8767-B0709C348E6B}"/>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5" w:fontKey="{97344501-BDB3-4DA2-B3BC-A8020C5590EC}"/>
    <w:embedBold r:id="rId6" w:fontKey="{22FCDD3F-1326-476A-A0B7-30DBF7E41D44}"/>
  </w:font>
  <w:font w:name="Open Sans Light">
    <w:charset w:val="00"/>
    <w:family w:val="swiss"/>
    <w:pitch w:val="variable"/>
    <w:sig w:usb0="E00002EF" w:usb1="4000205B" w:usb2="00000028" w:usb3="00000000" w:csb0="0000019F" w:csb1="00000000"/>
    <w:embedBold r:id="rId7" w:fontKey="{584B59EC-97DA-4BDC-969C-9CF64706A98B}"/>
  </w:font>
  <w:font w:name="Calibri Light">
    <w:panose1 w:val="020F0302020204030204"/>
    <w:charset w:val="00"/>
    <w:family w:val="swiss"/>
    <w:pitch w:val="variable"/>
    <w:sig w:usb0="E4002EFF" w:usb1="C200247B" w:usb2="00000009" w:usb3="00000000" w:csb0="000001FF" w:csb1="00000000"/>
    <w:embedRegular r:id="rId8" w:fontKey="{009BB64E-0807-4C73-A337-5612CB7B85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7603E" w14:textId="77777777" w:rsidR="0019257C"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4AF7C95" wp14:editId="6B4B3FCF">
          <wp:simplePos x="0" y="0"/>
          <wp:positionH relativeFrom="column">
            <wp:posOffset>-1068068</wp:posOffset>
          </wp:positionH>
          <wp:positionV relativeFrom="paragraph">
            <wp:posOffset>174608</wp:posOffset>
          </wp:positionV>
          <wp:extent cx="7670550" cy="451315"/>
          <wp:effectExtent l="0" t="0" r="0" b="0"/>
          <wp:wrapNone/>
          <wp:docPr id="17995439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94E90" w14:textId="77777777" w:rsidR="000E0BAF" w:rsidRDefault="000E0BAF">
      <w:r>
        <w:separator/>
      </w:r>
    </w:p>
  </w:footnote>
  <w:footnote w:type="continuationSeparator" w:id="0">
    <w:p w14:paraId="6D96551A" w14:textId="77777777" w:rsidR="000E0BAF" w:rsidRDefault="000E0B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020B93"/>
    <w:multiLevelType w:val="multilevel"/>
    <w:tmpl w:val="F77E6808"/>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21140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57C"/>
    <w:rsid w:val="000E0BAF"/>
    <w:rsid w:val="00164F30"/>
    <w:rsid w:val="0019257C"/>
    <w:rsid w:val="00792532"/>
    <w:rsid w:val="00815B43"/>
    <w:rsid w:val="00DB4BE2"/>
    <w:rsid w:val="00EA17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FBD84"/>
  <w15:docId w15:val="{A4A2BB8D-B8B0-49FF-A07F-F131CDBB1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ipervnculovisitado">
    <w:name w:val="FollowedHyperlink"/>
    <w:basedOn w:val="Fuentedeprrafopredeter"/>
    <w:uiPriority w:val="99"/>
    <w:semiHidden/>
    <w:unhideWhenUsed/>
    <w:rsid w:val="00C06719"/>
    <w:rPr>
      <w:color w:val="954F72" w:themeColor="followedHyperlink"/>
      <w:u w:val="single"/>
    </w:rPr>
  </w:style>
  <w:style w:type="character" w:customStyle="1" w:styleId="m6445620330082090912gmail-msohyperlink">
    <w:name w:val="m_6445620330082090912gmail-msohyperlink"/>
    <w:basedOn w:val="Fuentedeprrafopredeter"/>
    <w:rsid w:val="003E5965"/>
  </w:style>
  <w:style w:type="character" w:styleId="Refdecomentario">
    <w:name w:val="annotation reference"/>
    <w:basedOn w:val="Fuentedeprrafopredeter"/>
    <w:uiPriority w:val="99"/>
    <w:semiHidden/>
    <w:unhideWhenUsed/>
    <w:rsid w:val="00724D15"/>
    <w:rPr>
      <w:sz w:val="16"/>
      <w:szCs w:val="16"/>
    </w:rPr>
  </w:style>
  <w:style w:type="paragraph" w:styleId="Textocomentario">
    <w:name w:val="annotation text"/>
    <w:basedOn w:val="Normal"/>
    <w:link w:val="TextocomentarioCar"/>
    <w:uiPriority w:val="99"/>
    <w:semiHidden/>
    <w:unhideWhenUsed/>
    <w:rsid w:val="00724D15"/>
    <w:rPr>
      <w:sz w:val="20"/>
      <w:szCs w:val="20"/>
    </w:rPr>
  </w:style>
  <w:style w:type="character" w:customStyle="1" w:styleId="TextocomentarioCar">
    <w:name w:val="Texto comentario Car"/>
    <w:basedOn w:val="Fuentedeprrafopredeter"/>
    <w:link w:val="Textocomentario"/>
    <w:uiPriority w:val="99"/>
    <w:semiHidden/>
    <w:rsid w:val="00724D15"/>
    <w:rPr>
      <w:sz w:val="20"/>
      <w:szCs w:val="20"/>
    </w:rPr>
  </w:style>
  <w:style w:type="paragraph" w:styleId="Asuntodelcomentario">
    <w:name w:val="annotation subject"/>
    <w:basedOn w:val="Textocomentario"/>
    <w:next w:val="Textocomentario"/>
    <w:link w:val="AsuntodelcomentarioCar"/>
    <w:uiPriority w:val="99"/>
    <w:semiHidden/>
    <w:unhideWhenUsed/>
    <w:rsid w:val="00724D15"/>
    <w:rPr>
      <w:b/>
      <w:bCs/>
    </w:rPr>
  </w:style>
  <w:style w:type="character" w:customStyle="1" w:styleId="AsuntodelcomentarioCar">
    <w:name w:val="Asunto del comentario Car"/>
    <w:basedOn w:val="TextocomentarioCar"/>
    <w:link w:val="Asuntodelcomentario"/>
    <w:uiPriority w:val="99"/>
    <w:semiHidden/>
    <w:rsid w:val="00724D15"/>
    <w:rPr>
      <w:b/>
      <w:bCs/>
      <w:sz w:val="20"/>
      <w:szCs w:val="20"/>
    </w:rPr>
  </w:style>
  <w:style w:type="character" w:styleId="Mencinsinresolver">
    <w:name w:val="Unresolved Mention"/>
    <w:basedOn w:val="Fuentedeprrafopredeter"/>
    <w:uiPriority w:val="99"/>
    <w:semiHidden/>
    <w:unhideWhenUsed/>
    <w:rsid w:val="003D3C57"/>
    <w:rPr>
      <w:color w:val="605E5C"/>
      <w:shd w:val="clear" w:color="auto" w:fill="E1DFDD"/>
    </w:rPr>
  </w:style>
  <w:style w:type="paragraph" w:styleId="Sinespaciado">
    <w:name w:val="No Spacing"/>
    <w:uiPriority w:val="1"/>
    <w:qFormat/>
    <w:rsid w:val="002572D7"/>
  </w:style>
  <w:style w:type="table" w:customStyle="1" w:styleId="a">
    <w:basedOn w:val="TableNormal0"/>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0"/>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0"/>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0"/>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0"/>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0"/>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search.fotocasa.es" TargetMode="External"/><Relationship Id="rId18" Type="http://schemas.openxmlformats.org/officeDocument/2006/relationships/hyperlink" Target="https://datavenues.com/"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profesionales.fotocasa.es/" TargetMode="Externa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s://www.inmoweb.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tocasa.es" TargetMode="Externa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https://get.witei.com/en/"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prensa.fotocasa.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I:\Mi%20unidad\01-SCHIBSTED\03-NOTAS%20DE%20PRENSA\02-ALQUILER\2025\10-OCTUBRE\PRENSA%20ALQUILER%20OCTUBRE%20M&#193;XIMOS%2020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[PRENSA ALQUILER OCTUBRE MÁXIMOS 2025.xlsx]Hoja6!TablaDinámica5</c:name>
    <c:fmtId val="-1"/>
  </c:pivotSource>
  <c:chart>
    <c:autoTitleDeleted val="1"/>
    <c:pivotFmts>
      <c:pivotFmt>
        <c:idx val="0"/>
        <c:spPr>
          <a:solidFill>
            <a:schemeClr val="accent1"/>
          </a:solidFill>
          <a:ln w="38100" cap="flat" cmpd="dbl" algn="ctr">
            <a:solidFill>
              <a:schemeClr val="accent1"/>
            </a:solidFill>
            <a:miter lim="800000"/>
          </a:ln>
          <a:effectLst/>
        </c:spPr>
        <c:marker>
          <c:spPr>
            <a:solidFill>
              <a:schemeClr val="accent1"/>
            </a:solidFill>
            <a:ln w="9525" cap="flat" cmpd="sng" algn="ctr">
              <a:solidFill>
                <a:schemeClr val="lt1"/>
              </a:solidFill>
              <a:round/>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38100" cap="flat" cmpd="dbl" algn="ctr">
            <a:solidFill>
              <a:schemeClr val="accent1"/>
            </a:solidFill>
            <a:miter lim="800000"/>
          </a:ln>
          <a:effectLst/>
        </c:spPr>
        <c:marker>
          <c:symbol val="circle"/>
          <c:size val="6"/>
          <c:spPr>
            <a:solidFill>
              <a:schemeClr val="accent1"/>
            </a:solidFill>
            <a:ln w="9525" cap="flat" cmpd="sng" algn="ctr">
              <a:solidFill>
                <a:schemeClr val="lt1"/>
              </a:solidFill>
              <a:round/>
            </a:ln>
            <a:effectLst/>
          </c:spPr>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38100" cap="flat" cmpd="dbl" algn="ctr">
            <a:solidFill>
              <a:schemeClr val="accent1"/>
            </a:solidFill>
            <a:miter lim="800000"/>
          </a:ln>
          <a:effectLst/>
        </c:spPr>
        <c:marker>
          <c:symbol val="circle"/>
          <c:size val="6"/>
          <c:spPr>
            <a:solidFill>
              <a:schemeClr val="accent1"/>
            </a:solidFill>
            <a:ln w="9525" cap="flat" cmpd="sng" algn="ctr">
              <a:solidFill>
                <a:schemeClr val="lt1"/>
              </a:solidFill>
              <a:round/>
            </a:ln>
            <a:effectLst/>
          </c:spPr>
        </c:marker>
      </c:pivotFmt>
      <c:pivotFmt>
        <c:idx val="3"/>
        <c:spPr>
          <a:solidFill>
            <a:schemeClr val="accent1"/>
          </a:solidFill>
          <a:ln w="38100" cap="flat" cmpd="dbl" algn="ctr">
            <a:solidFill>
              <a:schemeClr val="accent1"/>
            </a:solidFill>
            <a:miter lim="800000"/>
          </a:ln>
          <a:effectLst/>
        </c:spPr>
        <c:marker>
          <c:symbol val="circle"/>
          <c:size val="6"/>
          <c:spPr>
            <a:solidFill>
              <a:schemeClr val="accent1"/>
            </a:solidFill>
            <a:ln w="9525" cap="flat" cmpd="sng" algn="ctr">
              <a:solidFill>
                <a:schemeClr val="lt1"/>
              </a:solidFill>
              <a:round/>
            </a:ln>
            <a:effectLst/>
          </c:spPr>
        </c:marker>
        <c:dLbl>
          <c:idx val="0"/>
          <c:layout>
            <c:manualLayout>
              <c:x val="-1.7788938585860753E-2"/>
              <c:y val="-5.535561567006677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w="38100" cap="flat" cmpd="dbl" algn="ctr">
            <a:solidFill>
              <a:schemeClr val="accent1"/>
            </a:solidFill>
            <a:miter lim="800000"/>
          </a:ln>
          <a:effectLst/>
        </c:spPr>
        <c:marker>
          <c:symbol val="circle"/>
          <c:size val="6"/>
          <c:spPr>
            <a:solidFill>
              <a:schemeClr val="accent1"/>
            </a:solidFill>
            <a:ln w="9525" cap="flat" cmpd="sng" algn="ctr">
              <a:solidFill>
                <a:schemeClr val="lt1"/>
              </a:solidFill>
              <a:round/>
            </a:ln>
            <a:effectLst/>
          </c:spPr>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38100" cap="flat" cmpd="dbl" algn="ctr">
            <a:solidFill>
              <a:schemeClr val="accent1"/>
            </a:solidFill>
            <a:miter lim="800000"/>
          </a:ln>
          <a:effectLst/>
        </c:spPr>
        <c:marker>
          <c:symbol val="circle"/>
          <c:size val="6"/>
          <c:spPr>
            <a:solidFill>
              <a:schemeClr val="accent1"/>
            </a:solidFill>
            <a:ln w="9525" cap="flat" cmpd="sng" algn="ctr">
              <a:solidFill>
                <a:schemeClr val="lt1"/>
              </a:solidFill>
              <a:round/>
            </a:ln>
            <a:effectLst/>
          </c:spPr>
        </c:marker>
        <c:dLbl>
          <c:idx val="0"/>
          <c:layout>
            <c:manualLayout>
              <c:x val="-1.7788938585860753E-2"/>
              <c:y val="-5.535561567006677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38100" cap="flat" cmpd="dbl" algn="ctr">
            <a:solidFill>
              <a:schemeClr val="accent1"/>
            </a:solidFill>
            <a:miter lim="800000"/>
          </a:ln>
          <a:effectLst/>
        </c:spPr>
        <c:marker>
          <c:symbol val="circle"/>
          <c:size val="6"/>
          <c:spPr>
            <a:solidFill>
              <a:schemeClr val="accent1"/>
            </a:solidFill>
            <a:ln w="9525" cap="flat" cmpd="sng" algn="ctr">
              <a:solidFill>
                <a:schemeClr val="lt1"/>
              </a:solidFill>
              <a:round/>
            </a:ln>
            <a:effectLst/>
          </c:spPr>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38100" cap="flat" cmpd="dbl" algn="ctr">
            <a:solidFill>
              <a:schemeClr val="accent1"/>
            </a:solidFill>
            <a:miter lim="800000"/>
          </a:ln>
          <a:effectLst/>
        </c:spPr>
        <c:marker>
          <c:symbol val="circle"/>
          <c:size val="6"/>
          <c:spPr>
            <a:solidFill>
              <a:schemeClr val="accent1"/>
            </a:solidFill>
            <a:ln w="9525" cap="flat" cmpd="sng" algn="ctr">
              <a:solidFill>
                <a:schemeClr val="lt1"/>
              </a:solidFill>
              <a:round/>
            </a:ln>
            <a:effectLst/>
          </c:spPr>
        </c:marker>
        <c:dLbl>
          <c:idx val="0"/>
          <c:layout>
            <c:manualLayout>
              <c:x val="-1.7788938585860753E-2"/>
              <c:y val="-5.535561567006677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7.8416952365891648E-2"/>
          <c:y val="5.7413156253640615E-2"/>
          <c:w val="0.88280056609757807"/>
          <c:h val="0.64837448864478042"/>
        </c:manualLayout>
      </c:layout>
      <c:lineChart>
        <c:grouping val="standard"/>
        <c:varyColors val="0"/>
        <c:ser>
          <c:idx val="0"/>
          <c:order val="0"/>
          <c:tx>
            <c:strRef>
              <c:f>Hoja6!$D$276</c:f>
              <c:strCache>
                <c:ptCount val="1"/>
                <c:pt idx="0">
                  <c:v>Total</c:v>
                </c:pt>
              </c:strCache>
            </c:strRef>
          </c:tx>
          <c:spPr>
            <a:ln w="38100" cap="flat" cmpd="dbl" algn="ctr">
              <a:solidFill>
                <a:schemeClr val="accent1"/>
              </a:solidFill>
              <a:miter lim="800000"/>
            </a:ln>
            <a:effectLst/>
          </c:spPr>
          <c:marker>
            <c:symbol val="circle"/>
            <c:size val="6"/>
            <c:spPr>
              <a:solidFill>
                <a:schemeClr val="accent1"/>
              </a:solidFill>
              <a:ln w="9525" cap="flat" cmpd="sng" algn="ctr">
                <a:solidFill>
                  <a:schemeClr val="lt1"/>
                </a:solidFill>
                <a:round/>
              </a:ln>
              <a:effectLst/>
            </c:spPr>
          </c:marker>
          <c:dPt>
            <c:idx val="28"/>
            <c:marker>
              <c:symbol val="circle"/>
              <c:size val="6"/>
              <c:spPr>
                <a:solidFill>
                  <a:srgbClr val="FFC000"/>
                </a:solidFill>
                <a:ln w="9525" cap="flat" cmpd="sng" algn="ctr">
                  <a:solidFill>
                    <a:schemeClr val="lt1"/>
                  </a:solidFill>
                  <a:round/>
                </a:ln>
                <a:effectLst/>
              </c:spPr>
            </c:marker>
            <c:bubble3D val="0"/>
            <c:extLst>
              <c:ext xmlns:c16="http://schemas.microsoft.com/office/drawing/2014/chart" uri="{C3380CC4-5D6E-409C-BE32-E72D297353CC}">
                <c16:uniqueId val="{00000005-E3AB-4A03-B3A7-DB5A03D31B18}"/>
              </c:ext>
            </c:extLst>
          </c:dPt>
          <c:dPt>
            <c:idx val="29"/>
            <c:marker>
              <c:symbol val="circle"/>
              <c:size val="6"/>
              <c:spPr>
                <a:solidFill>
                  <a:srgbClr val="FFC000"/>
                </a:solidFill>
                <a:ln w="9525" cap="flat" cmpd="sng" algn="ctr">
                  <a:solidFill>
                    <a:schemeClr val="lt1"/>
                  </a:solidFill>
                  <a:round/>
                </a:ln>
                <a:effectLst/>
              </c:spPr>
            </c:marker>
            <c:bubble3D val="0"/>
            <c:extLst>
              <c:ext xmlns:c16="http://schemas.microsoft.com/office/drawing/2014/chart" uri="{C3380CC4-5D6E-409C-BE32-E72D297353CC}">
                <c16:uniqueId val="{00000003-E3AB-4A03-B3A7-DB5A03D31B18}"/>
              </c:ext>
            </c:extLst>
          </c:dPt>
          <c:dPt>
            <c:idx val="30"/>
            <c:marker>
              <c:symbol val="circle"/>
              <c:size val="6"/>
              <c:spPr>
                <a:solidFill>
                  <a:srgbClr val="FFC000"/>
                </a:solidFill>
                <a:ln w="9525" cap="flat" cmpd="sng" algn="ctr">
                  <a:solidFill>
                    <a:schemeClr val="lt1"/>
                  </a:solidFill>
                  <a:round/>
                </a:ln>
                <a:effectLst/>
              </c:spPr>
            </c:marker>
            <c:bubble3D val="0"/>
            <c:extLst>
              <c:ext xmlns:c16="http://schemas.microsoft.com/office/drawing/2014/chart" uri="{C3380CC4-5D6E-409C-BE32-E72D297353CC}">
                <c16:uniqueId val="{00000004-E3AB-4A03-B3A7-DB5A03D31B18}"/>
              </c:ext>
            </c:extLst>
          </c:dPt>
          <c:dPt>
            <c:idx val="36"/>
            <c:marker>
              <c:symbol val="circle"/>
              <c:size val="6"/>
              <c:spPr>
                <a:solidFill>
                  <a:srgbClr val="FFC000"/>
                </a:solidFill>
                <a:ln w="9525" cap="flat" cmpd="sng" algn="ctr">
                  <a:solidFill>
                    <a:schemeClr val="lt1"/>
                  </a:solidFill>
                  <a:round/>
                </a:ln>
                <a:effectLst/>
              </c:spPr>
            </c:marker>
            <c:bubble3D val="0"/>
            <c:extLst>
              <c:ext xmlns:c16="http://schemas.microsoft.com/office/drawing/2014/chart" uri="{C3380CC4-5D6E-409C-BE32-E72D297353CC}">
                <c16:uniqueId val="{00000006-E3AB-4A03-B3A7-DB5A03D31B18}"/>
              </c:ext>
            </c:extLst>
          </c:dPt>
          <c:dPt>
            <c:idx val="37"/>
            <c:marker>
              <c:symbol val="circle"/>
              <c:size val="6"/>
              <c:spPr>
                <a:solidFill>
                  <a:srgbClr val="FFC000"/>
                </a:solidFill>
                <a:ln w="9525" cap="flat" cmpd="sng" algn="ctr">
                  <a:solidFill>
                    <a:schemeClr val="lt1"/>
                  </a:solidFill>
                  <a:round/>
                </a:ln>
                <a:effectLst/>
              </c:spPr>
            </c:marker>
            <c:bubble3D val="0"/>
            <c:extLst>
              <c:ext xmlns:c16="http://schemas.microsoft.com/office/drawing/2014/chart" uri="{C3380CC4-5D6E-409C-BE32-E72D297353CC}">
                <c16:uniqueId val="{00000007-E3AB-4A03-B3A7-DB5A03D31B18}"/>
              </c:ext>
            </c:extLst>
          </c:dPt>
          <c:dPt>
            <c:idx val="38"/>
            <c:marker>
              <c:symbol val="circle"/>
              <c:size val="6"/>
              <c:spPr>
                <a:solidFill>
                  <a:srgbClr val="FFC000"/>
                </a:solidFill>
                <a:ln w="9525" cap="flat" cmpd="sng" algn="ctr">
                  <a:solidFill>
                    <a:schemeClr val="lt1"/>
                  </a:solidFill>
                  <a:round/>
                </a:ln>
                <a:effectLst/>
              </c:spPr>
            </c:marker>
            <c:bubble3D val="0"/>
            <c:extLst>
              <c:ext xmlns:c16="http://schemas.microsoft.com/office/drawing/2014/chart" uri="{C3380CC4-5D6E-409C-BE32-E72D297353CC}">
                <c16:uniqueId val="{00000008-E3AB-4A03-B3A7-DB5A03D31B18}"/>
              </c:ext>
            </c:extLst>
          </c:dPt>
          <c:dPt>
            <c:idx val="39"/>
            <c:marker>
              <c:symbol val="circle"/>
              <c:size val="6"/>
              <c:spPr>
                <a:solidFill>
                  <a:srgbClr val="FFC000"/>
                </a:solidFill>
                <a:ln w="9525" cap="flat" cmpd="sng" algn="ctr">
                  <a:solidFill>
                    <a:schemeClr val="lt1"/>
                  </a:solidFill>
                  <a:round/>
                </a:ln>
                <a:effectLst/>
              </c:spPr>
            </c:marker>
            <c:bubble3D val="0"/>
            <c:extLst>
              <c:ext xmlns:c16="http://schemas.microsoft.com/office/drawing/2014/chart" uri="{C3380CC4-5D6E-409C-BE32-E72D297353CC}">
                <c16:uniqueId val="{00000009-E3AB-4A03-B3A7-DB5A03D31B18}"/>
              </c:ext>
            </c:extLst>
          </c:dPt>
          <c:dPt>
            <c:idx val="46"/>
            <c:marker>
              <c:symbol val="circle"/>
              <c:size val="6"/>
              <c:spPr>
                <a:solidFill>
                  <a:schemeClr val="accent1"/>
                </a:solidFill>
                <a:ln w="9525" cap="flat" cmpd="sng" algn="ctr">
                  <a:solidFill>
                    <a:schemeClr val="lt1"/>
                  </a:solidFill>
                  <a:round/>
                </a:ln>
                <a:effectLst/>
              </c:spPr>
            </c:marker>
            <c:bubble3D val="0"/>
            <c:extLst>
              <c:ext xmlns:c16="http://schemas.microsoft.com/office/drawing/2014/chart" uri="{C3380CC4-5D6E-409C-BE32-E72D297353CC}">
                <c16:uniqueId val="{00000016-E3AB-4A03-B3A7-DB5A03D31B18}"/>
              </c:ext>
            </c:extLst>
          </c:dPt>
          <c:dPt>
            <c:idx val="47"/>
            <c:marker>
              <c:symbol val="circle"/>
              <c:size val="6"/>
              <c:spPr>
                <a:solidFill>
                  <a:schemeClr val="accent1"/>
                </a:solidFill>
                <a:ln w="9525" cap="flat" cmpd="sng" algn="ctr">
                  <a:solidFill>
                    <a:schemeClr val="lt1"/>
                  </a:solidFill>
                  <a:round/>
                </a:ln>
                <a:effectLst/>
              </c:spPr>
            </c:marker>
            <c:bubble3D val="0"/>
            <c:extLst>
              <c:ext xmlns:c16="http://schemas.microsoft.com/office/drawing/2014/chart" uri="{C3380CC4-5D6E-409C-BE32-E72D297353CC}">
                <c16:uniqueId val="{0000000B-E3AB-4A03-B3A7-DB5A03D31B18}"/>
              </c:ext>
            </c:extLst>
          </c:dPt>
          <c:dPt>
            <c:idx val="48"/>
            <c:marker>
              <c:symbol val="circle"/>
              <c:size val="6"/>
              <c:spPr>
                <a:solidFill>
                  <a:srgbClr val="FFC000"/>
                </a:solidFill>
                <a:ln w="9525" cap="flat" cmpd="sng" algn="ctr">
                  <a:solidFill>
                    <a:schemeClr val="lt1"/>
                  </a:solidFill>
                  <a:round/>
                </a:ln>
                <a:effectLst/>
              </c:spPr>
            </c:marker>
            <c:bubble3D val="0"/>
            <c:extLst>
              <c:ext xmlns:c16="http://schemas.microsoft.com/office/drawing/2014/chart" uri="{C3380CC4-5D6E-409C-BE32-E72D297353CC}">
                <c16:uniqueId val="{0000000C-E3AB-4A03-B3A7-DB5A03D31B18}"/>
              </c:ext>
            </c:extLst>
          </c:dPt>
          <c:dPt>
            <c:idx val="49"/>
            <c:marker>
              <c:symbol val="circle"/>
              <c:size val="6"/>
              <c:spPr>
                <a:solidFill>
                  <a:srgbClr val="FFC000"/>
                </a:solidFill>
                <a:ln w="9525" cap="flat" cmpd="sng" algn="ctr">
                  <a:solidFill>
                    <a:schemeClr val="lt1"/>
                  </a:solidFill>
                  <a:round/>
                </a:ln>
                <a:effectLst/>
              </c:spPr>
            </c:marker>
            <c:bubble3D val="0"/>
            <c:extLst>
              <c:ext xmlns:c16="http://schemas.microsoft.com/office/drawing/2014/chart" uri="{C3380CC4-5D6E-409C-BE32-E72D297353CC}">
                <c16:uniqueId val="{0000000D-E3AB-4A03-B3A7-DB5A03D31B18}"/>
              </c:ext>
            </c:extLst>
          </c:dPt>
          <c:dPt>
            <c:idx val="50"/>
            <c:marker>
              <c:symbol val="circle"/>
              <c:size val="6"/>
              <c:spPr>
                <a:solidFill>
                  <a:srgbClr val="FFC000"/>
                </a:solidFill>
                <a:ln w="9525" cap="flat" cmpd="sng" algn="ctr">
                  <a:solidFill>
                    <a:schemeClr val="lt1"/>
                  </a:solidFill>
                  <a:round/>
                </a:ln>
                <a:effectLst/>
              </c:spPr>
            </c:marker>
            <c:bubble3D val="0"/>
            <c:extLst>
              <c:ext xmlns:c16="http://schemas.microsoft.com/office/drawing/2014/chart" uri="{C3380CC4-5D6E-409C-BE32-E72D297353CC}">
                <c16:uniqueId val="{0000000E-E3AB-4A03-B3A7-DB5A03D31B18}"/>
              </c:ext>
            </c:extLst>
          </c:dPt>
          <c:dPt>
            <c:idx val="52"/>
            <c:marker>
              <c:symbol val="circle"/>
              <c:size val="6"/>
              <c:spPr>
                <a:solidFill>
                  <a:srgbClr val="FFC000"/>
                </a:solidFill>
                <a:ln w="9525" cap="flat" cmpd="sng" algn="ctr">
                  <a:solidFill>
                    <a:schemeClr val="lt1"/>
                  </a:solidFill>
                  <a:round/>
                </a:ln>
                <a:effectLst/>
              </c:spPr>
            </c:marker>
            <c:bubble3D val="0"/>
            <c:extLst>
              <c:ext xmlns:c16="http://schemas.microsoft.com/office/drawing/2014/chart" uri="{C3380CC4-5D6E-409C-BE32-E72D297353CC}">
                <c16:uniqueId val="{00000014-E3AB-4A03-B3A7-DB5A03D31B18}"/>
              </c:ext>
            </c:extLst>
          </c:dPt>
          <c:dPt>
            <c:idx val="53"/>
            <c:marker>
              <c:symbol val="circle"/>
              <c:size val="6"/>
              <c:spPr>
                <a:solidFill>
                  <a:srgbClr val="FFC000"/>
                </a:solidFill>
                <a:ln w="9525" cap="flat" cmpd="sng" algn="ctr">
                  <a:solidFill>
                    <a:schemeClr val="lt1"/>
                  </a:solidFill>
                  <a:round/>
                </a:ln>
                <a:effectLst/>
              </c:spPr>
            </c:marker>
            <c:bubble3D val="0"/>
            <c:extLst>
              <c:ext xmlns:c16="http://schemas.microsoft.com/office/drawing/2014/chart" uri="{C3380CC4-5D6E-409C-BE32-E72D297353CC}">
                <c16:uniqueId val="{00000015-E3AB-4A03-B3A7-DB5A03D31B18}"/>
              </c:ext>
            </c:extLst>
          </c:dPt>
          <c:dPt>
            <c:idx val="58"/>
            <c:marker>
              <c:symbol val="circle"/>
              <c:size val="6"/>
              <c:spPr>
                <a:solidFill>
                  <a:srgbClr val="FFC000"/>
                </a:solidFill>
                <a:ln w="9525" cap="flat" cmpd="sng" algn="ctr">
                  <a:solidFill>
                    <a:schemeClr val="lt1"/>
                  </a:solidFill>
                  <a:round/>
                </a:ln>
                <a:effectLst/>
              </c:spPr>
            </c:marker>
            <c:bubble3D val="0"/>
            <c:extLst>
              <c:ext xmlns:c16="http://schemas.microsoft.com/office/drawing/2014/chart" uri="{C3380CC4-5D6E-409C-BE32-E72D297353CC}">
                <c16:uniqueId val="{00000013-E3AB-4A03-B3A7-DB5A03D31B18}"/>
              </c:ext>
            </c:extLst>
          </c:dPt>
          <c:dPt>
            <c:idx val="59"/>
            <c:marker>
              <c:symbol val="circle"/>
              <c:size val="6"/>
              <c:spPr>
                <a:solidFill>
                  <a:srgbClr val="FFC000"/>
                </a:solidFill>
                <a:ln w="9525" cap="flat" cmpd="sng" algn="ctr">
                  <a:solidFill>
                    <a:schemeClr val="lt1"/>
                  </a:solidFill>
                  <a:round/>
                </a:ln>
                <a:effectLst/>
              </c:spPr>
            </c:marker>
            <c:bubble3D val="0"/>
            <c:extLst>
              <c:ext xmlns:c16="http://schemas.microsoft.com/office/drawing/2014/chart" uri="{C3380CC4-5D6E-409C-BE32-E72D297353CC}">
                <c16:uniqueId val="{00000012-E3AB-4A03-B3A7-DB5A03D31B18}"/>
              </c:ext>
            </c:extLst>
          </c:dPt>
          <c:dPt>
            <c:idx val="60"/>
            <c:marker>
              <c:symbol val="circle"/>
              <c:size val="6"/>
              <c:spPr>
                <a:solidFill>
                  <a:srgbClr val="FFC000"/>
                </a:solidFill>
                <a:ln w="9525" cap="flat" cmpd="sng" algn="ctr">
                  <a:solidFill>
                    <a:schemeClr val="lt1"/>
                  </a:solidFill>
                  <a:round/>
                </a:ln>
                <a:effectLst/>
              </c:spPr>
            </c:marker>
            <c:bubble3D val="0"/>
            <c:extLst>
              <c:ext xmlns:c16="http://schemas.microsoft.com/office/drawing/2014/chart" uri="{C3380CC4-5D6E-409C-BE32-E72D297353CC}">
                <c16:uniqueId val="{0000000F-E3AB-4A03-B3A7-DB5A03D31B18}"/>
              </c:ext>
            </c:extLst>
          </c:dPt>
          <c:dPt>
            <c:idx val="63"/>
            <c:marker>
              <c:symbol val="circle"/>
              <c:size val="6"/>
              <c:spPr>
                <a:solidFill>
                  <a:srgbClr val="FFC000"/>
                </a:solidFill>
                <a:ln w="9525" cap="flat" cmpd="sng" algn="ctr">
                  <a:solidFill>
                    <a:schemeClr val="lt1"/>
                  </a:solidFill>
                  <a:round/>
                </a:ln>
                <a:effectLst/>
              </c:spPr>
            </c:marker>
            <c:bubble3D val="0"/>
            <c:extLst>
              <c:ext xmlns:c16="http://schemas.microsoft.com/office/drawing/2014/chart" uri="{C3380CC4-5D6E-409C-BE32-E72D297353CC}">
                <c16:uniqueId val="{00000010-E3AB-4A03-B3A7-DB5A03D31B18}"/>
              </c:ext>
            </c:extLst>
          </c:dPt>
          <c:dPt>
            <c:idx val="64"/>
            <c:marker>
              <c:symbol val="circle"/>
              <c:size val="6"/>
              <c:spPr>
                <a:solidFill>
                  <a:srgbClr val="FFC000"/>
                </a:solidFill>
                <a:ln w="9525" cap="flat" cmpd="sng" algn="ctr">
                  <a:solidFill>
                    <a:schemeClr val="lt1"/>
                  </a:solidFill>
                  <a:round/>
                </a:ln>
                <a:effectLst/>
              </c:spPr>
            </c:marker>
            <c:bubble3D val="0"/>
            <c:extLst>
              <c:ext xmlns:c16="http://schemas.microsoft.com/office/drawing/2014/chart" uri="{C3380CC4-5D6E-409C-BE32-E72D297353CC}">
                <c16:uniqueId val="{00000011-E3AB-4A03-B3A7-DB5A03D31B18}"/>
              </c:ext>
            </c:extLst>
          </c:dPt>
          <c:dPt>
            <c:idx val="65"/>
            <c:marker>
              <c:symbol val="circle"/>
              <c:size val="6"/>
              <c:spPr>
                <a:solidFill>
                  <a:srgbClr val="FFC000"/>
                </a:solidFill>
                <a:ln w="9525" cap="flat" cmpd="sng" algn="ctr">
                  <a:solidFill>
                    <a:schemeClr val="lt1"/>
                  </a:solidFill>
                  <a:round/>
                </a:ln>
                <a:effectLst/>
              </c:spPr>
            </c:marker>
            <c:bubble3D val="0"/>
            <c:extLst>
              <c:ext xmlns:c16="http://schemas.microsoft.com/office/drawing/2014/chart" uri="{C3380CC4-5D6E-409C-BE32-E72D297353CC}">
                <c16:uniqueId val="{00000002-E3AB-4A03-B3A7-DB5A03D31B18}"/>
              </c:ext>
            </c:extLst>
          </c:dPt>
          <c:dLbls>
            <c:dLbl>
              <c:idx val="65"/>
              <c:layout>
                <c:manualLayout>
                  <c:x val="-3.9976484420929041E-2"/>
                  <c:y val="-0.10008703220191471"/>
                </c:manualLayout>
              </c:layout>
              <c:tx>
                <c:rich>
                  <a:bodyPr/>
                  <a:lstStyle/>
                  <a:p>
                    <a:fld id="{F7E70579-16F3-49EF-A767-210FC445DC5C}" type="VALUE">
                      <a:rPr lang="en-US" b="1"/>
                      <a:pPr/>
                      <a:t>[VALOR]</a:t>
                    </a:fld>
                    <a:endParaRPr lang="es-E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3AB-4A03-B3A7-DB5A03D31B18}"/>
                </c:ext>
              </c:extLst>
            </c:dLbl>
            <c:dLbl>
              <c:idx val="125"/>
              <c:layout>
                <c:manualLayout>
                  <c:x val="-1.7788938585860753E-2"/>
                  <c:y val="-5.5355615670066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AB-4A03-B3A7-DB5A03D31B1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Open Sans" panose="020B0606030504020204" pitchFamily="34" charset="0"/>
                    <a:ea typeface="Open Sans" panose="020B0606030504020204" pitchFamily="34" charset="0"/>
                    <a:cs typeface="Open Sans" panose="020B0606030504020204" pitchFamily="34" charset="0"/>
                  </a:defRPr>
                </a:pPr>
                <a:endParaRPr lang="es-E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Hoja6!$B$277:$C$346</c:f>
              <c:multiLvlStrCache>
                <c:ptCount val="70"/>
                <c:lvl>
                  <c:pt idx="0">
                    <c:v>01/01/2020</c:v>
                  </c:pt>
                  <c:pt idx="1">
                    <c:v>01/02/2020</c:v>
                  </c:pt>
                  <c:pt idx="2">
                    <c:v>01/03/2020</c:v>
                  </c:pt>
                  <c:pt idx="3">
                    <c:v>01/04/2020</c:v>
                  </c:pt>
                  <c:pt idx="4">
                    <c:v>01/05/2020</c:v>
                  </c:pt>
                  <c:pt idx="5">
                    <c:v>01/06/2020</c:v>
                  </c:pt>
                  <c:pt idx="6">
                    <c:v>01/07/2020</c:v>
                  </c:pt>
                  <c:pt idx="7">
                    <c:v>01/08/2020</c:v>
                  </c:pt>
                  <c:pt idx="8">
                    <c:v>01/09/2020</c:v>
                  </c:pt>
                  <c:pt idx="9">
                    <c:v>01/10/2020</c:v>
                  </c:pt>
                  <c:pt idx="10">
                    <c:v>01/11/2020</c:v>
                  </c:pt>
                  <c:pt idx="11">
                    <c:v>01/12/2020</c:v>
                  </c:pt>
                  <c:pt idx="12">
                    <c:v>01/01/2021</c:v>
                  </c:pt>
                  <c:pt idx="13">
                    <c:v>01/02/2021</c:v>
                  </c:pt>
                  <c:pt idx="14">
                    <c:v>01/03/2021</c:v>
                  </c:pt>
                  <c:pt idx="15">
                    <c:v>01/04/2021</c:v>
                  </c:pt>
                  <c:pt idx="16">
                    <c:v>01/05/2021</c:v>
                  </c:pt>
                  <c:pt idx="17">
                    <c:v>01/06/2021</c:v>
                  </c:pt>
                  <c:pt idx="18">
                    <c:v>01/07/2021</c:v>
                  </c:pt>
                  <c:pt idx="19">
                    <c:v>01/08/2021</c:v>
                  </c:pt>
                  <c:pt idx="20">
                    <c:v>01/09/2021</c:v>
                  </c:pt>
                  <c:pt idx="21">
                    <c:v>01/10/2021</c:v>
                  </c:pt>
                  <c:pt idx="22">
                    <c:v>01/11/2021</c:v>
                  </c:pt>
                  <c:pt idx="23">
                    <c:v>01/12/2021</c:v>
                  </c:pt>
                  <c:pt idx="24">
                    <c:v>01/01/2022</c:v>
                  </c:pt>
                  <c:pt idx="25">
                    <c:v>01/02/2022</c:v>
                  </c:pt>
                  <c:pt idx="26">
                    <c:v>01/03/2022</c:v>
                  </c:pt>
                  <c:pt idx="27">
                    <c:v>01/04/2022</c:v>
                  </c:pt>
                  <c:pt idx="28">
                    <c:v>01/05/2022</c:v>
                  </c:pt>
                  <c:pt idx="29">
                    <c:v>01/06/2022</c:v>
                  </c:pt>
                  <c:pt idx="30">
                    <c:v>01/07/2022</c:v>
                  </c:pt>
                  <c:pt idx="31">
                    <c:v>01/08/2022</c:v>
                  </c:pt>
                  <c:pt idx="32">
                    <c:v>01/09/2022</c:v>
                  </c:pt>
                  <c:pt idx="33">
                    <c:v>01/10/2022</c:v>
                  </c:pt>
                  <c:pt idx="34">
                    <c:v>01/11/2022</c:v>
                  </c:pt>
                  <c:pt idx="35">
                    <c:v>01/12/2022</c:v>
                  </c:pt>
                  <c:pt idx="36">
                    <c:v>01/01/2023</c:v>
                  </c:pt>
                  <c:pt idx="37">
                    <c:v>01/02/2023</c:v>
                  </c:pt>
                  <c:pt idx="38">
                    <c:v>01/03/2023</c:v>
                  </c:pt>
                  <c:pt idx="39">
                    <c:v>01/04/2023</c:v>
                  </c:pt>
                  <c:pt idx="40">
                    <c:v>01/05/2023</c:v>
                  </c:pt>
                  <c:pt idx="41">
                    <c:v>01/06/2023</c:v>
                  </c:pt>
                  <c:pt idx="42">
                    <c:v>01/07/2023</c:v>
                  </c:pt>
                  <c:pt idx="43">
                    <c:v>01/08/2023</c:v>
                  </c:pt>
                  <c:pt idx="44">
                    <c:v>01/09/2023</c:v>
                  </c:pt>
                  <c:pt idx="45">
                    <c:v>01/10/2023</c:v>
                  </c:pt>
                  <c:pt idx="46">
                    <c:v>01/11/2023</c:v>
                  </c:pt>
                  <c:pt idx="47">
                    <c:v>01/12/2023</c:v>
                  </c:pt>
                  <c:pt idx="48">
                    <c:v>01/01/2024</c:v>
                  </c:pt>
                  <c:pt idx="49">
                    <c:v>01/02/2024</c:v>
                  </c:pt>
                  <c:pt idx="50">
                    <c:v>01/03/2024</c:v>
                  </c:pt>
                  <c:pt idx="51">
                    <c:v>01/04/2024</c:v>
                  </c:pt>
                  <c:pt idx="52">
                    <c:v>01/05/2024</c:v>
                  </c:pt>
                  <c:pt idx="53">
                    <c:v>01/06/2024</c:v>
                  </c:pt>
                  <c:pt idx="54">
                    <c:v>01/07/2024</c:v>
                  </c:pt>
                  <c:pt idx="55">
                    <c:v>01/08/2024</c:v>
                  </c:pt>
                  <c:pt idx="56">
                    <c:v>01/09/2024</c:v>
                  </c:pt>
                  <c:pt idx="57">
                    <c:v>01/10/2024</c:v>
                  </c:pt>
                  <c:pt idx="58">
                    <c:v>01/11/2024</c:v>
                  </c:pt>
                  <c:pt idx="59">
                    <c:v>01/12/2024</c:v>
                  </c:pt>
                  <c:pt idx="60">
                    <c:v>01/01/2025</c:v>
                  </c:pt>
                  <c:pt idx="61">
                    <c:v>01/02/2025</c:v>
                  </c:pt>
                  <c:pt idx="62">
                    <c:v>01/03/2025</c:v>
                  </c:pt>
                  <c:pt idx="63">
                    <c:v>01/04/2025</c:v>
                  </c:pt>
                  <c:pt idx="64">
                    <c:v>01/05/2025</c:v>
                  </c:pt>
                  <c:pt idx="65">
                    <c:v>01/06/2025</c:v>
                  </c:pt>
                  <c:pt idx="66">
                    <c:v>01/07/2025</c:v>
                  </c:pt>
                  <c:pt idx="67">
                    <c:v>01/08/2025</c:v>
                  </c:pt>
                  <c:pt idx="68">
                    <c:v>01/09/2025</c:v>
                  </c:pt>
                  <c:pt idx="69">
                    <c:v>01/10/2025</c:v>
                  </c:pt>
                </c:lvl>
                <c:lvl>
                  <c:pt idx="0">
                    <c:v>2020</c:v>
                  </c:pt>
                  <c:pt idx="12">
                    <c:v>2021</c:v>
                  </c:pt>
                  <c:pt idx="24">
                    <c:v>2022</c:v>
                  </c:pt>
                  <c:pt idx="36">
                    <c:v>2023</c:v>
                  </c:pt>
                  <c:pt idx="48">
                    <c:v>2024</c:v>
                  </c:pt>
                  <c:pt idx="60">
                    <c:v>2025</c:v>
                  </c:pt>
                </c:lvl>
              </c:multiLvlStrCache>
            </c:multiLvlStrRef>
          </c:cat>
          <c:val>
            <c:numRef>
              <c:f>Hoja6!$D$277:$D$346</c:f>
              <c:numCache>
                <c:formatCode>#,##0.00\ "€"</c:formatCode>
                <c:ptCount val="70"/>
                <c:pt idx="0">
                  <c:v>10.57</c:v>
                </c:pt>
                <c:pt idx="1">
                  <c:v>10.66</c:v>
                </c:pt>
                <c:pt idx="2">
                  <c:v>10.84</c:v>
                </c:pt>
                <c:pt idx="3">
                  <c:v>11.02</c:v>
                </c:pt>
                <c:pt idx="4">
                  <c:v>10.91</c:v>
                </c:pt>
                <c:pt idx="5">
                  <c:v>10.82</c:v>
                </c:pt>
                <c:pt idx="6">
                  <c:v>10.73</c:v>
                </c:pt>
                <c:pt idx="7">
                  <c:v>10.74</c:v>
                </c:pt>
                <c:pt idx="8">
                  <c:v>10.74</c:v>
                </c:pt>
                <c:pt idx="9">
                  <c:v>10.75</c:v>
                </c:pt>
                <c:pt idx="10">
                  <c:v>10.64</c:v>
                </c:pt>
                <c:pt idx="11">
                  <c:v>10.65</c:v>
                </c:pt>
                <c:pt idx="12">
                  <c:v>10.57</c:v>
                </c:pt>
                <c:pt idx="13">
                  <c:v>10.48</c:v>
                </c:pt>
                <c:pt idx="14">
                  <c:v>10.45</c:v>
                </c:pt>
                <c:pt idx="15">
                  <c:v>10.4</c:v>
                </c:pt>
                <c:pt idx="16">
                  <c:v>10.42</c:v>
                </c:pt>
                <c:pt idx="17">
                  <c:v>10.44</c:v>
                </c:pt>
                <c:pt idx="18">
                  <c:v>10.44</c:v>
                </c:pt>
                <c:pt idx="19">
                  <c:v>10.42</c:v>
                </c:pt>
                <c:pt idx="20">
                  <c:v>10.14</c:v>
                </c:pt>
                <c:pt idx="21">
                  <c:v>10.09</c:v>
                </c:pt>
                <c:pt idx="22">
                  <c:v>10.19</c:v>
                </c:pt>
                <c:pt idx="23">
                  <c:v>10.27</c:v>
                </c:pt>
                <c:pt idx="24">
                  <c:v>10.31</c:v>
                </c:pt>
                <c:pt idx="25">
                  <c:v>10.37</c:v>
                </c:pt>
                <c:pt idx="26">
                  <c:v>10.53</c:v>
                </c:pt>
                <c:pt idx="27">
                  <c:v>10.89</c:v>
                </c:pt>
                <c:pt idx="28">
                  <c:v>11.03</c:v>
                </c:pt>
                <c:pt idx="29">
                  <c:v>11.11</c:v>
                </c:pt>
                <c:pt idx="30">
                  <c:v>11.21</c:v>
                </c:pt>
                <c:pt idx="31">
                  <c:v>10.83</c:v>
                </c:pt>
                <c:pt idx="32">
                  <c:v>10.36</c:v>
                </c:pt>
                <c:pt idx="33">
                  <c:v>10.49</c:v>
                </c:pt>
                <c:pt idx="34">
                  <c:v>10.79</c:v>
                </c:pt>
                <c:pt idx="35">
                  <c:v>11.03</c:v>
                </c:pt>
                <c:pt idx="36">
                  <c:v>11.21</c:v>
                </c:pt>
                <c:pt idx="37">
                  <c:v>11.43</c:v>
                </c:pt>
                <c:pt idx="38">
                  <c:v>11.55</c:v>
                </c:pt>
                <c:pt idx="39">
                  <c:v>11.69</c:v>
                </c:pt>
                <c:pt idx="40">
                  <c:v>11.65</c:v>
                </c:pt>
                <c:pt idx="41">
                  <c:v>11.61</c:v>
                </c:pt>
                <c:pt idx="42">
                  <c:v>11.59</c:v>
                </c:pt>
                <c:pt idx="43">
                  <c:v>11.34</c:v>
                </c:pt>
                <c:pt idx="44">
                  <c:v>11.15</c:v>
                </c:pt>
                <c:pt idx="45">
                  <c:v>11.23</c:v>
                </c:pt>
                <c:pt idx="46">
                  <c:v>11.45</c:v>
                </c:pt>
                <c:pt idx="47">
                  <c:v>11.66</c:v>
                </c:pt>
                <c:pt idx="48">
                  <c:v>11.78</c:v>
                </c:pt>
                <c:pt idx="49">
                  <c:v>12.27</c:v>
                </c:pt>
                <c:pt idx="50">
                  <c:v>12.36</c:v>
                </c:pt>
                <c:pt idx="51">
                  <c:v>12.3</c:v>
                </c:pt>
                <c:pt idx="52">
                  <c:v>12.475000000000001</c:v>
                </c:pt>
                <c:pt idx="53">
                  <c:v>12.65</c:v>
                </c:pt>
                <c:pt idx="54">
                  <c:v>12.59</c:v>
                </c:pt>
                <c:pt idx="55">
                  <c:v>12.4</c:v>
                </c:pt>
                <c:pt idx="56">
                  <c:v>11.98</c:v>
                </c:pt>
                <c:pt idx="57">
                  <c:v>12.33</c:v>
                </c:pt>
                <c:pt idx="58">
                  <c:v>13.13</c:v>
                </c:pt>
                <c:pt idx="59">
                  <c:v>13.29</c:v>
                </c:pt>
                <c:pt idx="60">
                  <c:v>13.55</c:v>
                </c:pt>
                <c:pt idx="61">
                  <c:v>13.54</c:v>
                </c:pt>
                <c:pt idx="62">
                  <c:v>13.55</c:v>
                </c:pt>
                <c:pt idx="63">
                  <c:v>13.89</c:v>
                </c:pt>
                <c:pt idx="64">
                  <c:v>14.33</c:v>
                </c:pt>
                <c:pt idx="65">
                  <c:v>14.38</c:v>
                </c:pt>
                <c:pt idx="66">
                  <c:v>14.37</c:v>
                </c:pt>
                <c:pt idx="67">
                  <c:v>14.03</c:v>
                </c:pt>
                <c:pt idx="68">
                  <c:v>13.69</c:v>
                </c:pt>
                <c:pt idx="69">
                  <c:v>14</c:v>
                </c:pt>
              </c:numCache>
            </c:numRef>
          </c:val>
          <c:smooth val="0"/>
          <c:extLst>
            <c:ext xmlns:c16="http://schemas.microsoft.com/office/drawing/2014/chart" uri="{C3380CC4-5D6E-409C-BE32-E72D297353CC}">
              <c16:uniqueId val="{00000001-E3AB-4A03-B3A7-DB5A03D31B18}"/>
            </c:ext>
          </c:extLst>
        </c:ser>
        <c:dLbls>
          <c:showLegendKey val="0"/>
          <c:showVal val="0"/>
          <c:showCatName val="0"/>
          <c:showSerName val="0"/>
          <c:showPercent val="0"/>
          <c:showBubbleSize val="0"/>
        </c:dLbls>
        <c:marker val="1"/>
        <c:smooth val="0"/>
        <c:axId val="1986442080"/>
        <c:axId val="1986429600"/>
      </c:lineChart>
      <c:catAx>
        <c:axId val="1986442080"/>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low"/>
        <c:spPr>
          <a:noFill/>
          <a:ln w="3175" cap="flat" cmpd="sng" algn="ctr">
            <a:solidFill>
              <a:schemeClr val="bg2"/>
            </a:solidFill>
            <a:round/>
            <a:tailEnd type="none" w="med" len="lg"/>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1986429600"/>
        <c:crosses val="autoZero"/>
        <c:auto val="1"/>
        <c:lblAlgn val="ctr"/>
        <c:lblOffset val="100"/>
        <c:tickMarkSkip val="12"/>
        <c:noMultiLvlLbl val="0"/>
      </c:catAx>
      <c:valAx>
        <c:axId val="1986429600"/>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0.00\ &quot;€&quot;"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s-ES"/>
          </a:p>
        </c:txPr>
        <c:crossAx val="1986442080"/>
        <c:crossesAt val="1"/>
        <c:crossBetween val="between"/>
      </c:valAx>
      <c:spPr>
        <a:noFill/>
        <a:ln>
          <a:solidFill>
            <a:schemeClr val="bg2"/>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h4pf/ljzUeJH/zMDt7NDK3Mgg==">CgMxLjA4AHIhMUp6aEpKcWFxQWxwbUdDWU1PQUdoX29LOHRBZlNDSDZ4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1495</Words>
  <Characters>8227</Characters>
  <Application>Microsoft Office Word</Application>
  <DocSecurity>0</DocSecurity>
  <Lines>68</Lines>
  <Paragraphs>19</Paragraphs>
  <ScaleCrop>false</ScaleCrop>
  <Company/>
  <LinksUpToDate>false</LinksUpToDate>
  <CharactersWithSpaces>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3</cp:revision>
  <dcterms:created xsi:type="dcterms:W3CDTF">2025-11-23T19:40:00Z</dcterms:created>
  <dcterms:modified xsi:type="dcterms:W3CDTF">2025-12-01T11:06:00Z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2024-02-06T12:20:30Z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572215ff-0998-41f6-b2ff-fd247d42801c</vt:lpwstr>
  </property>
  <property fmtid="{D5CDD505-2E9C-101B-9397-08002B2CF9AE}" pid="8" name="MSIP_Label_defa4170-0d19-0005-0004-bc88714345d2_ContentBits">
    <vt:lpwstr>0</vt:lpwstr>
  </property>
</Properties>
</file>