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3ADAC" w14:textId="77777777" w:rsidR="00414E78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2474FBC" wp14:editId="44CAB039">
            <wp:simplePos x="0" y="0"/>
            <wp:positionH relativeFrom="column">
              <wp:posOffset>-1080118</wp:posOffset>
            </wp:positionH>
            <wp:positionV relativeFrom="paragraph">
              <wp:posOffset>-654667</wp:posOffset>
            </wp:positionV>
            <wp:extent cx="7581265" cy="1019175"/>
            <wp:effectExtent l="0" t="0" r="0" b="0"/>
            <wp:wrapNone/>
            <wp:docPr id="20668166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3A5A9A" w14:textId="77777777" w:rsidR="00414E78" w:rsidRDefault="00414E78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21B2ABDA" w14:textId="77777777" w:rsidR="00414E78" w:rsidRDefault="00414E78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5E777EDE" w14:textId="77777777" w:rsidR="00414E78" w:rsidRDefault="00000000">
      <w:pPr>
        <w:jc w:val="center"/>
        <w:rPr>
          <w:rFonts w:ascii="National" w:eastAsia="National" w:hAnsi="National" w:cs="National"/>
          <w:b/>
          <w:bCs/>
          <w:color w:val="1DBDC5"/>
          <w:sz w:val="36"/>
          <w:szCs w:val="36"/>
        </w:rPr>
      </w:pPr>
      <w:r>
        <w:rPr>
          <w:rFonts w:ascii="National" w:eastAsia="National" w:hAnsi="National" w:cs="National"/>
          <w:b/>
          <w:bCs/>
          <w:color w:val="1DBDC5"/>
          <w:sz w:val="36"/>
          <w:szCs w:val="36"/>
        </w:rPr>
        <w:t>ÍNDICE DE NEGOCIACIÓN FOTOCASA</w:t>
      </w:r>
    </w:p>
    <w:p w14:paraId="294AFF17" w14:textId="48C45DF3" w:rsidR="00414E78" w:rsidRPr="00402207" w:rsidRDefault="00000000">
      <w:pPr>
        <w:jc w:val="center"/>
        <w:rPr>
          <w:rFonts w:ascii="National" w:eastAsia="National" w:hAnsi="National" w:cs="National"/>
          <w:b/>
          <w:bCs/>
          <w:color w:val="303AB2"/>
          <w:sz w:val="52"/>
          <w:szCs w:val="52"/>
        </w:rPr>
      </w:pPr>
      <w:r w:rsidRPr="00402207">
        <w:rPr>
          <w:rFonts w:ascii="National" w:eastAsia="National" w:hAnsi="National" w:cs="National"/>
          <w:b/>
          <w:bCs/>
          <w:color w:val="303AB2"/>
          <w:sz w:val="52"/>
          <w:szCs w:val="52"/>
        </w:rPr>
        <w:t>Granada, Palma y Alicante son las ciudades donde más se puede negociar el precio de compra</w:t>
      </w:r>
      <w:r w:rsidR="00402207">
        <w:rPr>
          <w:rFonts w:ascii="National" w:eastAsia="National" w:hAnsi="National" w:cs="National"/>
          <w:b/>
          <w:bCs/>
          <w:color w:val="303AB2"/>
          <w:sz w:val="52"/>
          <w:szCs w:val="52"/>
        </w:rPr>
        <w:t xml:space="preserve"> de una vivienda</w:t>
      </w:r>
    </w:p>
    <w:p w14:paraId="3D28D32C" w14:textId="77777777" w:rsidR="00414E78" w:rsidRDefault="00414E78">
      <w:pPr>
        <w:jc w:val="center"/>
        <w:rPr>
          <w:rFonts w:ascii="National" w:eastAsia="National" w:hAnsi="National" w:cs="National"/>
          <w:b/>
          <w:bCs/>
          <w:color w:val="303AB2"/>
          <w:sz w:val="46"/>
          <w:szCs w:val="46"/>
        </w:rPr>
      </w:pPr>
    </w:p>
    <w:p w14:paraId="623A1334" w14:textId="77777777" w:rsidR="00414E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Por el contrario, en ciudades como Pamplona, Teruel, Zamora o Toledo, las diferencias entre lo que oferta el vendedor y el precio que el comprador está dispuesto a pagar no supera el 4%</w:t>
      </w:r>
    </w:p>
    <w:p w14:paraId="68FF9205" w14:textId="77777777" w:rsidR="00414E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El portal inmobiliario publica la segunda entrega del “Índice de Negociación Fotocasa”, que detalla la diferencia entre el precio ofertado y demandado, gracias a la herramienta de datos </w:t>
      </w:r>
      <w:proofErr w:type="spellStart"/>
      <w:r>
        <w:rPr>
          <w:rFonts w:ascii="Open Sans Light" w:eastAsia="Open Sans Light" w:hAnsi="Open Sans Light" w:cs="Open Sans Light"/>
          <w:b/>
          <w:bCs/>
          <w:color w:val="303AB2"/>
        </w:rPr>
        <w:t>DataVenues</w:t>
      </w:r>
      <w:proofErr w:type="spellEnd"/>
      <w:r>
        <w:rPr>
          <w:rFonts w:ascii="Open Sans Light" w:eastAsia="Open Sans Light" w:hAnsi="Open Sans Light" w:cs="Open Sans Light"/>
          <w:b/>
          <w:bCs/>
          <w:color w:val="303AB2"/>
        </w:rPr>
        <w:t>, especializada en el análisis Big Data del sector inmobiliario</w:t>
      </w:r>
    </w:p>
    <w:p w14:paraId="2F91CBBE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07421084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Madrid, 4 de diciembre de 2025</w:t>
      </w:r>
      <w:r>
        <w:rPr>
          <w:rFonts w:ascii="Open Sans Light" w:eastAsia="Open Sans Light" w:hAnsi="Open Sans Light" w:cs="Open Sans Light"/>
          <w:b/>
          <w:bCs/>
          <w:color w:val="303AB2"/>
        </w:rPr>
        <w:tab/>
      </w:r>
    </w:p>
    <w:p w14:paraId="0C805F4A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3D44A5D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Las ciudades de Granada (22%), Palma de Mallorca (18%) y Alicante (17%) son las capitales de provincia españolas que destacan por su amplio desfase entre precios ofertados y buscados., </w:t>
      </w:r>
      <w:r>
        <w:rPr>
          <w:rFonts w:ascii="Open Sans" w:eastAsia="Open Sans" w:hAnsi="Open Sans" w:cs="Open Sans"/>
          <w:b/>
          <w:bCs/>
        </w:rPr>
        <w:t>según los datos del “</w:t>
      </w:r>
      <w:r>
        <w:rPr>
          <w:rFonts w:ascii="Open Sans" w:eastAsia="Open Sans" w:hAnsi="Open Sans" w:cs="Open Sans"/>
          <w:b/>
          <w:bCs/>
          <w:i/>
          <w:iCs/>
        </w:rPr>
        <w:t>Índice de Negociación Fotocasa</w:t>
      </w:r>
      <w:r>
        <w:rPr>
          <w:rFonts w:ascii="Open Sans" w:eastAsia="Open Sans" w:hAnsi="Open Sans" w:cs="Open Sans"/>
          <w:b/>
          <w:bCs/>
        </w:rPr>
        <w:t>”</w:t>
      </w:r>
      <w:r>
        <w:rPr>
          <w:rFonts w:ascii="Open Sans" w:eastAsia="Open Sans" w:hAnsi="Open Sans" w:cs="Open Sans"/>
        </w:rPr>
        <w:t>, basado en cifras del segundo semestre de 2025. Esto quiere decir que en estas capitales de provincia es donde existe la mayor diferencia entre el precio ofertado y demandado y es, por tanto, donde existiría más margen para poder negociar el precio de la vivienda de compra.</w:t>
      </w:r>
    </w:p>
    <w:p w14:paraId="72359944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D45AA7C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Por el contrario, </w:t>
      </w:r>
      <w:r>
        <w:rPr>
          <w:rFonts w:ascii="Open Sans" w:eastAsia="Open Sans" w:hAnsi="Open Sans" w:cs="Open Sans"/>
          <w:b/>
          <w:bCs/>
        </w:rPr>
        <w:t xml:space="preserve">en ciudades como Pamplona (2%), Teruel (3%), Zamora (4%), Toledo (4%), San Sebastián (4%) o Soria (4%) es donde menor margen de negociación se puede esperar, </w:t>
      </w:r>
      <w:r>
        <w:rPr>
          <w:rFonts w:ascii="Open Sans" w:eastAsia="Open Sans" w:hAnsi="Open Sans" w:cs="Open Sans"/>
        </w:rPr>
        <w:t xml:space="preserve">ya que los precios de oferta y los precios que la demanda está dispuesta a pagar son más similares. Estas son las principales conclusiones de la segunda entrega del “Índice de Negociación Fotocasa” que el portal inmobiliario difunde semestralmente y que ha desarrollado gracias a la herramienta de datos </w:t>
      </w:r>
      <w:proofErr w:type="spellStart"/>
      <w:r>
        <w:rPr>
          <w:rFonts w:ascii="Open Sans" w:eastAsia="Open Sans" w:hAnsi="Open Sans" w:cs="Open Sans"/>
        </w:rPr>
        <w:t>DataVenues</w:t>
      </w:r>
      <w:proofErr w:type="spellEnd"/>
      <w:r>
        <w:rPr>
          <w:rFonts w:ascii="Open Sans" w:eastAsia="Open Sans" w:hAnsi="Open Sans" w:cs="Open Sans"/>
        </w:rPr>
        <w:t>, diseñada para aplicar el análisis Big Data al mercado inmobiliario.</w:t>
      </w:r>
    </w:p>
    <w:p w14:paraId="44AA165C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C28B3EB" w14:textId="6AD010F3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lastRenderedPageBreak/>
        <w:t xml:space="preserve">“Los datos confirman la existencia de una gran distancia entre el precio al que el vendedor oferta la vivienda y el que el comprador está dispuesto a pagar. En el mercado de la vivienda es habitual que la demanda busque precios más ajustados a su realidad financiera y que cuando la oferta no acompaña, la brecha se dispare. Ante este desfase, la principal forma de llegar a un acuerdo es a través de la negociación”, </w:t>
      </w:r>
      <w:r>
        <w:rPr>
          <w:rFonts w:ascii="Open Sans" w:eastAsia="Open Sans" w:hAnsi="Open Sans" w:cs="Open Sans"/>
          <w:b/>
          <w:bCs/>
        </w:rPr>
        <w:t xml:space="preserve">explica María Matos, directora de Estudios y portavoz de </w:t>
      </w:r>
      <w:hyperlink r:id="rId9" w:history="1">
        <w:r w:rsidRPr="0007652F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>
        <w:rPr>
          <w:rFonts w:ascii="Open Sans" w:eastAsia="Open Sans" w:hAnsi="Open Sans" w:cs="Open Sans"/>
          <w:b/>
          <w:bCs/>
        </w:rPr>
        <w:t>.</w:t>
      </w:r>
    </w:p>
    <w:p w14:paraId="508B18CF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343A042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Tras los casos mencionados de Granada, Palma y Alicante, otras ciudades españolas registran altas diferencias entre los precios de demanda y de oferta de vivienda de compraventa</w:t>
      </w:r>
      <w:r>
        <w:rPr>
          <w:rFonts w:ascii="Open Sans" w:eastAsia="Open Sans" w:hAnsi="Open Sans" w:cs="Open Sans"/>
        </w:rPr>
        <w:t>. Se trata de Murcia (15%), Málaga (15%), Oviedo (15%), Las Palmas de Gran Canaria (14%), León (14%), Santa Cruz de Tenerife (14%), Madrid (13%), Santander (13%), Castellón de la Plana (12%), Ourense (12%), Palencia (12%), Salamanca (12%), Segovia (12%), Sevilla (12%), Tarragona (12%) y Valencia (12%).</w:t>
      </w:r>
    </w:p>
    <w:p w14:paraId="5467BC66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AB36648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26"/>
          <w:szCs w:val="26"/>
        </w:rPr>
      </w:pPr>
      <w:r>
        <w:rPr>
          <w:rFonts w:ascii="National" w:eastAsia="National" w:hAnsi="National" w:cs="National"/>
          <w:b/>
          <w:bCs/>
          <w:color w:val="303AB2"/>
          <w:sz w:val="26"/>
          <w:szCs w:val="26"/>
        </w:rPr>
        <w:t>Capitales de provincia de mayor a menor posibilidad de negociación</w:t>
      </w:r>
    </w:p>
    <w:p w14:paraId="3F679EBD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541968D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2ED7432A" wp14:editId="13386E8A">
            <wp:extent cx="6724650" cy="3391167"/>
            <wp:effectExtent l="0" t="0" r="0" b="0"/>
            <wp:docPr id="2066816614" name="Gráfico 20668166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0394330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FD36978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C82030D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2BBD746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B3E7232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En la zona más templada de la clasificación, en torno al 10% y 11% de diferencia entre los precios de oferta y demanda de vivienda en propiedad, se sitúan </w:t>
      </w:r>
      <w:r>
        <w:rPr>
          <w:rFonts w:ascii="Open Sans" w:eastAsia="Open Sans" w:hAnsi="Open Sans" w:cs="Open Sans"/>
          <w:b/>
          <w:bCs/>
        </w:rPr>
        <w:t xml:space="preserve">capitales como Barcelona (11%), Córdoba (11%), Logroño (11%), Lleida (11%), Valladolid (11%) y Burgos (10%). </w:t>
      </w:r>
      <w:r>
        <w:rPr>
          <w:rFonts w:ascii="Open Sans" w:eastAsia="Open Sans" w:hAnsi="Open Sans" w:cs="Open Sans"/>
        </w:rPr>
        <w:t>Por debajo se encuentran ciudades como Cuenca (9%), Cáceres (9%), Girona (9%), Lugo (9%), Pontevedra (9%) y Vigo (9%), además de Almería (8%), Badajoz (8%), Guadalajara (8%) y Ávila (8%).</w:t>
      </w:r>
    </w:p>
    <w:p w14:paraId="65AFB2DE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06DCC29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Pamplona, Teruel y Zamora, con menor margen de negociación</w:t>
      </w:r>
    </w:p>
    <w:p w14:paraId="2F3E0EBF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AC884A8" w14:textId="77777777" w:rsidR="00414E7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A continuación, se encuentran las ciudades donde la diferencia entre los precios de oferta y demanda es menor:</w:t>
      </w:r>
      <w:r>
        <w:rPr>
          <w:rFonts w:ascii="Open Sans" w:eastAsia="Open Sans" w:hAnsi="Open Sans" w:cs="Open Sans"/>
        </w:rPr>
        <w:t xml:space="preserve"> Bilbao (7%), Huelva (7%), Jaén (7%), A Coruña (7%) y Zaragoza (7%), así como Albacete (6%), Ciudad Real (6%), Cádiz (6%), Huesca (6%) y Vitoria (6%), además de las mencionadas San Sebastián (4%), Soria (4%), Toledo (4%), Zamora (4%), Teruel (3%) y Pamplona (2%).</w:t>
      </w:r>
    </w:p>
    <w:p w14:paraId="799627F9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08880E8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FC60B16" w14:textId="77777777" w:rsidR="00414E78" w:rsidRDefault="00414E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76E305FB" w14:textId="77777777" w:rsidR="00414E78" w:rsidRDefault="00414E78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E6976B3" w14:textId="77777777" w:rsidR="00414E78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2EFBAF6F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bCs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885F94A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1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16B935B2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2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5A4DAEC7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3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7136DC36" w14:textId="77777777" w:rsidR="00414E78" w:rsidRDefault="00414E78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0AAEE3D" w14:textId="77777777" w:rsidR="00414E78" w:rsidRDefault="00414E78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B23909F" w14:textId="77777777" w:rsidR="0007652F" w:rsidRDefault="0007652F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077544BC" w14:textId="77777777" w:rsidR="0007652F" w:rsidRDefault="0007652F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671ECF0" w14:textId="77777777" w:rsidR="0007652F" w:rsidRDefault="0007652F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8828649" w14:textId="77777777" w:rsidR="00414E78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lastRenderedPageBreak/>
        <w:t xml:space="preserve">Sobre Fotocasa </w:t>
      </w:r>
      <w:proofErr w:type="spellStart"/>
      <w:r>
        <w:rPr>
          <w:rFonts w:ascii="Open Sans Light" w:eastAsia="Open Sans Light" w:hAnsi="Open Sans Light" w:cs="Open Sans Light"/>
          <w:b/>
          <w:bCs/>
          <w:color w:val="303AB2"/>
        </w:rPr>
        <w:t>Group</w:t>
      </w:r>
      <w:proofErr w:type="spellEnd"/>
    </w:p>
    <w:p w14:paraId="6266561D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b/>
          <w:bCs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0B028E33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Bajo su marca paraguas, 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> impulsa y da visibilidad a un ecosistema de marcas líderes —</w:t>
      </w:r>
      <w:hyperlink r:id="rId14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5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6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7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8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19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7C15F112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70CE48BB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En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Group</w:t>
      </w:r>
      <w:proofErr w:type="spellEnd"/>
      <w:r>
        <w:rPr>
          <w:rFonts w:ascii="Open Sans" w:eastAsia="Open Sans" w:hAnsi="Open Sans" w:cs="Open Sans"/>
          <w:sz w:val="22"/>
          <w:szCs w:val="22"/>
        </w:rPr>
        <w:t>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34C91E41" w14:textId="77777777" w:rsidR="00414E7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17A9CC68" w14:textId="77777777" w:rsidR="00414E78" w:rsidRDefault="00414E78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68137930" w14:textId="77777777" w:rsidR="00414E78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25A42393" w14:textId="77777777" w:rsidR="0007652F" w:rsidRDefault="0007652F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</w:p>
    <w:p w14:paraId="4E1D043F" w14:textId="77777777" w:rsidR="00414E7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López</w:t>
      </w:r>
    </w:p>
    <w:p w14:paraId="4A38CE9C" w14:textId="77777777" w:rsidR="00414E7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005B1BD4" w14:textId="77777777" w:rsidR="00414E7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414E78">
      <w:footerReference w:type="default" r:id="rId21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C1EAA" w14:textId="77777777" w:rsidR="00A92BA0" w:rsidRDefault="00A92BA0">
      <w:r>
        <w:separator/>
      </w:r>
    </w:p>
  </w:endnote>
  <w:endnote w:type="continuationSeparator" w:id="0">
    <w:p w14:paraId="3BD0E947" w14:textId="77777777" w:rsidR="00A92BA0" w:rsidRDefault="00A9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C315FA-F3B8-4ABA-9180-B9CAEE675A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2109C7-59BE-4EC8-A8BA-1EA65B4BE6BA}"/>
    <w:embedBold r:id="rId3" w:fontKey="{7F036C76-8722-4C38-BE3B-2E8F01A4AA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9095B7-1BB3-4505-8963-BBD414CC70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F3B8C5C-8EA6-4DF4-811D-BCA686DAB879}"/>
  </w:font>
  <w:font w:name="National">
    <w:altName w:val="Calibri"/>
    <w:charset w:val="00"/>
    <w:family w:val="auto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6" w:fontKey="{4CF2A401-CB2E-454C-822E-0A5D734730C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7C9FB91A-16ED-47FF-AA94-50C6C99F28C4}"/>
    <w:embedBold r:id="rId8" w:fontKey="{2DCD1FE0-0775-4E66-8F90-73C2FB174CB4}"/>
    <w:embedBoldItalic r:id="rId9" w:fontKey="{A87D5E01-F46D-468D-B49C-19A199AFA9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083CB" w14:textId="77777777" w:rsidR="00414E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E602B3B" wp14:editId="7A67780E">
          <wp:simplePos x="0" y="0"/>
          <wp:positionH relativeFrom="column">
            <wp:posOffset>-1068043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B72A3" w14:textId="77777777" w:rsidR="00A92BA0" w:rsidRDefault="00A92BA0">
      <w:r>
        <w:separator/>
      </w:r>
    </w:p>
  </w:footnote>
  <w:footnote w:type="continuationSeparator" w:id="0">
    <w:p w14:paraId="446437B4" w14:textId="77777777" w:rsidR="00A92BA0" w:rsidRDefault="00A92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11063"/>
    <w:multiLevelType w:val="multilevel"/>
    <w:tmpl w:val="1CBCB1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8247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E78"/>
    <w:rsid w:val="0007652F"/>
    <w:rsid w:val="000E2079"/>
    <w:rsid w:val="00402207"/>
    <w:rsid w:val="00414E78"/>
    <w:rsid w:val="00A9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3A598"/>
  <w15:docId w15:val="{A8D7CD0F-7574-494E-BE80-0D313773A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rensa.fotocasa.es" TargetMode="External"/><Relationship Id="rId18" Type="http://schemas.openxmlformats.org/officeDocument/2006/relationships/hyperlink" Target="https://get.witei.com/en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research.fotocasa.es" TargetMode="External"/><Relationship Id="rId17" Type="http://schemas.openxmlformats.org/officeDocument/2006/relationships/hyperlink" Target="https://datavenue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ofesionales.fotocasa.es/" TargetMode="External"/><Relationship Id="rId20" Type="http://schemas.openxmlformats.org/officeDocument/2006/relationships/hyperlink" Target="mailto:comunicacion@fotocasa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indic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abitaclia.com/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yperlink" Target="https://www.inmoweb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hyperlink" Target="https://www.fotocasa.e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5f733b000be7bd91/Documents/02.%20Projectes/2025/251117_&#205;ndex%20Negociaci&#243;/results_city_2025_septembe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negotiation_index_september!$F$4</c:f>
              <c:strCache>
                <c:ptCount val="1"/>
                <c:pt idx="0">
                  <c:v>Índice de Negociación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negotiation_index_september!$E$5:$E$55</c:f>
              <c:strCache>
                <c:ptCount val="51"/>
                <c:pt idx="0">
                  <c:v>Granada</c:v>
                </c:pt>
                <c:pt idx="1">
                  <c:v>Palma</c:v>
                </c:pt>
                <c:pt idx="2">
                  <c:v>Alicante</c:v>
                </c:pt>
                <c:pt idx="3">
                  <c:v>Murcia</c:v>
                </c:pt>
                <c:pt idx="4">
                  <c:v>Málaga</c:v>
                </c:pt>
                <c:pt idx="5">
                  <c:v>Oviedo</c:v>
                </c:pt>
                <c:pt idx="6">
                  <c:v>Las Palmas de G. C.</c:v>
                </c:pt>
                <c:pt idx="7">
                  <c:v>León</c:v>
                </c:pt>
                <c:pt idx="8">
                  <c:v>Santa Cruz de T.</c:v>
                </c:pt>
                <c:pt idx="9">
                  <c:v>Madrid</c:v>
                </c:pt>
                <c:pt idx="10">
                  <c:v>Santander</c:v>
                </c:pt>
                <c:pt idx="11">
                  <c:v>Castellón de la Plana</c:v>
                </c:pt>
                <c:pt idx="12">
                  <c:v>Orense</c:v>
                </c:pt>
                <c:pt idx="13">
                  <c:v>Palencia</c:v>
                </c:pt>
                <c:pt idx="14">
                  <c:v>Salamanca</c:v>
                </c:pt>
                <c:pt idx="15">
                  <c:v>Segovia</c:v>
                </c:pt>
                <c:pt idx="16">
                  <c:v>Sevilla</c:v>
                </c:pt>
                <c:pt idx="17">
                  <c:v>Tarragona</c:v>
                </c:pt>
                <c:pt idx="18">
                  <c:v>Valencia</c:v>
                </c:pt>
                <c:pt idx="19">
                  <c:v>Barcelona</c:v>
                </c:pt>
                <c:pt idx="20">
                  <c:v>Córdoba</c:v>
                </c:pt>
                <c:pt idx="21">
                  <c:v>Logroño</c:v>
                </c:pt>
                <c:pt idx="22">
                  <c:v>Lleida</c:v>
                </c:pt>
                <c:pt idx="23">
                  <c:v>Valladolid</c:v>
                </c:pt>
                <c:pt idx="24">
                  <c:v>Burgos</c:v>
                </c:pt>
                <c:pt idx="25">
                  <c:v>Cuenca</c:v>
                </c:pt>
                <c:pt idx="26">
                  <c:v>Cáceres</c:v>
                </c:pt>
                <c:pt idx="27">
                  <c:v>Girona</c:v>
                </c:pt>
                <c:pt idx="28">
                  <c:v>Lugo</c:v>
                </c:pt>
                <c:pt idx="29">
                  <c:v>Pontevedra</c:v>
                </c:pt>
                <c:pt idx="30">
                  <c:v>Vigo</c:v>
                </c:pt>
                <c:pt idx="31">
                  <c:v>Almería</c:v>
                </c:pt>
                <c:pt idx="32">
                  <c:v>Badajoz</c:v>
                </c:pt>
                <c:pt idx="33">
                  <c:v>Guadalajara</c:v>
                </c:pt>
                <c:pt idx="34">
                  <c:v>Ávila</c:v>
                </c:pt>
                <c:pt idx="35">
                  <c:v>Bilbao</c:v>
                </c:pt>
                <c:pt idx="36">
                  <c:v>Huelva</c:v>
                </c:pt>
                <c:pt idx="37">
                  <c:v>Jaén</c:v>
                </c:pt>
                <c:pt idx="38">
                  <c:v>A Coruña</c:v>
                </c:pt>
                <c:pt idx="39">
                  <c:v>Zaragoza</c:v>
                </c:pt>
                <c:pt idx="40">
                  <c:v>Albacete</c:v>
                </c:pt>
                <c:pt idx="41">
                  <c:v>Ciudad Real</c:v>
                </c:pt>
                <c:pt idx="42">
                  <c:v>Cádiz</c:v>
                </c:pt>
                <c:pt idx="43">
                  <c:v>Huesca</c:v>
                </c:pt>
                <c:pt idx="44">
                  <c:v>Vitoria</c:v>
                </c:pt>
                <c:pt idx="45">
                  <c:v>San Sebastián</c:v>
                </c:pt>
                <c:pt idx="46">
                  <c:v>Soria</c:v>
                </c:pt>
                <c:pt idx="47">
                  <c:v>Toledo</c:v>
                </c:pt>
                <c:pt idx="48">
                  <c:v>Zamora</c:v>
                </c:pt>
                <c:pt idx="49">
                  <c:v>Teruel</c:v>
                </c:pt>
                <c:pt idx="50">
                  <c:v>Pamplona</c:v>
                </c:pt>
              </c:strCache>
            </c:strRef>
          </c:cat>
          <c:val>
            <c:numRef>
              <c:f>negotiation_index_september!$F$5:$F$55</c:f>
              <c:numCache>
                <c:formatCode>0%</c:formatCode>
                <c:ptCount val="51"/>
                <c:pt idx="0">
                  <c:v>0.22</c:v>
                </c:pt>
                <c:pt idx="1">
                  <c:v>0.18</c:v>
                </c:pt>
                <c:pt idx="2">
                  <c:v>0.17</c:v>
                </c:pt>
                <c:pt idx="3">
                  <c:v>0.15</c:v>
                </c:pt>
                <c:pt idx="4">
                  <c:v>0.15</c:v>
                </c:pt>
                <c:pt idx="5">
                  <c:v>0.15</c:v>
                </c:pt>
                <c:pt idx="6">
                  <c:v>0.14000000000000001</c:v>
                </c:pt>
                <c:pt idx="7">
                  <c:v>0.14000000000000001</c:v>
                </c:pt>
                <c:pt idx="8">
                  <c:v>0.14000000000000001</c:v>
                </c:pt>
                <c:pt idx="9">
                  <c:v>0.13</c:v>
                </c:pt>
                <c:pt idx="10">
                  <c:v>0.13</c:v>
                </c:pt>
                <c:pt idx="11">
                  <c:v>0.12</c:v>
                </c:pt>
                <c:pt idx="12">
                  <c:v>0.12</c:v>
                </c:pt>
                <c:pt idx="13">
                  <c:v>0.12</c:v>
                </c:pt>
                <c:pt idx="14">
                  <c:v>0.12</c:v>
                </c:pt>
                <c:pt idx="15">
                  <c:v>0.12</c:v>
                </c:pt>
                <c:pt idx="16">
                  <c:v>0.12</c:v>
                </c:pt>
                <c:pt idx="17">
                  <c:v>0.12</c:v>
                </c:pt>
                <c:pt idx="18">
                  <c:v>0.12</c:v>
                </c:pt>
                <c:pt idx="19">
                  <c:v>0.11</c:v>
                </c:pt>
                <c:pt idx="20">
                  <c:v>0.11</c:v>
                </c:pt>
                <c:pt idx="21">
                  <c:v>0.11</c:v>
                </c:pt>
                <c:pt idx="22">
                  <c:v>0.11</c:v>
                </c:pt>
                <c:pt idx="23">
                  <c:v>0.11</c:v>
                </c:pt>
                <c:pt idx="24">
                  <c:v>0.1</c:v>
                </c:pt>
                <c:pt idx="25">
                  <c:v>0.09</c:v>
                </c:pt>
                <c:pt idx="26">
                  <c:v>0.09</c:v>
                </c:pt>
                <c:pt idx="27">
                  <c:v>0.09</c:v>
                </c:pt>
                <c:pt idx="28">
                  <c:v>0.09</c:v>
                </c:pt>
                <c:pt idx="29">
                  <c:v>0.09</c:v>
                </c:pt>
                <c:pt idx="30">
                  <c:v>0.09</c:v>
                </c:pt>
                <c:pt idx="31">
                  <c:v>0.08</c:v>
                </c:pt>
                <c:pt idx="32">
                  <c:v>0.08</c:v>
                </c:pt>
                <c:pt idx="33">
                  <c:v>0.08</c:v>
                </c:pt>
                <c:pt idx="34">
                  <c:v>0.08</c:v>
                </c:pt>
                <c:pt idx="35">
                  <c:v>7.0000000000000007E-2</c:v>
                </c:pt>
                <c:pt idx="36">
                  <c:v>7.0000000000000007E-2</c:v>
                </c:pt>
                <c:pt idx="37">
                  <c:v>7.0000000000000007E-2</c:v>
                </c:pt>
                <c:pt idx="38">
                  <c:v>7.0000000000000007E-2</c:v>
                </c:pt>
                <c:pt idx="39">
                  <c:v>7.0000000000000007E-2</c:v>
                </c:pt>
                <c:pt idx="40">
                  <c:v>0.06</c:v>
                </c:pt>
                <c:pt idx="41">
                  <c:v>0.06</c:v>
                </c:pt>
                <c:pt idx="42">
                  <c:v>0.06</c:v>
                </c:pt>
                <c:pt idx="43">
                  <c:v>0.06</c:v>
                </c:pt>
                <c:pt idx="44">
                  <c:v>0.06</c:v>
                </c:pt>
                <c:pt idx="45">
                  <c:v>0.04</c:v>
                </c:pt>
                <c:pt idx="46">
                  <c:v>0.04</c:v>
                </c:pt>
                <c:pt idx="47">
                  <c:v>0.04</c:v>
                </c:pt>
                <c:pt idx="48">
                  <c:v>0.04</c:v>
                </c:pt>
                <c:pt idx="49">
                  <c:v>0.03</c:v>
                </c:pt>
                <c:pt idx="50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82-4F69-B269-AD41BC72B5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0519775"/>
        <c:axId val="1310520255"/>
      </c:barChart>
      <c:catAx>
        <c:axId val="13105197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ca-ES"/>
          </a:p>
        </c:txPr>
        <c:crossAx val="1310520255"/>
        <c:crosses val="autoZero"/>
        <c:auto val="1"/>
        <c:lblAlgn val="ctr"/>
        <c:lblOffset val="100"/>
        <c:noMultiLvlLbl val="0"/>
      </c:catAx>
      <c:valAx>
        <c:axId val="13105202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ca-ES"/>
          </a:p>
        </c:txPr>
        <c:crossAx val="13105197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a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PiCfK13yhK2maj2SCGIutIEUBw==">CgMxLjA4AGokChRzdWdnZXN0Lm1hMHJhYXQzbzNkZxIMTWFyw61hIE1hdG9zaiMKE3N1Z2dlc3QuMnllY2YyN3hpZ3ESDE1hcsOtYSBNYXRvc2okChRzdWdnZXN0Ljcxa2d0dmpzbWJvcRIMTWFyw61hIE1hdG9zaiMKE3N1Z2dlc3QuNHhuYTNwMnhhaHASDE1hcsOtYSBNYXRvc2okChRzdWdnZXN0LndrejZ5b3Mxc25vbxIMTWFyw61hIE1hdG9zaiQKFHN1Z2dlc3QucnFlYzhoY2I5OHpwEgxNYXLDrWEgTWF0b3NqJAoUc3VnZ2VzdC5uYTRoN2JieTI2cW8SDE1hcsOtYSBNYXRvc3IhMU1hZWRYMWxqSUs5OS05WkhVc2J0cnZPdVFXSmQwcE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923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2</cp:revision>
  <dcterms:created xsi:type="dcterms:W3CDTF">2024-02-06T13:46:00Z</dcterms:created>
  <dcterms:modified xsi:type="dcterms:W3CDTF">2025-11-20T22:37:00Z</dcterms:modified>
</cp:coreProperties>
</file>