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FC579" w14:textId="77777777" w:rsidR="005F30B3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B4E996A" wp14:editId="5160534B">
            <wp:simplePos x="0" y="0"/>
            <wp:positionH relativeFrom="column">
              <wp:posOffset>-1080117</wp:posOffset>
            </wp:positionH>
            <wp:positionV relativeFrom="paragraph">
              <wp:posOffset>-654666</wp:posOffset>
            </wp:positionV>
            <wp:extent cx="7581265" cy="1019175"/>
            <wp:effectExtent l="0" t="0" r="0" b="0"/>
            <wp:wrapNone/>
            <wp:docPr id="20853703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179590" w14:textId="77777777" w:rsidR="005F30B3" w:rsidRDefault="005F30B3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77D190A6" w14:textId="77777777" w:rsidR="005F30B3" w:rsidRDefault="005F30B3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3DA71A41" w14:textId="77777777" w:rsidR="005F30B3" w:rsidRDefault="005F30B3">
      <w:pPr>
        <w:jc w:val="center"/>
        <w:rPr>
          <w:rFonts w:ascii="National" w:eastAsia="National" w:hAnsi="National" w:cs="National"/>
          <w:b/>
          <w:bCs/>
          <w:color w:val="1DBDC5"/>
          <w:sz w:val="26"/>
          <w:szCs w:val="26"/>
        </w:rPr>
      </w:pPr>
    </w:p>
    <w:p w14:paraId="4EA70375" w14:textId="77777777" w:rsidR="005F30B3" w:rsidRDefault="00000000">
      <w:pPr>
        <w:jc w:val="center"/>
        <w:rPr>
          <w:rFonts w:ascii="National" w:eastAsia="National" w:hAnsi="National" w:cs="National"/>
          <w:b/>
          <w:bCs/>
          <w:color w:val="1DBDC5"/>
          <w:sz w:val="26"/>
          <w:szCs w:val="26"/>
        </w:rPr>
      </w:pPr>
      <w:r>
        <w:rPr>
          <w:rFonts w:ascii="National" w:eastAsia="National" w:hAnsi="National" w:cs="National"/>
          <w:b/>
          <w:bCs/>
          <w:color w:val="1DBDC5"/>
          <w:sz w:val="26"/>
          <w:szCs w:val="26"/>
        </w:rPr>
        <w:t>RADIOGRAFÍA DEL MERCADO DE LA VIVIENDA EN EL SEGUNDO SEMESTRE DE 2025</w:t>
      </w:r>
    </w:p>
    <w:p w14:paraId="783C8328" w14:textId="13CB277C" w:rsidR="005F30B3" w:rsidRDefault="00000000">
      <w:pPr>
        <w:jc w:val="center"/>
        <w:rPr>
          <w:rFonts w:ascii="Open Sans" w:eastAsia="Open Sans" w:hAnsi="Open Sans" w:cs="Open Sans"/>
          <w:color w:val="303AB2"/>
        </w:rPr>
      </w:pPr>
      <w:r>
        <w:rPr>
          <w:rFonts w:ascii="National" w:eastAsia="National" w:hAnsi="National" w:cs="National"/>
          <w:b/>
          <w:bCs/>
          <w:color w:val="303AB2"/>
          <w:sz w:val="50"/>
          <w:szCs w:val="50"/>
        </w:rPr>
        <w:t xml:space="preserve">Aumenta la actividad </w:t>
      </w:r>
      <w:r w:rsidR="00F232C3">
        <w:rPr>
          <w:rFonts w:ascii="National" w:eastAsia="National" w:hAnsi="National" w:cs="National"/>
          <w:b/>
          <w:bCs/>
          <w:color w:val="303AB2"/>
          <w:sz w:val="50"/>
          <w:szCs w:val="50"/>
        </w:rPr>
        <w:t xml:space="preserve">inmobiliaria </w:t>
      </w:r>
      <w:r>
        <w:rPr>
          <w:rFonts w:ascii="National" w:eastAsia="National" w:hAnsi="National" w:cs="National"/>
          <w:b/>
          <w:bCs/>
          <w:color w:val="303AB2"/>
          <w:sz w:val="50"/>
          <w:szCs w:val="50"/>
        </w:rPr>
        <w:t>en todos los grandes mercados territoriales, liderados por Madrid</w:t>
      </w:r>
    </w:p>
    <w:p w14:paraId="448085B3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195FAB9" w14:textId="77777777" w:rsidR="005F30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La participación de particulares en el mercado de la vivienda registra una fuerte recuperación en la Comunidad Valenciana</w:t>
      </w:r>
    </w:p>
    <w:p w14:paraId="41C044C1" w14:textId="77777777" w:rsidR="005F30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Cataluña alcanza una actividad del 34%, con un notable aumento respecto al 29% de 2024</w:t>
      </w:r>
    </w:p>
    <w:p w14:paraId="081A66C6" w14:textId="77777777" w:rsidR="005F30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Todas las comunidades presentan porcentajes de participación en el mercado de compraventa sensiblemente superiores a los de hace doce meses</w:t>
      </w:r>
    </w:p>
    <w:p w14:paraId="77E5786B" w14:textId="77777777" w:rsidR="005F30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hyperlink r:id="rId9">
        <w:r>
          <w:rPr>
            <w:rFonts w:ascii="Open Sans Light" w:eastAsia="Open Sans Light" w:hAnsi="Open Sans Light" w:cs="Open Sans Light"/>
            <w:b/>
            <w:bCs/>
            <w:color w:val="0000FF"/>
            <w:u w:val="single"/>
          </w:rPr>
          <w:t>Aquí se puede ver el informe completo “</w:t>
        </w:r>
      </w:hyperlink>
      <w:hyperlink r:id="rId10">
        <w:r>
          <w:rPr>
            <w:rFonts w:ascii="Open Sans Light" w:eastAsia="Open Sans Light" w:hAnsi="Open Sans Light" w:cs="Open Sans Light"/>
            <w:b/>
            <w:bCs/>
            <w:i/>
            <w:iCs/>
            <w:color w:val="0000FF"/>
            <w:u w:val="single"/>
          </w:rPr>
          <w:t>Radiografía del mercado de la vivienda en el segundo semestre de 2025</w:t>
        </w:r>
      </w:hyperlink>
      <w:hyperlink r:id="rId11">
        <w:r>
          <w:rPr>
            <w:rFonts w:ascii="Open Sans Light" w:eastAsia="Open Sans Light" w:hAnsi="Open Sans Light" w:cs="Open Sans Light"/>
            <w:b/>
            <w:bCs/>
            <w:color w:val="0000FF"/>
            <w:u w:val="single"/>
          </w:rPr>
          <w:t>”</w:t>
        </w:r>
      </w:hyperlink>
    </w:p>
    <w:p w14:paraId="39498D71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55C40988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Madrid, 22 de diciembre de 2025</w:t>
      </w:r>
      <w:r>
        <w:rPr>
          <w:rFonts w:ascii="Open Sans Light" w:eastAsia="Open Sans Light" w:hAnsi="Open Sans Light" w:cs="Open Sans Light"/>
          <w:b/>
          <w:bCs/>
          <w:color w:val="303AB2"/>
        </w:rPr>
        <w:tab/>
      </w:r>
    </w:p>
    <w:p w14:paraId="5CAE8C4F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F498DBD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dinamismo va al alza en los grandes mercados de la vivienda en España en el último año, mostrando un repunte generalizado en el sector. La Comunidad de Madrid sigue situándose a la cabeza de la clasificación nacional, con un 36% de particulares participando en el mercado (dos puntos más que el año anterior). Cataluña alcanza un 34%, registrando un notable aumento respecto al 29% de 2024, mientras que Andalucía se queda en el 31%, apenas un punto más que el ejercicio anterior. Los datos revelan que la Comunidad Valenciana es la región que protagoniza el mayor aumento interanual en puntos porcentuales, saltando del 28% de participación en el mercado en agosto de 2024 al 34% doce meses después, según el informe </w:t>
      </w:r>
      <w:r>
        <w:rPr>
          <w:rFonts w:ascii="Open Sans" w:eastAsia="Open Sans" w:hAnsi="Open Sans" w:cs="Open Sans"/>
          <w:b/>
          <w:bCs/>
        </w:rPr>
        <w:t>“</w:t>
      </w:r>
      <w:hyperlink r:id="rId12">
        <w:r>
          <w:rPr>
            <w:rFonts w:ascii="Open Sans" w:eastAsia="Open Sans" w:hAnsi="Open Sans" w:cs="Open Sans"/>
            <w:b/>
            <w:bCs/>
            <w:i/>
            <w:iCs/>
            <w:color w:val="0000FF"/>
            <w:u w:val="single"/>
          </w:rPr>
          <w:t>Radiografía del mercado de la vivienda en el segundo semestre de 2025</w:t>
        </w:r>
      </w:hyperlink>
      <w:r>
        <w:rPr>
          <w:rFonts w:ascii="Open Sans" w:eastAsia="Open Sans" w:hAnsi="Open Sans" w:cs="Open Sans"/>
          <w:b/>
          <w:bCs/>
        </w:rPr>
        <w:t xml:space="preserve">”, realizado por </w:t>
      </w:r>
      <w:hyperlink r:id="rId13">
        <w:r>
          <w:rPr>
            <w:rFonts w:ascii="Open Sans" w:eastAsia="Open Sans" w:hAnsi="Open Sans" w:cs="Open Sans"/>
            <w:b/>
            <w:bCs/>
            <w:color w:val="0000FF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</w:rPr>
        <w:t>.</w:t>
      </w:r>
    </w:p>
    <w:p w14:paraId="33CF59BD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4B2657A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t xml:space="preserve">“El mercado de la vivienda roza máximos de participación de los últimos tres años y se sitúa en niveles incluso superiores a los previos a la pandemia. El principal motor de esta reactivación es el nuevo escenario de tipos de interés bajos, que ha permitido que España cuente actualmente con las hipotecas más baratas de </w:t>
      </w:r>
      <w:r>
        <w:rPr>
          <w:rFonts w:ascii="Open Sans" w:eastAsia="Open Sans" w:hAnsi="Open Sans" w:cs="Open Sans"/>
        </w:rPr>
        <w:lastRenderedPageBreak/>
        <w:t xml:space="preserve">Europa, reactivando con fuerza la demanda de compra. La compraventa atraviesa así una etapa claramente expansiva y se ha convertido en la gran protagonista del mercado residencial, en contraste con un mercado del alquiler cada vez más reducido y tensionado, con precios persistentemente elevados. Esta falta de accesibilidad al alquiler está provocando un trasvase de demanda hacia la compra, incluso entre perfiles que inicialmente no contemplaban adquirir vivienda. A este dinamismo se suma el aumento de los flujos migratorios, que actúa como un factor adicional de presión sobre la demanda residencial y refuerza la intensidad del ciclo actual del mercado”, </w:t>
      </w:r>
      <w:r>
        <w:rPr>
          <w:rFonts w:ascii="Open Sans" w:eastAsia="Open Sans" w:hAnsi="Open Sans" w:cs="Open Sans"/>
          <w:b/>
          <w:bCs/>
        </w:rPr>
        <w:t xml:space="preserve">explica María Matos, directora de Estudios y portavoz de </w:t>
      </w:r>
      <w:hyperlink r:id="rId14">
        <w:r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bCs/>
        </w:rPr>
        <w:t>.</w:t>
      </w:r>
    </w:p>
    <w:p w14:paraId="3AEBCD8A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3390745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La búsqueda frustrada de alquiler de habitación se duplica en Madrid</w:t>
      </w:r>
    </w:p>
    <w:p w14:paraId="3DD89744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92FE432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Al poner el foco en el mercado del alquiler, </w:t>
      </w:r>
      <w:r>
        <w:rPr>
          <w:rFonts w:ascii="Open Sans" w:eastAsia="Open Sans" w:hAnsi="Open Sans" w:cs="Open Sans"/>
          <w:b/>
          <w:bCs/>
        </w:rPr>
        <w:t>Madrid y Cataluña lideran la actividad, ambas con un 18% de particulares activos</w:t>
      </w:r>
      <w:r>
        <w:rPr>
          <w:rFonts w:ascii="Open Sans" w:eastAsia="Open Sans" w:hAnsi="Open Sans" w:cs="Open Sans"/>
        </w:rPr>
        <w:t>, lo que supone un punto porcentual más que hace un año, respectivamente. Por el contrario, Andalucía desciende dos puntos hasta situarse en el 15%, mientras que la Comunidad Valenciana remonta del 15% al 17%. El informe destaca un dato preocupante en la capital de España: la búsqueda inefectiva de alquiler de habitaciones en Madrid ha duplicado su peso, pasando del 2% al 4%. En el lado opuesto, en la Comunidad Valenciana, el alquiler habitacional efectivo (quienes sí consiguieron alquilar habitación) también se ha duplicado por dos, pasando del 2% al 4%.</w:t>
      </w:r>
    </w:p>
    <w:p w14:paraId="7D52307F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51B6C46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En cuanto a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  <w:bCs/>
        </w:rPr>
        <w:t>la oferta, esta muestra una contracción notable en Madrid, que retrocede del 5% de agosto de 2024 al 3% un año después</w:t>
      </w:r>
      <w:r>
        <w:rPr>
          <w:rFonts w:ascii="Open Sans" w:eastAsia="Open Sans" w:hAnsi="Open Sans" w:cs="Open Sans"/>
        </w:rPr>
        <w:t>, perdiendo dos puntos porcentuales de stock disponible. En cambio, la oferta en Cataluña y Andalucía crece levemente, pasando del 4% al 5% y del 3% al 4%, respectivamente. En la Comunidad Valenciana, la oferta de alquiler se conserva en el 4%. La demanda por parte de los inquilinos se mantiene muy estable y se mueve entre el 6% y el 7% en todos estos mercados.</w:t>
      </w:r>
    </w:p>
    <w:p w14:paraId="1815A840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1E46B88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noProof/>
        </w:rPr>
        <w:lastRenderedPageBreak/>
        <w:drawing>
          <wp:inline distT="0" distB="0" distL="0" distR="0" wp14:anchorId="776851A3" wp14:editId="7810E1E8">
            <wp:extent cx="5766559" cy="3307254"/>
            <wp:effectExtent l="0" t="0" r="0" b="0"/>
            <wp:docPr id="2085370333" name="image1.png" descr="Gráfico, Gráfico de líneas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, Gráfico de líneas&#10;&#10;El contenido generado por IA puede ser incorrecto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559" cy="3307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DF070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2FDBCB8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Auge de la compraventa en todos los mercados</w:t>
      </w:r>
    </w:p>
    <w:p w14:paraId="3B3DDC5A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F3B3CB0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análisis del mercado de compraventa muestra un escenario homogéneo de crecimiento. </w:t>
      </w:r>
      <w:r>
        <w:rPr>
          <w:rFonts w:ascii="Open Sans" w:eastAsia="Open Sans" w:hAnsi="Open Sans" w:cs="Open Sans"/>
          <w:b/>
          <w:bCs/>
        </w:rPr>
        <w:t>Todas las comunidades presentan porcentajes de participación sensiblemente superiores a los de hace doce meses</w:t>
      </w:r>
      <w:r>
        <w:rPr>
          <w:rFonts w:ascii="Open Sans" w:eastAsia="Open Sans" w:hAnsi="Open Sans" w:cs="Open Sans"/>
        </w:rPr>
        <w:t xml:space="preserve">. En el caso de Madrid, la comunidad presenta el porcentaje más alto, con un 23% de participación en compraventa (frente al 21% de 2024), mientras que la Comunidad Valenciana experimenta el mayor impulso de la actividad, disparándose del 16% en 2024 al 22% en 2025. Destaca tanto el despegue de la compra efectiva (del 4% al 7%) como de la inefectiva (del 10% al 14%). </w:t>
      </w:r>
    </w:p>
    <w:p w14:paraId="2E941D88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33DABF9" w14:textId="77777777" w:rsidR="005F30B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En lo referente a Cataluña, la actividad de compraventa avanza del 17% al 20%</w:t>
      </w:r>
      <w:r>
        <w:rPr>
          <w:rFonts w:ascii="Open Sans" w:eastAsia="Open Sans" w:hAnsi="Open Sans" w:cs="Open Sans"/>
        </w:rPr>
        <w:t>, con un destacado repunte de la compra inefectiva (quienes buscan comprar, pero no lo consiguen), que pasa del 10% al 14%. Por su lado, en Andalucía, la participación crece del 17% al 21%, con la demanda no efectiva disparándose del 9% al 13%.</w:t>
      </w:r>
    </w:p>
    <w:p w14:paraId="6FFB2075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01920C5" w14:textId="77777777" w:rsidR="005F30B3" w:rsidRDefault="005F30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F0ADE23" w14:textId="77777777" w:rsidR="005F30B3" w:rsidRDefault="00000000">
      <w:pP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noProof/>
        </w:rPr>
        <w:lastRenderedPageBreak/>
        <w:drawing>
          <wp:inline distT="0" distB="0" distL="0" distR="0" wp14:anchorId="3AB77FB0" wp14:editId="2CAA46E6">
            <wp:extent cx="5760720" cy="2944495"/>
            <wp:effectExtent l="0" t="0" r="0" b="0"/>
            <wp:docPr id="2085370331" name="image4.png" descr="Imagen que contiene Gráfic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que contiene Gráfico&#10;&#10;El contenido generado por IA puede ser incorrecto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8C3E0" w14:textId="77777777" w:rsidR="005F30B3" w:rsidRDefault="005F30B3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87F3614" w14:textId="77777777" w:rsidR="005F30B3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034A5E9B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bCs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571C22C5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6D6EBDD3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8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4C754BD3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9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4AEAC760" w14:textId="77777777" w:rsidR="005F30B3" w:rsidRDefault="005F30B3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BEF9308" w14:textId="77777777" w:rsidR="005F30B3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Sobre Fotocasa </w:t>
      </w:r>
      <w:proofErr w:type="spellStart"/>
      <w:r>
        <w:rPr>
          <w:rFonts w:ascii="Open Sans Light" w:eastAsia="Open Sans Light" w:hAnsi="Open Sans Light" w:cs="Open Sans Light"/>
          <w:b/>
          <w:bCs/>
          <w:color w:val="303AB2"/>
        </w:rPr>
        <w:t>Group</w:t>
      </w:r>
      <w:proofErr w:type="spellEnd"/>
    </w:p>
    <w:p w14:paraId="20E855A0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bCs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0C29AC0D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Bajo su marca paraguas, 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> impulsa y da visibilidad a un ecosistema de marcas líderes —</w:t>
      </w:r>
      <w:hyperlink r:id="rId20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1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2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3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4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5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5BA28CB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lastRenderedPageBreak/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41BBC4D2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En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>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5B7A744B" w14:textId="77777777" w:rsidR="005F30B3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5036C7CE" w14:textId="77777777" w:rsidR="005F30B3" w:rsidRDefault="005F30B3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609C11FC" w14:textId="77777777" w:rsidR="005F30B3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5E6ADCD1" w14:textId="77777777" w:rsidR="005F30B3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López</w:t>
      </w:r>
    </w:p>
    <w:p w14:paraId="44A629D3" w14:textId="77777777" w:rsidR="005F30B3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359F4CB5" w14:textId="77777777" w:rsidR="005F30B3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5F30B3">
      <w:footerReference w:type="default" r:id="rId27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30137" w14:textId="77777777" w:rsidR="002946D9" w:rsidRDefault="002946D9">
      <w:r>
        <w:separator/>
      </w:r>
    </w:p>
  </w:endnote>
  <w:endnote w:type="continuationSeparator" w:id="0">
    <w:p w14:paraId="049ABCA7" w14:textId="77777777" w:rsidR="002946D9" w:rsidRDefault="00294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C53C760-37DB-4120-BBAA-8D889CAE55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325DD9-F12B-4477-9961-20C2C7BA7D15}"/>
    <w:embedBold r:id="rId3" w:fontKey="{4029E0F6-C37F-4C99-853E-E139A0BED4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192A06-B18B-43CE-9ECB-A857209AB5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596A6A9-62E2-4BD6-9EA2-857116A7EEDE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4DCB80B-DDDB-4EFE-80DF-8C593C176C59}"/>
    <w:embedBold r:id="rId7" w:fontKey="{387321BA-ED59-4CF5-B6A2-57BB1FB3F881}"/>
    <w:embedBoldItalic r:id="rId8" w:fontKey="{5BADD6BF-EEB4-4AB0-819D-DFD0A66C70F2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9" w:fontKey="{32C7E0E7-CA1D-492C-AA45-A49C070A23D8}"/>
    <w:embedBoldItalic r:id="rId10" w:fontKey="{39630AD3-A2CF-4C3D-8F93-4A7036E772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8B459" w14:textId="77777777" w:rsidR="005F30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0FE6656" wp14:editId="6AA8D665">
          <wp:simplePos x="0" y="0"/>
          <wp:positionH relativeFrom="column">
            <wp:posOffset>-1068041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853703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ECB5B" w14:textId="77777777" w:rsidR="002946D9" w:rsidRDefault="002946D9">
      <w:r>
        <w:separator/>
      </w:r>
    </w:p>
  </w:footnote>
  <w:footnote w:type="continuationSeparator" w:id="0">
    <w:p w14:paraId="303F5BFA" w14:textId="77777777" w:rsidR="002946D9" w:rsidRDefault="002946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EC191F"/>
    <w:multiLevelType w:val="multilevel"/>
    <w:tmpl w:val="C722E5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0921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0B3"/>
    <w:rsid w:val="002946D9"/>
    <w:rsid w:val="005F30B3"/>
    <w:rsid w:val="007A679E"/>
    <w:rsid w:val="007E736C"/>
    <w:rsid w:val="00F2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3B698"/>
  <w15:docId w15:val="{57CA6038-17C5-42D1-BB9D-F6051C594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716D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16DDB"/>
    <w:rPr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716D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16DDB"/>
    <w:rPr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search.fotocasa.es/" TargetMode="External"/><Relationship Id="rId18" Type="http://schemas.openxmlformats.org/officeDocument/2006/relationships/hyperlink" Target="https://www.research.fotocasa.es" TargetMode="External"/><Relationship Id="rId26" Type="http://schemas.openxmlformats.org/officeDocument/2006/relationships/hyperlink" Target="mailto:comunicacion@fotocasa.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abitaclia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36360.pcdn.co/wp-content/uploads/2025/11/Informe-Radiografia-en-el-mercado-de-la-vivienda-segundo-semestre-2025.pdf" TargetMode="External"/><Relationship Id="rId17" Type="http://schemas.openxmlformats.org/officeDocument/2006/relationships/hyperlink" Target="https://www.fotocasa.es/indice/" TargetMode="External"/><Relationship Id="rId25" Type="http://schemas.openxmlformats.org/officeDocument/2006/relationships/hyperlink" Target="https://www.inmoweb.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fotocasa.e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36360.pcdn.co/wp-content/uploads/2025/11/Informe-Radiografia-en-el-mercado-de-la-vivienda-segundo-semestre-2025.pdf" TargetMode="External"/><Relationship Id="rId24" Type="http://schemas.openxmlformats.org/officeDocument/2006/relationships/hyperlink" Target="https://get.witei.com/e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datavenues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36360.pcdn.co/wp-content/uploads/2025/11/Informe-Radiografia-en-el-mercado-de-la-vivienda-segundo-semestre-2025.pdf" TargetMode="External"/><Relationship Id="rId19" Type="http://schemas.openxmlformats.org/officeDocument/2006/relationships/hyperlink" Target="http://prensa.fotocas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36360.pcdn.co/wp-content/uploads/2025/11/Informe-Radiografia-en-el-mercado-de-la-vivienda-segundo-semestre-2025.pdf" TargetMode="External"/><Relationship Id="rId14" Type="http://schemas.openxmlformats.org/officeDocument/2006/relationships/hyperlink" Target="https://www.fotocasa.es" TargetMode="External"/><Relationship Id="rId22" Type="http://schemas.openxmlformats.org/officeDocument/2006/relationships/hyperlink" Target="https://profesionales.fotocasa.es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dTvsuE3YLSTpOuO4A9S6fteYqQ==">CgMxLjA4AHIhMWJxWWR1bW9xb01seTZ1Tkhmd19nNGlTOWc5UWFiRWg2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1190</Words>
  <Characters>6547</Characters>
  <Application>Microsoft Office Word</Application>
  <DocSecurity>0</DocSecurity>
  <Lines>54</Lines>
  <Paragraphs>15</Paragraphs>
  <ScaleCrop>false</ScaleCrop>
  <Company/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3</cp:revision>
  <cp:lastPrinted>2025-12-15T14:15:00Z</cp:lastPrinted>
  <dcterms:created xsi:type="dcterms:W3CDTF">2024-02-06T13:46:00Z</dcterms:created>
  <dcterms:modified xsi:type="dcterms:W3CDTF">2025-12-15T14:17:00Z</dcterms:modified>
</cp:coreProperties>
</file>