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“2025 será el mejor año hipotecario desde 2010, con casi medio millón de operaciones”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26 de enero de 2026</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hipotecas correspondientes al penúltimo mes de 2025 dados a conocer hoy por el INE reflejan un descenso mensual del</w:t>
      </w:r>
      <w:r w:rsidDel="00000000" w:rsidR="00000000" w:rsidRPr="00000000">
        <w:rPr>
          <w:rFonts w:ascii="Open Sans" w:cs="Open Sans" w:eastAsia="Open Sans" w:hAnsi="Open Sans"/>
          <w:sz w:val="21"/>
          <w:szCs w:val="21"/>
          <w:highlight w:val="white"/>
          <w:rtl w:val="0"/>
        </w:rPr>
        <w:t xml:space="preserve"> </w:t>
      </w:r>
      <w:r w:rsidDel="00000000" w:rsidR="00000000" w:rsidRPr="00000000">
        <w:rPr>
          <w:rFonts w:ascii="Open Sans" w:cs="Open Sans" w:eastAsia="Open Sans" w:hAnsi="Open Sans"/>
          <w:b w:val="1"/>
          <w:bCs w:val="1"/>
          <w:sz w:val="21"/>
          <w:szCs w:val="21"/>
          <w:highlight w:val="white"/>
          <w:rtl w:val="0"/>
        </w:rPr>
        <w:t xml:space="preserve">-17%</w:t>
      </w:r>
      <w:r w:rsidDel="00000000" w:rsidR="00000000" w:rsidRPr="00000000">
        <w:rPr>
          <w:rFonts w:ascii="Open Sans" w:cs="Open Sans" w:eastAsia="Open Sans" w:hAnsi="Open Sans"/>
          <w:sz w:val="21"/>
          <w:szCs w:val="21"/>
          <w:rtl w:val="0"/>
        </w:rPr>
        <w:t xml:space="preserve"> y un incremento anual del </w:t>
      </w:r>
      <w:r w:rsidDel="00000000" w:rsidR="00000000" w:rsidRPr="00000000">
        <w:rPr>
          <w:rFonts w:ascii="Open Sans" w:cs="Open Sans" w:eastAsia="Open Sans" w:hAnsi="Open Sans"/>
          <w:b w:val="1"/>
          <w:bCs w:val="1"/>
          <w:sz w:val="21"/>
          <w:szCs w:val="21"/>
          <w:rtl w:val="0"/>
        </w:rPr>
        <w:t xml:space="preserve">12,4%</w:t>
      </w:r>
      <w:r w:rsidDel="00000000" w:rsidR="00000000" w:rsidRPr="00000000">
        <w:rPr>
          <w:rFonts w:ascii="Open Sans" w:cs="Open Sans" w:eastAsia="Open Sans" w:hAnsi="Open Sans"/>
          <w:sz w:val="21"/>
          <w:szCs w:val="21"/>
          <w:highlight w:val="white"/>
          <w:rtl w:val="0"/>
        </w:rPr>
        <w:t xml:space="preserve">.</w:t>
      </w:r>
      <w:r w:rsidDel="00000000" w:rsidR="00000000" w:rsidRPr="00000000">
        <w:rPr>
          <w:rFonts w:ascii="Open Sans" w:cs="Open Sans" w:eastAsia="Open Sans" w:hAnsi="Open Sans"/>
          <w:sz w:val="21"/>
          <w:szCs w:val="21"/>
          <w:rtl w:val="0"/>
        </w:rPr>
        <w:t xml:space="preserve"> “El actual contexto de política monetaria más flexible, que abarata el crédito y mejora las condiciones de financiación, </w:t>
      </w:r>
      <w:r w:rsidDel="00000000" w:rsidR="00000000" w:rsidRPr="00000000">
        <w:rPr>
          <w:rFonts w:ascii="Open Sans" w:cs="Open Sans" w:eastAsia="Open Sans" w:hAnsi="Open Sans"/>
          <w:b w:val="1"/>
          <w:bCs w:val="1"/>
          <w:sz w:val="21"/>
          <w:szCs w:val="21"/>
          <w:rtl w:val="0"/>
        </w:rPr>
        <w:t xml:space="preserve">ha reactivado la demanda de ese 21% de compradores que habían quedado fuera tras la subida previa de tipos</w:t>
      </w:r>
      <w:r w:rsidDel="00000000" w:rsidR="00000000" w:rsidRPr="00000000">
        <w:rPr>
          <w:rFonts w:ascii="Open Sans" w:cs="Open Sans" w:eastAsia="Open Sans" w:hAnsi="Open Sans"/>
          <w:sz w:val="21"/>
          <w:szCs w:val="21"/>
          <w:rtl w:val="0"/>
        </w:rPr>
        <w:t xml:space="preserve">. Un impulso que permite que el mercado hipotecario recupere atractivo y consolide su cambio de ciclo, cuando se cumple un año del inicio de la desescalada del BCE”,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falta de un mes para cerrar los datos de 2025, </w:t>
      </w:r>
      <w:r w:rsidDel="00000000" w:rsidR="00000000" w:rsidRPr="00000000">
        <w:rPr>
          <w:rFonts w:ascii="Open Sans" w:cs="Open Sans" w:eastAsia="Open Sans" w:hAnsi="Open Sans"/>
          <w:b w:val="1"/>
          <w:bCs w:val="1"/>
          <w:sz w:val="21"/>
          <w:szCs w:val="21"/>
          <w:rtl w:val="0"/>
        </w:rPr>
        <w:t xml:space="preserve">el ejercicio se perfila como uno de los mejores del mercado hipotecario, con cerca de 500.000 concesiones sobre vivienda</w:t>
      </w:r>
      <w:r w:rsidDel="00000000" w:rsidR="00000000" w:rsidRPr="00000000">
        <w:rPr>
          <w:rFonts w:ascii="Open Sans" w:cs="Open Sans" w:eastAsia="Open Sans" w:hAnsi="Open Sans"/>
          <w:sz w:val="21"/>
          <w:szCs w:val="21"/>
          <w:rtl w:val="0"/>
        </w:rPr>
        <w:t xml:space="preserve">. Hasta noviembre se han formalizado 463.232 préstamos, un 8% más que el año pasado y </w:t>
      </w:r>
      <w:r w:rsidDel="00000000" w:rsidR="00000000" w:rsidRPr="00000000">
        <w:rPr>
          <w:rFonts w:ascii="Open Sans" w:cs="Open Sans" w:eastAsia="Open Sans" w:hAnsi="Open Sans"/>
          <w:b w:val="1"/>
          <w:bCs w:val="1"/>
          <w:sz w:val="21"/>
          <w:szCs w:val="21"/>
          <w:rtl w:val="0"/>
        </w:rPr>
        <w:t xml:space="preserve">solo en ese mes se alcanzaron 43.319</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hipotecas, el mejor noviembre de los últimos 16 años y una cifra muy por encima de la media mensual habitual</w:t>
      </w:r>
      <w:r w:rsidDel="00000000" w:rsidR="00000000" w:rsidRPr="00000000">
        <w:rPr>
          <w:rFonts w:ascii="Open Sans" w:cs="Open Sans" w:eastAsia="Open Sans" w:hAnsi="Open Sans"/>
          <w:sz w:val="21"/>
          <w:szCs w:val="21"/>
          <w:rtl w:val="0"/>
        </w:rPr>
        <w:t xml:space="preserve"> de 35.000 operaciones del pasado año. Este dinamismo refleja no solo el repunte en la concesión de crédito, sino también el fuerte movimiento en la compraventa de vivienda, impulsado por el optimismo y la creciente confianza de los compradores. Todo ello situará a 2025 como una </w:t>
      </w:r>
      <w:r w:rsidDel="00000000" w:rsidR="00000000" w:rsidRPr="00000000">
        <w:rPr>
          <w:rFonts w:ascii="Open Sans" w:cs="Open Sans" w:eastAsia="Open Sans" w:hAnsi="Open Sans"/>
          <w:b w:val="1"/>
          <w:bCs w:val="1"/>
          <w:sz w:val="21"/>
          <w:szCs w:val="21"/>
          <w:rtl w:val="0"/>
        </w:rPr>
        <w:t xml:space="preserve">auténtica etapa dorada para la compra de vivienda con financiación hipotecaria</w:t>
      </w:r>
      <w:r w:rsidDel="00000000" w:rsidR="00000000" w:rsidRPr="00000000">
        <w:rPr>
          <w:rFonts w:ascii="Open Sans" w:cs="Open Sans" w:eastAsia="Open Sans" w:hAnsi="Open Sans"/>
          <w:sz w:val="21"/>
          <w:szCs w:val="21"/>
          <w:rtl w:val="0"/>
        </w:rPr>
        <w:t xml:space="preserve">”, añade la portavoz del portal inmobiliario.</w:t>
      </w:r>
    </w:p>
    <w:p w:rsidR="00000000" w:rsidDel="00000000" w:rsidP="00000000" w:rsidRDefault="00000000" w:rsidRPr="00000000" w14:paraId="00000007">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hyperlink r:id="rId8">
        <w:r w:rsidDel="00000000" w:rsidR="00000000" w:rsidRPr="00000000">
          <w:rPr>
            <w:rFonts w:ascii="Open Sans" w:cs="Open Sans" w:eastAsia="Open Sans" w:hAnsi="Open Sans"/>
            <w:color w:val="1155cc"/>
            <w:sz w:val="21"/>
            <w:szCs w:val="21"/>
            <w:u w:val="single"/>
            <w:rtl w:val="0"/>
          </w:rPr>
          <w:t xml:space="preserve">Las </w:t>
        </w:r>
      </w:hyperlink>
      <w:hyperlink r:id="rId9">
        <w:r w:rsidDel="00000000" w:rsidR="00000000" w:rsidRPr="00000000">
          <w:rPr>
            <w:rFonts w:ascii="Open Sans" w:cs="Open Sans" w:eastAsia="Open Sans" w:hAnsi="Open Sans"/>
            <w:b w:val="1"/>
            <w:bCs w:val="1"/>
            <w:color w:val="1155cc"/>
            <w:sz w:val="21"/>
            <w:szCs w:val="21"/>
            <w:u w:val="single"/>
            <w:rtl w:val="0"/>
          </w:rPr>
          <w:t xml:space="preserve">hipotecas a tipo fijo</w:t>
        </w:r>
      </w:hyperlink>
      <w:r w:rsidDel="00000000" w:rsidR="00000000" w:rsidRPr="00000000">
        <w:rPr>
          <w:rFonts w:ascii="Open Sans" w:cs="Open Sans" w:eastAsia="Open Sans" w:hAnsi="Open Sans"/>
          <w:b w:val="1"/>
          <w:bCs w:val="1"/>
          <w:sz w:val="21"/>
          <w:szCs w:val="21"/>
          <w:rtl w:val="0"/>
        </w:rPr>
        <w:t xml:space="preserve"> siguen siendo las más demandadas (representan actualmente el 61% de las firmas mensuales)</w:t>
      </w:r>
      <w:r w:rsidDel="00000000" w:rsidR="00000000" w:rsidRPr="00000000">
        <w:rPr>
          <w:rFonts w:ascii="Open Sans" w:cs="Open Sans" w:eastAsia="Open Sans" w:hAnsi="Open Sans"/>
          <w:sz w:val="21"/>
          <w:szCs w:val="21"/>
          <w:rtl w:val="0"/>
        </w:rPr>
        <w:t xml:space="preserve">, mientras las de tipo variable comienzan a perder terreno, ya que en los últimos meses han sido desincentivadas por la relativa estabilidad del Euríbor. Además, </w:t>
      </w:r>
      <w:r w:rsidDel="00000000" w:rsidR="00000000" w:rsidRPr="00000000">
        <w:rPr>
          <w:rFonts w:ascii="Open Sans" w:cs="Open Sans" w:eastAsia="Open Sans" w:hAnsi="Open Sans"/>
          <w:b w:val="1"/>
          <w:bCs w:val="1"/>
          <w:sz w:val="21"/>
          <w:szCs w:val="21"/>
          <w:rtl w:val="0"/>
        </w:rPr>
        <w:t xml:space="preserve">las subrogaciones también están al alza, impulsadas por el interés de muchos hipotecados en mejorar sus condiciones</w:t>
      </w:r>
      <w:r w:rsidDel="00000000" w:rsidR="00000000" w:rsidRPr="00000000">
        <w:rPr>
          <w:rFonts w:ascii="Open Sans" w:cs="Open Sans" w:eastAsia="Open Sans" w:hAnsi="Open Sans"/>
          <w:sz w:val="21"/>
          <w:szCs w:val="21"/>
          <w:rtl w:val="0"/>
        </w:rPr>
        <w:t xml:space="preserve"> y aprovechar la coyuntura favorable. En este contexto, la banca, que todavía tiene margen para ajustar sus propuestas hipotecarias, no solo atrae a un mayor número de solicitantes, sino que consolidará un repunte significativo en sus ventas por la positiva concesión de créditos a final el año”, asegura la portavoz de </w:t>
      </w:r>
      <w:hyperlink r:id="rId10">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8">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también está experimentando un cambio en el perfil del demandante, especialmente entre quienes no lograron acceder a la compra debido a los pasados costes de financiación. Según los estudios de </w:t>
      </w:r>
      <w:hyperlink r:id="rId11">
        <w:r w:rsidDel="00000000" w:rsidR="00000000" w:rsidRPr="00000000">
          <w:rPr>
            <w:rFonts w:ascii="Open Sans" w:cs="Open Sans" w:eastAsia="Open Sans" w:hAnsi="Open Sans"/>
            <w:b w:val="1"/>
            <w:bCs w:val="1"/>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uno de cada tres jóvenes compradores accede al mercado animado por las nuevas condiciones hipotecarias, lo que evidencia la importancia de estas medidas en un colectivo excluido por razones de asequibilidad y de incrementos de precios en la vivienda”, asegura la directora de Estudios.</w:t>
      </w:r>
    </w:p>
    <w:p w:rsidR="00000000" w:rsidDel="00000000" w:rsidP="00000000" w:rsidRDefault="00000000" w:rsidRPr="00000000" w14:paraId="00000009">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Este perfil, que busca en la vivienda un valor refugio frente a la incertidumbre geopolítica y económica, está ganando peso en el mercado. Este escenario refleja un posible repunte de la demanda en el corto plazo, impulsado por mejores perspectivas en el mercado hipotecario”, explica la portavoz.</w:t>
      </w:r>
    </w:p>
    <w:p w:rsidR="00000000" w:rsidDel="00000000" w:rsidP="00000000" w:rsidRDefault="00000000" w:rsidRPr="00000000" w14:paraId="0000000A">
      <w:pPr>
        <w:shd w:fill="ffffff" w:val="clear"/>
        <w:tabs>
          <w:tab w:val="left" w:leader="none" w:pos="142"/>
        </w:tabs>
        <w:spacing w:after="280" w:before="280"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a cierre de 2025 e inicio de 2026</w:t>
      </w:r>
      <w:r w:rsidDel="00000000" w:rsidR="00000000" w:rsidRPr="00000000">
        <w:rPr>
          <w:rtl w:val="0"/>
        </w:rPr>
      </w:r>
    </w:p>
    <w:p w:rsidR="00000000" w:rsidDel="00000000" w:rsidP="00000000" w:rsidRDefault="00000000" w:rsidRPr="00000000" w14:paraId="0000000B">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 nueva senda de bajos tipos de interés marcada por el Banco Central Europeo en 2024 permitirá que, a comienzos de 2026, España se sitúe por debajo del 2,9% de tipo medio hipotecario, consolidándose como uno de los mercados con hipotecas más competitivas y accesibles de Europa. Si el Euríbor mantiene la trayectoria actual, es probable que la banca empiece a dejar atrás la intensa competencia comercial observada en los últimos meses y apueste por productos más prudentes, mejor alineados con un escenario de mayor estabilidad monetaria. Este c</w:t>
      </w:r>
      <w:r w:rsidDel="00000000" w:rsidR="00000000" w:rsidRPr="00000000">
        <w:rPr>
          <w:rFonts w:ascii="Open Sans" w:cs="Open Sans" w:eastAsia="Open Sans" w:hAnsi="Open Sans"/>
          <w:b w:val="1"/>
          <w:bCs w:val="1"/>
          <w:sz w:val="21"/>
          <w:szCs w:val="21"/>
          <w:rtl w:val="0"/>
        </w:rPr>
        <w:t xml:space="preserve">ambio de estrategia podría traducirse en una ligera moderación del ritmo de compraventas en 2026</w:t>
      </w:r>
      <w:r w:rsidDel="00000000" w:rsidR="00000000" w:rsidRPr="00000000">
        <w:rPr>
          <w:rFonts w:ascii="Open Sans" w:cs="Open Sans" w:eastAsia="Open Sans" w:hAnsi="Open Sans"/>
          <w:sz w:val="21"/>
          <w:szCs w:val="21"/>
          <w:rtl w:val="0"/>
        </w:rPr>
        <w:t xml:space="preserve">, acercándose a una media de en torno a 40.000 operaciones mensuales”, comenta María Matos, directora de Estudios.</w:t>
      </w:r>
    </w:p>
    <w:p w:rsidR="00000000" w:rsidDel="00000000" w:rsidP="00000000" w:rsidRDefault="00000000" w:rsidRPr="00000000" w14:paraId="0000000C">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verdadero alcance de la relajación monetaria dependerá de factores clave como la evolución de la inflación en la eurozona, las políticas comerciales de Estados Unidos y el impacto expansivo del aumento del gasto público en defensa e infraestructuras en Europa. En este contexto, el </w:t>
      </w:r>
      <w:r w:rsidDel="00000000" w:rsidR="00000000" w:rsidRPr="00000000">
        <w:rPr>
          <w:rFonts w:ascii="Open Sans" w:cs="Open Sans" w:eastAsia="Open Sans" w:hAnsi="Open Sans"/>
          <w:b w:val="1"/>
          <w:bCs w:val="1"/>
          <w:sz w:val="21"/>
          <w:szCs w:val="21"/>
          <w:rtl w:val="0"/>
        </w:rPr>
        <w:t xml:space="preserve">Euríbor previsiblemente se mantendrá estable en la primera etapa de 2026, lo que seguirá incentivando a las entidades financieras a ofrecer condiciones hipotecarias competitivas</w:t>
      </w:r>
      <w:r w:rsidDel="00000000" w:rsidR="00000000" w:rsidRPr="00000000">
        <w:rPr>
          <w:rFonts w:ascii="Open Sans" w:cs="Open Sans" w:eastAsia="Open Sans" w:hAnsi="Open Sans"/>
          <w:sz w:val="21"/>
          <w:szCs w:val="21"/>
          <w:rtl w:val="0"/>
        </w:rPr>
        <w:t xml:space="preserve">. Esta estrategia continuará reforzando el protagonismo de las hipotecas a tipo fijo, que se consolidarán como una de las principales opciones del mercado”, prevé María Matos, portavoz de </w:t>
      </w:r>
      <w:hyperlink r:id="rId12">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D">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cara a 2026, el mercado residencial llegará tras </w:t>
      </w:r>
      <w:r w:rsidDel="00000000" w:rsidR="00000000" w:rsidRPr="00000000">
        <w:rPr>
          <w:rFonts w:ascii="Open Sans" w:cs="Open Sans" w:eastAsia="Open Sans" w:hAnsi="Open Sans"/>
          <w:b w:val="1"/>
          <w:bCs w:val="1"/>
          <w:sz w:val="21"/>
          <w:szCs w:val="21"/>
          <w:rtl w:val="0"/>
        </w:rPr>
        <w:t xml:space="preserve">un 2025 excepcional, que previsiblemente cerrará como el mejor año desde 2010 al acercarse a las 500.000 operaciones</w:t>
      </w:r>
      <w:r w:rsidDel="00000000" w:rsidR="00000000" w:rsidRPr="00000000">
        <w:rPr>
          <w:rFonts w:ascii="Open Sans" w:cs="Open Sans" w:eastAsia="Open Sans" w:hAnsi="Open Sans"/>
          <w:sz w:val="21"/>
          <w:szCs w:val="21"/>
          <w:rtl w:val="0"/>
        </w:rPr>
        <w:t xml:space="preserve">. Tras los recortes de tipos del primer semestre de 2025, el mercado habrá entrado en una fase de crecimiento sostenido. No obstante, la continuidad de una política monetaria más laxa seguirá estimulando la demanda, lo que podría derivar en nuevas tensiones sobre los precios de la vivienda. Aunque las condiciones hipotecarias a comienzos de 2026 seguirán siendo favorables, </w:t>
      </w:r>
      <w:r w:rsidDel="00000000" w:rsidR="00000000" w:rsidRPr="00000000">
        <w:rPr>
          <w:rFonts w:ascii="Open Sans" w:cs="Open Sans" w:eastAsia="Open Sans" w:hAnsi="Open Sans"/>
          <w:b w:val="1"/>
          <w:bCs w:val="1"/>
          <w:sz w:val="21"/>
          <w:szCs w:val="21"/>
          <w:rtl w:val="0"/>
        </w:rPr>
        <w:t xml:space="preserve">es probable que no logren compensar el fuerte encarecimiento acumulado del mercado, que cerró 2025 con una subida del 20%</w:t>
      </w:r>
      <w:r w:rsidDel="00000000" w:rsidR="00000000" w:rsidRPr="00000000">
        <w:rPr>
          <w:rFonts w:ascii="Open Sans" w:cs="Open Sans" w:eastAsia="Open Sans" w:hAnsi="Open Sans"/>
          <w:sz w:val="21"/>
          <w:szCs w:val="21"/>
          <w:rtl w:val="0"/>
        </w:rPr>
        <w:t xml:space="preserve">. Así, los compradores accederán a financiación más asequible, pero se enfrentarán a precios de compra cada vez más elevados, lo que seguirá convirtiendo el acceso a la vivienda en uno de los grandes retos del mercado”, concluye la directora de Estudios.</w:t>
      </w:r>
    </w:p>
    <w:p w:rsidR="00000000" w:rsidDel="00000000" w:rsidP="00000000" w:rsidRDefault="00000000" w:rsidRPr="00000000" w14:paraId="0000000E">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1">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2">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hyperlink r:id="rId13">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14">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6">
      <w:pPr>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-1916383</wp:posOffset>
          </wp:positionH>
          <wp:positionV relativeFrom="paragraph">
            <wp:posOffset>304800</wp:posOffset>
          </wp:positionV>
          <wp:extent cx="8620125" cy="447675"/>
          <wp:effectExtent b="0" l="0" r="0" t="0"/>
          <wp:wrapSquare wrapText="bothSides" distB="0" distT="0" distL="0" distR="0"/>
          <wp:docPr id="383678884" name="image1.png"/>
          <a:graphic>
            <a:graphicData uri="http://schemas.openxmlformats.org/drawingml/2006/picture">
              <pic:pic>
                <pic:nvPicPr>
                  <pic:cNvPr id="0" name="image1.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-914392</wp:posOffset>
          </wp:positionH>
          <wp:positionV relativeFrom="paragraph">
            <wp:posOffset>-243193</wp:posOffset>
          </wp:positionV>
          <wp:extent cx="7711147" cy="1037167"/>
          <wp:effectExtent b="0" l="0" r="0" t="0"/>
          <wp:wrapSquare wrapText="bothSides" distB="0" distT="0" distL="0" distR="0"/>
          <wp:docPr descr="Patrón de fondo&#10;&#10;El contenido generado por IA puede ser incorrecto." id="383678883" name="image2.png"/>
          <a:graphic>
            <a:graphicData uri="http://schemas.openxmlformats.org/drawingml/2006/picture">
              <pic:pic>
                <pic:nvPicPr>
                  <pic:cNvPr descr="Patrón de fondo&#10;&#10;El contenido generado por IA puede ser incorrecto." id="0" name="image2.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C2287"/>
    <w:rPr>
      <w:color w:val="0000ff" w:themeColor="hyperlink"/>
      <w:u w:val="single"/>
    </w:rPr>
  </w:style>
  <w:style w:type="character" w:styleId="Mencinsinresolver">
    <w:name w:val="Unresolved Mention"/>
    <w:basedOn w:val="Fuentedeprrafopredeter"/>
    <w:uiPriority w:val="99"/>
    <w:semiHidden w:val="1"/>
    <w:unhideWhenUsed w:val="1"/>
    <w:rsid w:val="00AC2287"/>
    <w:rPr>
      <w:color w:val="605e5c"/>
      <w:shd w:color="auto" w:fill="e1dfdd" w:val="clear"/>
    </w:rPr>
  </w:style>
  <w:style w:type="paragraph" w:styleId="Encabezado">
    <w:name w:val="header"/>
    <w:basedOn w:val="Normal"/>
    <w:link w:val="EncabezadoCar"/>
    <w:uiPriority w:val="99"/>
    <w:unhideWhenUsed w:val="1"/>
    <w:rsid w:val="00F118B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118B9"/>
  </w:style>
  <w:style w:type="paragraph" w:styleId="Piedepgina">
    <w:name w:val="footer"/>
    <w:basedOn w:val="Normal"/>
    <w:link w:val="PiedepginaCar"/>
    <w:uiPriority w:val="99"/>
    <w:unhideWhenUsed w:val="1"/>
    <w:rsid w:val="00F118B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F118B9"/>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Prrafodelista">
    <w:name w:val="List Paragraph"/>
    <w:basedOn w:val="Normal"/>
    <w:uiPriority w:val="34"/>
    <w:qFormat w:val="1"/>
    <w:rsid w:val="0014511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search.fotocasa.es/" TargetMode="External"/><Relationship Id="rId10" Type="http://schemas.openxmlformats.org/officeDocument/2006/relationships/hyperlink" Target="https://www.fotocasa.es/es/" TargetMode="External"/><Relationship Id="rId13" Type="http://schemas.openxmlformats.org/officeDocument/2006/relationships/hyperlink" Target="http://comunicacion@fotocasa.es" TargetMode="External"/><Relationship Id="rId12" Type="http://schemas.openxmlformats.org/officeDocument/2006/relationships/hyperlink" Target="https://www.fotocasa.e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fotocasa-life/hipotecas-finanzas/hipotecas-a-tipo-fijo-en-2025/" TargetMode="External"/><Relationship Id="rId15" Type="http://schemas.openxmlformats.org/officeDocument/2006/relationships/header" Target="header1.xml"/><Relationship Id="rId14" Type="http://schemas.openxmlformats.org/officeDocument/2006/relationships/hyperlink" Target="http://prensa.fotocasa.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fotocasa-life/hipotecas-finanzas/hipotecas-a-tipo-fijo-en-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ZVVcNN9qm8xyiSn9fy2pDIlug==">CgMxLjA4AHIhMUplQ0dXd3BucktqaGl5VVVRNE93Y200QUJwd0JJelBE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cp:coreProperties>
</file>