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-1080118</wp:posOffset>
            </wp:positionH>
            <wp:positionV relativeFrom="paragraph">
              <wp:posOffset>-654667</wp:posOffset>
            </wp:positionV>
            <wp:extent cx="7581265" cy="1019175"/>
            <wp:effectExtent b="0" l="0" r="0" t="0"/>
            <wp:wrapNone/>
            <wp:docPr id="206681661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7581265" cy="1019175"/>
                    </a:xfrm>
                    <a:prstGeom prst="rect"/>
                    <a:ln/>
                  </pic:spPr>
                </pic:pic>
              </a:graphicData>
            </a:graphic>
          </wp:anchor>
        </w:drawing>
      </w:r>
    </w:p>
    <w:p w:rsidR="00000000" w:rsidDel="00000000" w:rsidP="00000000" w:rsidRDefault="00000000" w:rsidRPr="00000000" w14:paraId="00000002">
      <w:pPr>
        <w:jc w:val="right"/>
        <w:rPr>
          <w:rFonts w:ascii="National" w:cs="National" w:eastAsia="National" w:hAnsi="National"/>
          <w:color w:val="303ab2"/>
          <w:sz w:val="36"/>
          <w:szCs w:val="36"/>
        </w:rPr>
      </w:pPr>
      <w:r w:rsidDel="00000000" w:rsidR="00000000" w:rsidRPr="00000000">
        <w:rPr>
          <w:rtl w:val="0"/>
        </w:rPr>
      </w:r>
    </w:p>
    <w:p w:rsidR="00000000" w:rsidDel="00000000" w:rsidP="00000000" w:rsidRDefault="00000000" w:rsidRPr="00000000" w14:paraId="00000003">
      <w:pPr>
        <w:rPr>
          <w:rFonts w:ascii="National" w:cs="National" w:eastAsia="National" w:hAnsi="National"/>
          <w:color w:val="303ab2"/>
          <w:sz w:val="18"/>
          <w:szCs w:val="18"/>
        </w:rPr>
      </w:pPr>
      <w:r w:rsidDel="00000000" w:rsidR="00000000" w:rsidRPr="00000000">
        <w:rPr>
          <w:rtl w:val="0"/>
        </w:rPr>
      </w:r>
    </w:p>
    <w:p w:rsidR="00000000" w:rsidDel="00000000" w:rsidP="00000000" w:rsidRDefault="00000000" w:rsidRPr="00000000" w14:paraId="00000004">
      <w:pPr>
        <w:jc w:val="center"/>
        <w:rPr>
          <w:rFonts w:ascii="National" w:cs="National" w:eastAsia="National" w:hAnsi="National"/>
          <w:b w:val="1"/>
          <w:bCs w:val="1"/>
          <w:color w:val="1dbdc5"/>
          <w:sz w:val="34"/>
          <w:szCs w:val="34"/>
        </w:rPr>
      </w:pPr>
      <w:r w:rsidDel="00000000" w:rsidR="00000000" w:rsidRPr="00000000">
        <w:rPr>
          <w:rtl w:val="0"/>
        </w:rPr>
      </w:r>
    </w:p>
    <w:p w:rsidR="00000000" w:rsidDel="00000000" w:rsidP="00000000" w:rsidRDefault="00000000" w:rsidRPr="00000000" w14:paraId="00000005">
      <w:pPr>
        <w:jc w:val="center"/>
        <w:rPr>
          <w:rFonts w:ascii="National" w:cs="National" w:eastAsia="National" w:hAnsi="National"/>
          <w:b w:val="1"/>
          <w:bCs w:val="1"/>
          <w:color w:val="1dbdc5"/>
          <w:sz w:val="32"/>
          <w:szCs w:val="32"/>
        </w:rPr>
      </w:pPr>
      <w:r w:rsidDel="00000000" w:rsidR="00000000" w:rsidRPr="00000000">
        <w:rPr>
          <w:rFonts w:ascii="National" w:cs="National" w:eastAsia="National" w:hAnsi="National"/>
          <w:b w:val="1"/>
          <w:bCs w:val="1"/>
          <w:color w:val="1dbdc5"/>
          <w:sz w:val="32"/>
          <w:szCs w:val="32"/>
          <w:rtl w:val="0"/>
        </w:rPr>
        <w:t xml:space="preserve">INFORME “LA VIVIENDA EN VENTA EN ESPAÑA EN 2025”</w:t>
      </w:r>
    </w:p>
    <w:p w:rsidR="00000000" w:rsidDel="00000000" w:rsidP="00000000" w:rsidRDefault="00000000" w:rsidRPr="00000000" w14:paraId="00000006">
      <w:pPr>
        <w:jc w:val="center"/>
        <w:rPr>
          <w:rFonts w:ascii="National" w:cs="National" w:eastAsia="National" w:hAnsi="National"/>
          <w:b w:val="1"/>
          <w:bCs w:val="1"/>
          <w:color w:val="303ab2"/>
          <w:sz w:val="50"/>
          <w:szCs w:val="50"/>
        </w:rPr>
      </w:pPr>
      <w:r w:rsidDel="00000000" w:rsidR="00000000" w:rsidRPr="00000000">
        <w:rPr>
          <w:rFonts w:ascii="National" w:cs="National" w:eastAsia="National" w:hAnsi="National"/>
          <w:b w:val="1"/>
          <w:bCs w:val="1"/>
          <w:color w:val="303ab2"/>
          <w:sz w:val="50"/>
          <w:szCs w:val="50"/>
          <w:rtl w:val="0"/>
        </w:rPr>
        <w:t xml:space="preserve">El precio de la vivienda supera ya los 7.000 euros por metro cuadrado en cinco ciudades españolas</w:t>
      </w:r>
    </w:p>
    <w:p w:rsidR="00000000" w:rsidDel="00000000" w:rsidP="00000000" w:rsidRDefault="00000000" w:rsidRPr="00000000" w14:paraId="00000007">
      <w:pPr>
        <w:jc w:val="center"/>
        <w:rPr>
          <w:rFonts w:ascii="Open Sans" w:cs="Open Sans" w:eastAsia="Open Sans" w:hAnsi="Open Sans"/>
          <w:color w:val="303ab2"/>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Baleares concentra cuatro de las cinco ciudades españolas más caras para comprar vivienda en España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El municipio con el precio más elevado de vivienda en propiedad es Santa Eulària des Riu (Baleares), donde el metro cuadrado alcanza los 8.494 €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Fonts w:ascii="Open Sans Light" w:cs="Open Sans Light" w:eastAsia="Open Sans Light" w:hAnsi="Open Sans Light"/>
          <w:b w:val="1"/>
          <w:bCs w:val="1"/>
          <w:i w:val="0"/>
          <w:iCs w:val="0"/>
          <w:smallCaps w:val="0"/>
          <w:strike w:val="0"/>
          <w:color w:val="303ab2"/>
          <w:sz w:val="24"/>
          <w:szCs w:val="24"/>
          <w:u w:val="none"/>
          <w:shd w:fill="auto" w:val="clear"/>
          <w:vertAlign w:val="baseline"/>
          <w:rtl w:val="0"/>
        </w:rPr>
        <w:t xml:space="preserve">Las comunidades de Baleares, País Vasco y Cataluña concentran los diez municipios más caros del país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Open Sans Light" w:cs="Open Sans Light" w:eastAsia="Open Sans Light" w:hAnsi="Open Sans Light"/>
          <w:b w:val="1"/>
          <w:bCs w:val="1"/>
          <w:i w:val="0"/>
          <w:iCs w:val="0"/>
          <w:smallCaps w:val="0"/>
          <w:strike w:val="0"/>
          <w:color w:val="303ab2"/>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Madrid, 13 de enero de 2026</w:t>
        <w:tab/>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6589"/>
        </w:tabs>
        <w:spacing w:line="276" w:lineRule="auto"/>
        <w:jc w:val="both"/>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El mercado de la vivienda en propiedad continúa encareciéndose en las zonas más tensionadas del país. A cierre de 2025, cinco ciudades españolas superan ya los 7.000 euros por metro cuadrado. El liderazgo de este ranking se concentra de forma clara en Baleares, que acapara cuatro de los cinco municipios más caros de España, junto a una única ciudad del País Vasco, </w:t>
      </w:r>
      <w:r w:rsidDel="00000000" w:rsidR="00000000" w:rsidRPr="00000000">
        <w:rPr>
          <w:rFonts w:ascii="Open Sans" w:cs="Open Sans" w:eastAsia="Open Sans" w:hAnsi="Open Sans"/>
          <w:b w:val="1"/>
          <w:bCs w:val="1"/>
          <w:rtl w:val="0"/>
        </w:rPr>
        <w:t xml:space="preserve">según los datos del informe de “</w:t>
      </w:r>
      <w:hyperlink r:id="rId8">
        <w:r w:rsidDel="00000000" w:rsidR="00000000" w:rsidRPr="00000000">
          <w:rPr>
            <w:rFonts w:ascii="Open Sans" w:cs="Open Sans" w:eastAsia="Open Sans" w:hAnsi="Open Sans"/>
            <w:b w:val="1"/>
            <w:bCs w:val="1"/>
            <w:i w:val="1"/>
            <w:iCs w:val="1"/>
            <w:color w:val="0000ff"/>
            <w:u w:val="single"/>
            <w:rtl w:val="0"/>
          </w:rPr>
          <w:t xml:space="preserve">La vivienda de segunda mano en 2025</w:t>
        </w:r>
      </w:hyperlink>
      <w:r w:rsidDel="00000000" w:rsidR="00000000" w:rsidRPr="00000000">
        <w:rPr>
          <w:rFonts w:ascii="Open Sans" w:cs="Open Sans" w:eastAsia="Open Sans" w:hAnsi="Open Sans"/>
          <w:b w:val="1"/>
          <w:bCs w:val="1"/>
          <w:i w:val="1"/>
          <w:iCs w:val="1"/>
          <w:rtl w:val="0"/>
        </w:rPr>
        <w:t xml:space="preserve">” </w:t>
      </w:r>
      <w:r w:rsidDel="00000000" w:rsidR="00000000" w:rsidRPr="00000000">
        <w:rPr>
          <w:rFonts w:ascii="Open Sans" w:cs="Open Sans" w:eastAsia="Open Sans" w:hAnsi="Open Sans"/>
          <w:b w:val="1"/>
          <w:bCs w:val="1"/>
          <w:rtl w:val="0"/>
        </w:rPr>
        <w:t xml:space="preserve">elaborado a partir</w:t>
      </w:r>
      <w:r w:rsidDel="00000000" w:rsidR="00000000" w:rsidRPr="00000000">
        <w:rPr>
          <w:rFonts w:ascii="Open Sans" w:cs="Open Sans" w:eastAsia="Open Sans" w:hAnsi="Open Sans"/>
          <w:b w:val="1"/>
          <w:bCs w:val="1"/>
          <w:i w:val="1"/>
          <w:iCs w:val="1"/>
          <w:rtl w:val="0"/>
        </w:rPr>
        <w:t xml:space="preserve"> </w:t>
      </w:r>
      <w:r w:rsidDel="00000000" w:rsidR="00000000" w:rsidRPr="00000000">
        <w:rPr>
          <w:rFonts w:ascii="Open Sans" w:cs="Open Sans" w:eastAsia="Open Sans" w:hAnsi="Open Sans"/>
          <w:b w:val="1"/>
          <w:bCs w:val="1"/>
          <w:rtl w:val="0"/>
        </w:rPr>
        <w:t xml:space="preserve">del</w:t>
      </w:r>
      <w:r w:rsidDel="00000000" w:rsidR="00000000" w:rsidRPr="00000000">
        <w:rPr>
          <w:rFonts w:ascii="Open Sans" w:cs="Open Sans" w:eastAsia="Open Sans" w:hAnsi="Open Sans"/>
          <w:b w:val="1"/>
          <w:bCs w:val="1"/>
          <w:i w:val="1"/>
          <w:iCs w:val="1"/>
          <w:rtl w:val="0"/>
        </w:rPr>
        <w:t xml:space="preserve"> </w:t>
      </w:r>
      <w:r w:rsidDel="00000000" w:rsidR="00000000" w:rsidRPr="00000000">
        <w:rPr>
          <w:rFonts w:ascii="Open Sans" w:cs="Open Sans" w:eastAsia="Open Sans" w:hAnsi="Open Sans"/>
          <w:b w:val="1"/>
          <w:bCs w:val="1"/>
          <w:rtl w:val="0"/>
        </w:rPr>
        <w:t xml:space="preserve">Índice Inmobiliario </w:t>
      </w:r>
      <w:hyperlink r:id="rId9">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rtl w:val="0"/>
        </w:rPr>
        <w:t xml:space="preserve">. El municipio con el precio más elevado de vivienda en propiedad es Santa Eulària des Riu (Baleares), donde el metro cuadrado alcanza los 8.494€, tras un incremento del 1% anual a cierre de diciembre de 2025.</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b w:val="1"/>
          <w:bCs w:val="1"/>
        </w:rPr>
      </w:pPr>
      <w:r w:rsidDel="00000000" w:rsidR="00000000" w:rsidRPr="00000000">
        <w:rPr>
          <w:rFonts w:ascii="Open Sans" w:cs="Open Sans" w:eastAsia="Open Sans" w:hAnsi="Open Sans"/>
          <w:rtl w:val="0"/>
        </w:rPr>
        <w:t xml:space="preserve">“El fuerte encarecimiento del precio de la vivienda responde a un desequilibrio estructural sin precedentes entre oferta y demanda. En estos momentos, la demanda llega a cuadruplicar a la oferta disponible, especialmente en los mercados más tensionados, lo que ejerce una presión directa y constante sobre los precios. Aquí, el contexto hipotecario tan atractivo juega un papel clave reactivando decisiones de compra que se habían pospuesto y aumentando aún más la competencia entre compradores. Este escenario agrava la brecha de accesibilidad y expulsa progresivamente a parte de la demanda local, especialmente a jóvenes y hogares medios, que ven cómo el acceso a la vivienda se aleja cada vez más, incluso en contextos de mejora económica”, </w:t>
      </w:r>
      <w:r w:rsidDel="00000000" w:rsidR="00000000" w:rsidRPr="00000000">
        <w:rPr>
          <w:rFonts w:ascii="Open Sans" w:cs="Open Sans" w:eastAsia="Open Sans" w:hAnsi="Open Sans"/>
          <w:b w:val="1"/>
          <w:bCs w:val="1"/>
          <w:rtl w:val="0"/>
        </w:rPr>
        <w:t xml:space="preserve">explica María Matos, directora de Estudios y portavoz de </w:t>
      </w:r>
      <w:hyperlink r:id="rId10">
        <w:r w:rsidDel="00000000" w:rsidR="00000000" w:rsidRPr="00000000">
          <w:rPr>
            <w:rFonts w:ascii="Open Sans" w:cs="Open Sans" w:eastAsia="Open Sans" w:hAnsi="Open Sans"/>
            <w:b w:val="1"/>
            <w:bCs w:val="1"/>
            <w:color w:val="0000ff"/>
            <w:u w:val="single"/>
            <w:rtl w:val="0"/>
          </w:rPr>
          <w:t xml:space="preserve">Fotocasa</w:t>
        </w:r>
      </w:hyperlink>
      <w:r w:rsidDel="00000000" w:rsidR="00000000" w:rsidRPr="00000000">
        <w:rPr>
          <w:rFonts w:ascii="Open Sans" w:cs="Open Sans" w:eastAsia="Open Sans" w:hAnsi="Open Sans"/>
          <w:b w:val="1"/>
          <w:bCs w:val="1"/>
          <w:rtl w:val="0"/>
        </w:rPr>
        <w:t xml:space="preserve">.</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En segundo lugar, se sitúa la ciudad de Eivissa (Baleares), con un precio de 7.689€/m2 a cierre de 2025</w:t>
      </w:r>
      <w:r w:rsidDel="00000000" w:rsidR="00000000" w:rsidRPr="00000000">
        <w:rPr>
          <w:rFonts w:ascii="Open Sans" w:cs="Open Sans" w:eastAsia="Open Sans" w:hAnsi="Open Sans"/>
          <w:rtl w:val="0"/>
        </w:rPr>
        <w:t xml:space="preserve">, tras experimentar una subida anual del 10%, reflejo de la fuerte presión de la demanda en la capital ibicenca. El tercer puesto lo ocupa Sant Antoni de Portmany (Baleares), donde el precio de la vivienda se eleva hasta los 7.608€/m2. Este municipio destaca por registrar una de las mayores subidas del ranking, con un incremento interanual del 30%, lo que evidencia una intensa escalada de precios durante 2025.</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drawing>
          <wp:inline distB="0" distT="0" distL="0" distR="0">
            <wp:extent cx="5760720" cy="2921635"/>
            <wp:effectExtent b="0" l="0" r="0" t="0"/>
            <wp:docPr descr="Gráfico, Gráfico de barras&#10;&#10;El contenido generado por IA puede ser incorrecto." id="2066816616" name="image3.png"/>
            <a:graphic>
              <a:graphicData uri="http://schemas.openxmlformats.org/drawingml/2006/picture">
                <pic:pic>
                  <pic:nvPicPr>
                    <pic:cNvPr descr="Gráfico, Gráfico de barras&#10;&#10;El contenido generado por IA puede ser incorrecto." id="0" name="image3.png"/>
                    <pic:cNvPicPr preferRelativeResize="0"/>
                  </pic:nvPicPr>
                  <pic:blipFill>
                    <a:blip r:embed="rId11"/>
                    <a:srcRect b="0" l="0" r="0" t="0"/>
                    <a:stretch>
                      <a:fillRect/>
                    </a:stretch>
                  </pic:blipFill>
                  <pic:spPr>
                    <a:xfrm>
                      <a:off x="0" y="0"/>
                      <a:ext cx="5760720" cy="2921635"/>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A continuación, se encuentra Sant Josep de sa Talaia (Baleares), con un precio medio de 7.440€/m2</w:t>
      </w:r>
      <w:r w:rsidDel="00000000" w:rsidR="00000000" w:rsidRPr="00000000">
        <w:rPr>
          <w:rFonts w:ascii="Open Sans" w:cs="Open Sans" w:eastAsia="Open Sans" w:hAnsi="Open Sans"/>
          <w:rtl w:val="0"/>
        </w:rPr>
        <w:t xml:space="preserve">. En este caso, la evolución del mercado también es claramente alcista, con un aumento anual del 25%. La ciudad de San Sebastián cierra este grupo de municipios por encima de los 7.000€/m2, concretamente, con un precio de 7.155€/m2. La capital guipuzcoana presenta una evolución más moderada, con un incremento anual del 7%, aunque suficiente para situarse entre las cinco ciudades más caras de España.</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76" w:lineRule="auto"/>
        <w:jc w:val="both"/>
        <w:rPr>
          <w:rFonts w:ascii="National" w:cs="National" w:eastAsia="National" w:hAnsi="National"/>
          <w:b w:val="1"/>
          <w:bCs w:val="1"/>
          <w:color w:val="303ab2"/>
          <w:sz w:val="32"/>
          <w:szCs w:val="32"/>
        </w:rPr>
      </w:pPr>
      <w:r w:rsidDel="00000000" w:rsidR="00000000" w:rsidRPr="00000000">
        <w:rPr>
          <w:rFonts w:ascii="National" w:cs="National" w:eastAsia="National" w:hAnsi="National"/>
          <w:b w:val="1"/>
          <w:bCs w:val="1"/>
          <w:color w:val="303ab2"/>
          <w:sz w:val="32"/>
          <w:szCs w:val="32"/>
          <w:rtl w:val="0"/>
        </w:rPr>
        <w:t xml:space="preserve">Baleares, País Vasco y Cataluña completan el top 10</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Más allá de las cinco ciudades que superan el umbral de los 7.000€/m2, otras cinco localidades completan el top 10 de municipios más caros de España a cierre de 2025, con precios muy próximos a esa barrera y evoluciones dispares. </w:t>
      </w:r>
      <w:r w:rsidDel="00000000" w:rsidR="00000000" w:rsidRPr="00000000">
        <w:rPr>
          <w:rFonts w:ascii="Open Sans" w:cs="Open Sans" w:eastAsia="Open Sans" w:hAnsi="Open Sans"/>
          <w:b w:val="1"/>
          <w:bCs w:val="1"/>
          <w:rtl w:val="0"/>
        </w:rPr>
        <w:t xml:space="preserve">En Andratx (Baleares), el precio de la vivienda se sitúa en 6.982€/m2</w:t>
      </w:r>
      <w:r w:rsidDel="00000000" w:rsidR="00000000" w:rsidRPr="00000000">
        <w:rPr>
          <w:rFonts w:ascii="Open Sans" w:cs="Open Sans" w:eastAsia="Open Sans" w:hAnsi="Open Sans"/>
          <w:rtl w:val="0"/>
        </w:rPr>
        <w:t xml:space="preserve">, tras registrar una fuerte subida interanual del 22%. Muy cerca se encuentra Campos (Baleares), con un precio de 6.791€/m2, después de registrar el mayor incremento anual del ranking, del 33%.</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Por su parte, </w:t>
      </w:r>
      <w:r w:rsidDel="00000000" w:rsidR="00000000" w:rsidRPr="00000000">
        <w:rPr>
          <w:rFonts w:ascii="Open Sans" w:cs="Open Sans" w:eastAsia="Open Sans" w:hAnsi="Open Sans"/>
          <w:b w:val="1"/>
          <w:bCs w:val="1"/>
          <w:rtl w:val="0"/>
        </w:rPr>
        <w:t xml:space="preserve">Calvià (Baleares) alcanza los 6.747€/m2, con una evolución más contenida, marcada por un aumento anual del 2%</w:t>
      </w:r>
      <w:r w:rsidDel="00000000" w:rsidR="00000000" w:rsidRPr="00000000">
        <w:rPr>
          <w:rFonts w:ascii="Open Sans" w:cs="Open Sans" w:eastAsia="Open Sans" w:hAnsi="Open Sans"/>
          <w:rtl w:val="0"/>
        </w:rPr>
        <w:t xml:space="preserve">. En Cataluña, Sant Just Desvern se consolida como uno de los municipios más caros de España, con un precio de 6.640€/m2, tras registrar un incremento interanual del 16%. Finalmente, Zarautz (País Vasco) completa el top 10 con un precio medio de 6.478€/m2, aunque presenta un descenso interanual del 4%. Además, todas las ciudades mencionadas en esta lista superaron durante el año 2025 sus precios máximos registrados en la serie histórica de Fotocasa.</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line="276" w:lineRule="auto"/>
        <w:jc w:val="center"/>
        <w:rPr>
          <w:rFonts w:ascii="National" w:cs="National" w:eastAsia="National" w:hAnsi="National"/>
          <w:b w:val="1"/>
          <w:bCs w:val="1"/>
          <w:color w:val="303ab2"/>
          <w:sz w:val="30"/>
          <w:szCs w:val="30"/>
        </w:rPr>
      </w:pPr>
      <w:r w:rsidDel="00000000" w:rsidR="00000000" w:rsidRPr="00000000">
        <w:rPr>
          <w:rFonts w:ascii="National" w:cs="National" w:eastAsia="National" w:hAnsi="National"/>
          <w:b w:val="1"/>
          <w:bCs w:val="1"/>
          <w:color w:val="303ab2"/>
          <w:sz w:val="30"/>
          <w:szCs w:val="30"/>
          <w:rtl w:val="0"/>
        </w:rPr>
        <w:t xml:space="preserve">Precio, variación anual y mes de precio máximo</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76" w:lineRule="auto"/>
        <w:jc w:val="center"/>
        <w:rPr>
          <w:rFonts w:ascii="National" w:cs="National" w:eastAsia="National" w:hAnsi="National"/>
          <w:b w:val="1"/>
          <w:bCs w:val="1"/>
          <w:color w:val="303ab2"/>
          <w:sz w:val="30"/>
          <w:szCs w:val="30"/>
        </w:rPr>
      </w:pPr>
      <w:r w:rsidDel="00000000" w:rsidR="00000000" w:rsidRPr="00000000">
        <w:rPr>
          <w:rtl w:val="0"/>
        </w:rPr>
      </w:r>
    </w:p>
    <w:tbl>
      <w:tblPr>
        <w:tblStyle w:val="Table1"/>
        <w:tblW w:w="9351.0" w:type="dxa"/>
        <w:jc w:val="center"/>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4A0"/>
      </w:tblPr>
      <w:tblGrid>
        <w:gridCol w:w="1696"/>
        <w:gridCol w:w="2411"/>
        <w:gridCol w:w="1984"/>
        <w:gridCol w:w="2014"/>
        <w:gridCol w:w="1246"/>
        <w:tblGridChange w:id="0">
          <w:tblGrid>
            <w:gridCol w:w="1696"/>
            <w:gridCol w:w="2411"/>
            <w:gridCol w:w="1984"/>
            <w:gridCol w:w="2014"/>
            <w:gridCol w:w="1246"/>
          </w:tblGrid>
        </w:tblGridChange>
      </w:tblGrid>
      <w:tr>
        <w:trPr>
          <w:cantSplit w:val="0"/>
          <w:trHeight w:val="809" w:hRule="atLeast"/>
          <w:tblHeader w:val="0"/>
        </w:trPr>
        <w:tc>
          <w:tcPr>
            <w:vAlign w:val="center"/>
          </w:tcPr>
          <w:p w:rsidR="00000000" w:rsidDel="00000000" w:rsidP="00000000" w:rsidRDefault="00000000" w:rsidRPr="00000000" w14:paraId="00000024">
            <w:pPr>
              <w:jc w:val="center"/>
              <w:rPr>
                <w:rFonts w:ascii="Open Sans" w:cs="Open Sans" w:eastAsia="Open Sans" w:hAnsi="Open Sans"/>
              </w:rPr>
            </w:pPr>
            <w:r w:rsidDel="00000000" w:rsidR="00000000" w:rsidRPr="00000000">
              <w:rPr>
                <w:rFonts w:ascii="Open Sans" w:cs="Open Sans" w:eastAsia="Open Sans" w:hAnsi="Open Sans"/>
                <w:rtl w:val="0"/>
              </w:rPr>
              <w:t xml:space="preserve">CCAA</w:t>
            </w:r>
          </w:p>
        </w:tc>
        <w:tc>
          <w:tcPr>
            <w:vAlign w:val="center"/>
          </w:tcPr>
          <w:p w:rsidR="00000000" w:rsidDel="00000000" w:rsidP="00000000" w:rsidRDefault="00000000" w:rsidRPr="00000000" w14:paraId="00000025">
            <w:pPr>
              <w:jc w:val="center"/>
              <w:rPr>
                <w:rFonts w:ascii="Open Sans" w:cs="Open Sans" w:eastAsia="Open Sans" w:hAnsi="Open Sans"/>
              </w:rPr>
            </w:pPr>
            <w:r w:rsidDel="00000000" w:rsidR="00000000" w:rsidRPr="00000000">
              <w:rPr>
                <w:rFonts w:ascii="Open Sans" w:cs="Open Sans" w:eastAsia="Open Sans" w:hAnsi="Open Sans"/>
                <w:rtl w:val="0"/>
              </w:rPr>
              <w:t xml:space="preserve">Municipios</w:t>
            </w:r>
          </w:p>
        </w:tc>
        <w:tc>
          <w:tcPr>
            <w:vAlign w:val="center"/>
          </w:tcPr>
          <w:p w:rsidR="00000000" w:rsidDel="00000000" w:rsidP="00000000" w:rsidRDefault="00000000" w:rsidRPr="00000000" w14:paraId="00000026">
            <w:pPr>
              <w:jc w:val="center"/>
              <w:rPr>
                <w:rFonts w:ascii="Open Sans" w:cs="Open Sans" w:eastAsia="Open Sans" w:hAnsi="Open Sans"/>
              </w:rPr>
            </w:pPr>
            <w:r w:rsidDel="00000000" w:rsidR="00000000" w:rsidRPr="00000000">
              <w:rPr>
                <w:rFonts w:ascii="Open Sans" w:cs="Open Sans" w:eastAsia="Open Sans" w:hAnsi="Open Sans"/>
                <w:rtl w:val="0"/>
              </w:rPr>
              <w:t xml:space="preserve">Precio (€/m2)</w:t>
            </w:r>
          </w:p>
        </w:tc>
        <w:tc>
          <w:tcPr>
            <w:vAlign w:val="center"/>
          </w:tcPr>
          <w:p w:rsidR="00000000" w:rsidDel="00000000" w:rsidP="00000000" w:rsidRDefault="00000000" w:rsidRPr="00000000" w14:paraId="00000027">
            <w:pPr>
              <w:jc w:val="center"/>
              <w:rPr>
                <w:rFonts w:ascii="Open Sans" w:cs="Open Sans" w:eastAsia="Open Sans" w:hAnsi="Open Sans"/>
              </w:rPr>
            </w:pPr>
            <w:r w:rsidDel="00000000" w:rsidR="00000000" w:rsidRPr="00000000">
              <w:rPr>
                <w:rFonts w:ascii="Open Sans" w:cs="Open Sans" w:eastAsia="Open Sans" w:hAnsi="Open Sans"/>
                <w:rtl w:val="0"/>
              </w:rPr>
              <w:t xml:space="preserve">Variación anual</w:t>
            </w:r>
          </w:p>
        </w:tc>
        <w:tc>
          <w:tcPr>
            <w:vAlign w:val="center"/>
          </w:tcPr>
          <w:p w:rsidR="00000000" w:rsidDel="00000000" w:rsidP="00000000" w:rsidRDefault="00000000" w:rsidRPr="00000000" w14:paraId="00000028">
            <w:pPr>
              <w:jc w:val="center"/>
              <w:rPr>
                <w:rFonts w:ascii="Open Sans" w:cs="Open Sans" w:eastAsia="Open Sans" w:hAnsi="Open Sans"/>
              </w:rPr>
            </w:pPr>
            <w:r w:rsidDel="00000000" w:rsidR="00000000" w:rsidRPr="00000000">
              <w:rPr>
                <w:rFonts w:ascii="Open Sans" w:cs="Open Sans" w:eastAsia="Open Sans" w:hAnsi="Open Sans"/>
                <w:rtl w:val="0"/>
              </w:rPr>
              <w:t xml:space="preserve">Máximo valor</w:t>
            </w:r>
          </w:p>
        </w:tc>
      </w:tr>
      <w:tr>
        <w:trPr>
          <w:cantSplit w:val="0"/>
          <w:trHeight w:val="797" w:hRule="atLeast"/>
          <w:tblHeader w:val="0"/>
        </w:trPr>
        <w:tc>
          <w:tcPr>
            <w:vAlign w:val="center"/>
          </w:tcPr>
          <w:p w:rsidR="00000000" w:rsidDel="00000000" w:rsidP="00000000" w:rsidRDefault="00000000" w:rsidRPr="00000000" w14:paraId="00000029">
            <w:pPr>
              <w:jc w:val="center"/>
              <w:rPr>
                <w:rFonts w:ascii="Open Sans" w:cs="Open Sans" w:eastAsia="Open Sans" w:hAnsi="Open Sans"/>
              </w:rPr>
            </w:pPr>
            <w:r w:rsidDel="00000000" w:rsidR="00000000" w:rsidRPr="00000000">
              <w:rPr>
                <w:rFonts w:ascii="Open Sans" w:cs="Open Sans" w:eastAsia="Open Sans" w:hAnsi="Open Sans"/>
                <w:rtl w:val="0"/>
              </w:rPr>
              <w:t xml:space="preserve">Baleares</w:t>
            </w:r>
          </w:p>
        </w:tc>
        <w:tc>
          <w:tcPr>
            <w:vAlign w:val="center"/>
          </w:tcPr>
          <w:p w:rsidR="00000000" w:rsidDel="00000000" w:rsidP="00000000" w:rsidRDefault="00000000" w:rsidRPr="00000000" w14:paraId="0000002A">
            <w:pPr>
              <w:jc w:val="center"/>
              <w:rPr>
                <w:rFonts w:ascii="Open Sans" w:cs="Open Sans" w:eastAsia="Open Sans" w:hAnsi="Open Sans"/>
              </w:rPr>
            </w:pPr>
            <w:r w:rsidDel="00000000" w:rsidR="00000000" w:rsidRPr="00000000">
              <w:rPr>
                <w:rFonts w:ascii="Open Sans" w:cs="Open Sans" w:eastAsia="Open Sans" w:hAnsi="Open Sans"/>
                <w:rtl w:val="0"/>
              </w:rPr>
              <w:t xml:space="preserve">Santa Eulària des Riu</w:t>
            </w:r>
          </w:p>
        </w:tc>
        <w:tc>
          <w:tcPr>
            <w:vAlign w:val="center"/>
          </w:tcPr>
          <w:p w:rsidR="00000000" w:rsidDel="00000000" w:rsidP="00000000" w:rsidRDefault="00000000" w:rsidRPr="00000000" w14:paraId="0000002B">
            <w:pPr>
              <w:jc w:val="center"/>
              <w:rPr>
                <w:rFonts w:ascii="Open Sans" w:cs="Open Sans" w:eastAsia="Open Sans" w:hAnsi="Open Sans"/>
              </w:rPr>
            </w:pPr>
            <w:r w:rsidDel="00000000" w:rsidR="00000000" w:rsidRPr="00000000">
              <w:rPr>
                <w:rFonts w:ascii="Open Sans" w:cs="Open Sans" w:eastAsia="Open Sans" w:hAnsi="Open Sans"/>
                <w:rtl w:val="0"/>
              </w:rPr>
              <w:t xml:space="preserve">8.494€</w:t>
            </w:r>
          </w:p>
        </w:tc>
        <w:tc>
          <w:tcPr>
            <w:vAlign w:val="center"/>
          </w:tcPr>
          <w:p w:rsidR="00000000" w:rsidDel="00000000" w:rsidP="00000000" w:rsidRDefault="00000000" w:rsidRPr="00000000" w14:paraId="0000002C">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w:t>
            </w:r>
          </w:p>
        </w:tc>
        <w:tc>
          <w:tcPr>
            <w:vAlign w:val="center"/>
          </w:tcPr>
          <w:p w:rsidR="00000000" w:rsidDel="00000000" w:rsidP="00000000" w:rsidRDefault="00000000" w:rsidRPr="00000000" w14:paraId="0000002D">
            <w:pPr>
              <w:jc w:val="center"/>
              <w:rPr>
                <w:rFonts w:ascii="Open Sans" w:cs="Open Sans" w:eastAsia="Open Sans" w:hAnsi="Open Sans"/>
              </w:rPr>
            </w:pPr>
            <w:r w:rsidDel="00000000" w:rsidR="00000000" w:rsidRPr="00000000">
              <w:rPr>
                <w:rFonts w:ascii="Open Sans" w:cs="Open Sans" w:eastAsia="Open Sans" w:hAnsi="Open Sans"/>
                <w:rtl w:val="0"/>
              </w:rPr>
              <w:t xml:space="preserve">oct.-25</w:t>
            </w:r>
          </w:p>
        </w:tc>
      </w:tr>
      <w:tr>
        <w:trPr>
          <w:cantSplit w:val="0"/>
          <w:trHeight w:val="567" w:hRule="atLeast"/>
          <w:tblHeader w:val="0"/>
        </w:trPr>
        <w:tc>
          <w:tcPr>
            <w:vAlign w:val="center"/>
          </w:tcPr>
          <w:p w:rsidR="00000000" w:rsidDel="00000000" w:rsidP="00000000" w:rsidRDefault="00000000" w:rsidRPr="00000000" w14:paraId="0000002E">
            <w:pPr>
              <w:jc w:val="center"/>
              <w:rPr>
                <w:rFonts w:ascii="Open Sans" w:cs="Open Sans" w:eastAsia="Open Sans" w:hAnsi="Open Sans"/>
              </w:rPr>
            </w:pPr>
            <w:r w:rsidDel="00000000" w:rsidR="00000000" w:rsidRPr="00000000">
              <w:rPr>
                <w:rFonts w:ascii="Open Sans" w:cs="Open Sans" w:eastAsia="Open Sans" w:hAnsi="Open Sans"/>
                <w:rtl w:val="0"/>
              </w:rPr>
              <w:t xml:space="preserve">Baleares</w:t>
            </w:r>
          </w:p>
        </w:tc>
        <w:tc>
          <w:tcPr>
            <w:vAlign w:val="center"/>
          </w:tcPr>
          <w:p w:rsidR="00000000" w:rsidDel="00000000" w:rsidP="00000000" w:rsidRDefault="00000000" w:rsidRPr="00000000" w14:paraId="0000002F">
            <w:pPr>
              <w:jc w:val="center"/>
              <w:rPr>
                <w:rFonts w:ascii="Open Sans" w:cs="Open Sans" w:eastAsia="Open Sans" w:hAnsi="Open Sans"/>
              </w:rPr>
            </w:pPr>
            <w:r w:rsidDel="00000000" w:rsidR="00000000" w:rsidRPr="00000000">
              <w:rPr>
                <w:rFonts w:ascii="Open Sans" w:cs="Open Sans" w:eastAsia="Open Sans" w:hAnsi="Open Sans"/>
                <w:rtl w:val="0"/>
              </w:rPr>
              <w:t xml:space="preserve">Eivissa</w:t>
            </w:r>
          </w:p>
        </w:tc>
        <w:tc>
          <w:tcPr>
            <w:vAlign w:val="center"/>
          </w:tcPr>
          <w:p w:rsidR="00000000" w:rsidDel="00000000" w:rsidP="00000000" w:rsidRDefault="00000000" w:rsidRPr="00000000" w14:paraId="00000030">
            <w:pPr>
              <w:jc w:val="center"/>
              <w:rPr>
                <w:rFonts w:ascii="Open Sans" w:cs="Open Sans" w:eastAsia="Open Sans" w:hAnsi="Open Sans"/>
              </w:rPr>
            </w:pPr>
            <w:r w:rsidDel="00000000" w:rsidR="00000000" w:rsidRPr="00000000">
              <w:rPr>
                <w:rFonts w:ascii="Open Sans" w:cs="Open Sans" w:eastAsia="Open Sans" w:hAnsi="Open Sans"/>
                <w:rtl w:val="0"/>
              </w:rPr>
              <w:t xml:space="preserve">7.689€</w:t>
            </w:r>
          </w:p>
        </w:tc>
        <w:tc>
          <w:tcPr>
            <w:vAlign w:val="center"/>
          </w:tcPr>
          <w:p w:rsidR="00000000" w:rsidDel="00000000" w:rsidP="00000000" w:rsidRDefault="00000000" w:rsidRPr="00000000" w14:paraId="00000031">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10%</w:t>
            </w:r>
          </w:p>
        </w:tc>
        <w:tc>
          <w:tcPr>
            <w:vAlign w:val="center"/>
          </w:tcPr>
          <w:p w:rsidR="00000000" w:rsidDel="00000000" w:rsidP="00000000" w:rsidRDefault="00000000" w:rsidRPr="00000000" w14:paraId="00000032">
            <w:pPr>
              <w:jc w:val="center"/>
              <w:rPr>
                <w:rFonts w:ascii="Open Sans" w:cs="Open Sans" w:eastAsia="Open Sans" w:hAnsi="Open Sans"/>
              </w:rPr>
            </w:pPr>
            <w:r w:rsidDel="00000000" w:rsidR="00000000" w:rsidRPr="00000000">
              <w:rPr>
                <w:rFonts w:ascii="Open Sans" w:cs="Open Sans" w:eastAsia="Open Sans" w:hAnsi="Open Sans"/>
                <w:rtl w:val="0"/>
              </w:rPr>
              <w:t xml:space="preserve">dic.-25</w:t>
            </w:r>
          </w:p>
        </w:tc>
      </w:tr>
      <w:tr>
        <w:trPr>
          <w:cantSplit w:val="0"/>
          <w:trHeight w:val="567" w:hRule="atLeast"/>
          <w:tblHeader w:val="0"/>
        </w:trPr>
        <w:tc>
          <w:tcPr>
            <w:vAlign w:val="center"/>
          </w:tcPr>
          <w:p w:rsidR="00000000" w:rsidDel="00000000" w:rsidP="00000000" w:rsidRDefault="00000000" w:rsidRPr="00000000" w14:paraId="00000033">
            <w:pPr>
              <w:jc w:val="center"/>
              <w:rPr>
                <w:rFonts w:ascii="Open Sans" w:cs="Open Sans" w:eastAsia="Open Sans" w:hAnsi="Open Sans"/>
              </w:rPr>
            </w:pPr>
            <w:r w:rsidDel="00000000" w:rsidR="00000000" w:rsidRPr="00000000">
              <w:rPr>
                <w:rFonts w:ascii="Open Sans" w:cs="Open Sans" w:eastAsia="Open Sans" w:hAnsi="Open Sans"/>
                <w:rtl w:val="0"/>
              </w:rPr>
              <w:t xml:space="preserve">Baleares</w:t>
            </w:r>
          </w:p>
        </w:tc>
        <w:tc>
          <w:tcPr>
            <w:vAlign w:val="center"/>
          </w:tcPr>
          <w:p w:rsidR="00000000" w:rsidDel="00000000" w:rsidP="00000000" w:rsidRDefault="00000000" w:rsidRPr="00000000" w14:paraId="00000034">
            <w:pPr>
              <w:jc w:val="center"/>
              <w:rPr>
                <w:rFonts w:ascii="Open Sans" w:cs="Open Sans" w:eastAsia="Open Sans" w:hAnsi="Open Sans"/>
              </w:rPr>
            </w:pPr>
            <w:r w:rsidDel="00000000" w:rsidR="00000000" w:rsidRPr="00000000">
              <w:rPr>
                <w:rFonts w:ascii="Open Sans" w:cs="Open Sans" w:eastAsia="Open Sans" w:hAnsi="Open Sans"/>
                <w:rtl w:val="0"/>
              </w:rPr>
              <w:t xml:space="preserve">Sant Antoni de Portmany</w:t>
            </w:r>
          </w:p>
        </w:tc>
        <w:tc>
          <w:tcPr>
            <w:vAlign w:val="center"/>
          </w:tcPr>
          <w:p w:rsidR="00000000" w:rsidDel="00000000" w:rsidP="00000000" w:rsidRDefault="00000000" w:rsidRPr="00000000" w14:paraId="00000035">
            <w:pPr>
              <w:jc w:val="center"/>
              <w:rPr>
                <w:rFonts w:ascii="Open Sans" w:cs="Open Sans" w:eastAsia="Open Sans" w:hAnsi="Open Sans"/>
              </w:rPr>
            </w:pPr>
            <w:r w:rsidDel="00000000" w:rsidR="00000000" w:rsidRPr="00000000">
              <w:rPr>
                <w:rFonts w:ascii="Open Sans" w:cs="Open Sans" w:eastAsia="Open Sans" w:hAnsi="Open Sans"/>
                <w:rtl w:val="0"/>
              </w:rPr>
              <w:t xml:space="preserve">7.608€</w:t>
            </w:r>
          </w:p>
        </w:tc>
        <w:tc>
          <w:tcPr>
            <w:vAlign w:val="center"/>
          </w:tcPr>
          <w:p w:rsidR="00000000" w:rsidDel="00000000" w:rsidP="00000000" w:rsidRDefault="00000000" w:rsidRPr="00000000" w14:paraId="00000036">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30%</w:t>
            </w:r>
          </w:p>
        </w:tc>
        <w:tc>
          <w:tcPr>
            <w:vAlign w:val="center"/>
          </w:tcPr>
          <w:p w:rsidR="00000000" w:rsidDel="00000000" w:rsidP="00000000" w:rsidRDefault="00000000" w:rsidRPr="00000000" w14:paraId="00000037">
            <w:pPr>
              <w:jc w:val="center"/>
              <w:rPr>
                <w:rFonts w:ascii="Open Sans" w:cs="Open Sans" w:eastAsia="Open Sans" w:hAnsi="Open Sans"/>
              </w:rPr>
            </w:pPr>
            <w:r w:rsidDel="00000000" w:rsidR="00000000" w:rsidRPr="00000000">
              <w:rPr>
                <w:rFonts w:ascii="Open Sans" w:cs="Open Sans" w:eastAsia="Open Sans" w:hAnsi="Open Sans"/>
                <w:rtl w:val="0"/>
              </w:rPr>
              <w:t xml:space="preserve">dic.-25</w:t>
            </w:r>
          </w:p>
        </w:tc>
      </w:tr>
      <w:tr>
        <w:trPr>
          <w:cantSplit w:val="0"/>
          <w:trHeight w:val="794" w:hRule="atLeast"/>
          <w:tblHeader w:val="0"/>
        </w:trPr>
        <w:tc>
          <w:tcPr>
            <w:vAlign w:val="center"/>
          </w:tcPr>
          <w:p w:rsidR="00000000" w:rsidDel="00000000" w:rsidP="00000000" w:rsidRDefault="00000000" w:rsidRPr="00000000" w14:paraId="00000038">
            <w:pPr>
              <w:jc w:val="center"/>
              <w:rPr>
                <w:rFonts w:ascii="Open Sans" w:cs="Open Sans" w:eastAsia="Open Sans" w:hAnsi="Open Sans"/>
              </w:rPr>
            </w:pPr>
            <w:r w:rsidDel="00000000" w:rsidR="00000000" w:rsidRPr="00000000">
              <w:rPr>
                <w:rFonts w:ascii="Open Sans" w:cs="Open Sans" w:eastAsia="Open Sans" w:hAnsi="Open Sans"/>
                <w:rtl w:val="0"/>
              </w:rPr>
              <w:t xml:space="preserve">Baleares</w:t>
            </w:r>
          </w:p>
        </w:tc>
        <w:tc>
          <w:tcPr>
            <w:vAlign w:val="center"/>
          </w:tcPr>
          <w:p w:rsidR="00000000" w:rsidDel="00000000" w:rsidP="00000000" w:rsidRDefault="00000000" w:rsidRPr="00000000" w14:paraId="00000039">
            <w:pPr>
              <w:jc w:val="center"/>
              <w:rPr>
                <w:rFonts w:ascii="Open Sans" w:cs="Open Sans" w:eastAsia="Open Sans" w:hAnsi="Open Sans"/>
              </w:rPr>
            </w:pPr>
            <w:r w:rsidDel="00000000" w:rsidR="00000000" w:rsidRPr="00000000">
              <w:rPr>
                <w:rFonts w:ascii="Open Sans" w:cs="Open Sans" w:eastAsia="Open Sans" w:hAnsi="Open Sans"/>
                <w:rtl w:val="0"/>
              </w:rPr>
              <w:t xml:space="preserve">Sant Josep de sa Talaia</w:t>
            </w:r>
          </w:p>
        </w:tc>
        <w:tc>
          <w:tcPr>
            <w:vAlign w:val="center"/>
          </w:tcPr>
          <w:p w:rsidR="00000000" w:rsidDel="00000000" w:rsidP="00000000" w:rsidRDefault="00000000" w:rsidRPr="00000000" w14:paraId="0000003A">
            <w:pPr>
              <w:jc w:val="center"/>
              <w:rPr>
                <w:rFonts w:ascii="Open Sans" w:cs="Open Sans" w:eastAsia="Open Sans" w:hAnsi="Open Sans"/>
              </w:rPr>
            </w:pPr>
            <w:r w:rsidDel="00000000" w:rsidR="00000000" w:rsidRPr="00000000">
              <w:rPr>
                <w:rFonts w:ascii="Open Sans" w:cs="Open Sans" w:eastAsia="Open Sans" w:hAnsi="Open Sans"/>
                <w:rtl w:val="0"/>
              </w:rPr>
              <w:t xml:space="preserve">7.440€</w:t>
            </w:r>
          </w:p>
        </w:tc>
        <w:tc>
          <w:tcPr>
            <w:vAlign w:val="center"/>
          </w:tcPr>
          <w:p w:rsidR="00000000" w:rsidDel="00000000" w:rsidP="00000000" w:rsidRDefault="00000000" w:rsidRPr="00000000" w14:paraId="0000003B">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25%</w:t>
            </w:r>
          </w:p>
        </w:tc>
        <w:tc>
          <w:tcPr>
            <w:vAlign w:val="center"/>
          </w:tcPr>
          <w:p w:rsidR="00000000" w:rsidDel="00000000" w:rsidP="00000000" w:rsidRDefault="00000000" w:rsidRPr="00000000" w14:paraId="0000003C">
            <w:pPr>
              <w:jc w:val="center"/>
              <w:rPr>
                <w:rFonts w:ascii="Open Sans" w:cs="Open Sans" w:eastAsia="Open Sans" w:hAnsi="Open Sans"/>
              </w:rPr>
            </w:pPr>
            <w:r w:rsidDel="00000000" w:rsidR="00000000" w:rsidRPr="00000000">
              <w:rPr>
                <w:rFonts w:ascii="Open Sans" w:cs="Open Sans" w:eastAsia="Open Sans" w:hAnsi="Open Sans"/>
                <w:rtl w:val="0"/>
              </w:rPr>
              <w:t xml:space="preserve">oct.-25</w:t>
            </w:r>
          </w:p>
        </w:tc>
      </w:tr>
      <w:tr>
        <w:trPr>
          <w:cantSplit w:val="0"/>
          <w:trHeight w:val="567" w:hRule="atLeast"/>
          <w:tblHeader w:val="0"/>
        </w:trPr>
        <w:tc>
          <w:tcPr>
            <w:vAlign w:val="center"/>
          </w:tcPr>
          <w:p w:rsidR="00000000" w:rsidDel="00000000" w:rsidP="00000000" w:rsidRDefault="00000000" w:rsidRPr="00000000" w14:paraId="0000003D">
            <w:pPr>
              <w:jc w:val="center"/>
              <w:rPr>
                <w:rFonts w:ascii="Open Sans" w:cs="Open Sans" w:eastAsia="Open Sans" w:hAnsi="Open Sans"/>
              </w:rPr>
            </w:pPr>
            <w:r w:rsidDel="00000000" w:rsidR="00000000" w:rsidRPr="00000000">
              <w:rPr>
                <w:rFonts w:ascii="Open Sans" w:cs="Open Sans" w:eastAsia="Open Sans" w:hAnsi="Open Sans"/>
                <w:rtl w:val="0"/>
              </w:rPr>
              <w:t xml:space="preserve">País Vasco</w:t>
            </w:r>
          </w:p>
        </w:tc>
        <w:tc>
          <w:tcPr>
            <w:vAlign w:val="center"/>
          </w:tcPr>
          <w:p w:rsidR="00000000" w:rsidDel="00000000" w:rsidP="00000000" w:rsidRDefault="00000000" w:rsidRPr="00000000" w14:paraId="0000003E">
            <w:pPr>
              <w:jc w:val="center"/>
              <w:rPr>
                <w:rFonts w:ascii="Open Sans" w:cs="Open Sans" w:eastAsia="Open Sans" w:hAnsi="Open Sans"/>
              </w:rPr>
            </w:pPr>
            <w:r w:rsidDel="00000000" w:rsidR="00000000" w:rsidRPr="00000000">
              <w:rPr>
                <w:rFonts w:ascii="Open Sans" w:cs="Open Sans" w:eastAsia="Open Sans" w:hAnsi="Open Sans"/>
                <w:rtl w:val="0"/>
              </w:rPr>
              <w:t xml:space="preserve">San Sebastián</w:t>
            </w:r>
          </w:p>
        </w:tc>
        <w:tc>
          <w:tcPr>
            <w:vAlign w:val="center"/>
          </w:tcPr>
          <w:p w:rsidR="00000000" w:rsidDel="00000000" w:rsidP="00000000" w:rsidRDefault="00000000" w:rsidRPr="00000000" w14:paraId="0000003F">
            <w:pPr>
              <w:jc w:val="center"/>
              <w:rPr>
                <w:rFonts w:ascii="Open Sans" w:cs="Open Sans" w:eastAsia="Open Sans" w:hAnsi="Open Sans"/>
              </w:rPr>
            </w:pPr>
            <w:r w:rsidDel="00000000" w:rsidR="00000000" w:rsidRPr="00000000">
              <w:rPr>
                <w:rFonts w:ascii="Open Sans" w:cs="Open Sans" w:eastAsia="Open Sans" w:hAnsi="Open Sans"/>
                <w:rtl w:val="0"/>
              </w:rPr>
              <w:t xml:space="preserve">7.155€</w:t>
            </w:r>
          </w:p>
        </w:tc>
        <w:tc>
          <w:tcPr>
            <w:vAlign w:val="center"/>
          </w:tcPr>
          <w:p w:rsidR="00000000" w:rsidDel="00000000" w:rsidP="00000000" w:rsidRDefault="00000000" w:rsidRPr="00000000" w14:paraId="00000040">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7%</w:t>
            </w:r>
          </w:p>
        </w:tc>
        <w:tc>
          <w:tcPr>
            <w:vAlign w:val="center"/>
          </w:tcPr>
          <w:p w:rsidR="00000000" w:rsidDel="00000000" w:rsidP="00000000" w:rsidRDefault="00000000" w:rsidRPr="00000000" w14:paraId="00000041">
            <w:pPr>
              <w:jc w:val="center"/>
              <w:rPr>
                <w:rFonts w:ascii="Open Sans" w:cs="Open Sans" w:eastAsia="Open Sans" w:hAnsi="Open Sans"/>
              </w:rPr>
            </w:pPr>
            <w:r w:rsidDel="00000000" w:rsidR="00000000" w:rsidRPr="00000000">
              <w:rPr>
                <w:rFonts w:ascii="Open Sans" w:cs="Open Sans" w:eastAsia="Open Sans" w:hAnsi="Open Sans"/>
                <w:rtl w:val="0"/>
              </w:rPr>
              <w:t xml:space="preserve">dic.-25</w:t>
            </w:r>
          </w:p>
        </w:tc>
      </w:tr>
      <w:tr>
        <w:trPr>
          <w:cantSplit w:val="0"/>
          <w:trHeight w:val="567" w:hRule="atLeast"/>
          <w:tblHeader w:val="0"/>
        </w:trPr>
        <w:tc>
          <w:tcPr>
            <w:vAlign w:val="center"/>
          </w:tcPr>
          <w:p w:rsidR="00000000" w:rsidDel="00000000" w:rsidP="00000000" w:rsidRDefault="00000000" w:rsidRPr="00000000" w14:paraId="00000042">
            <w:pPr>
              <w:jc w:val="center"/>
              <w:rPr>
                <w:rFonts w:ascii="Open Sans" w:cs="Open Sans" w:eastAsia="Open Sans" w:hAnsi="Open Sans"/>
              </w:rPr>
            </w:pPr>
            <w:r w:rsidDel="00000000" w:rsidR="00000000" w:rsidRPr="00000000">
              <w:rPr>
                <w:rFonts w:ascii="Open Sans" w:cs="Open Sans" w:eastAsia="Open Sans" w:hAnsi="Open Sans"/>
                <w:rtl w:val="0"/>
              </w:rPr>
              <w:t xml:space="preserve">Baleares</w:t>
            </w:r>
          </w:p>
        </w:tc>
        <w:tc>
          <w:tcPr>
            <w:vAlign w:val="center"/>
          </w:tcPr>
          <w:p w:rsidR="00000000" w:rsidDel="00000000" w:rsidP="00000000" w:rsidRDefault="00000000" w:rsidRPr="00000000" w14:paraId="00000043">
            <w:pPr>
              <w:jc w:val="center"/>
              <w:rPr>
                <w:rFonts w:ascii="Open Sans" w:cs="Open Sans" w:eastAsia="Open Sans" w:hAnsi="Open Sans"/>
              </w:rPr>
            </w:pPr>
            <w:r w:rsidDel="00000000" w:rsidR="00000000" w:rsidRPr="00000000">
              <w:rPr>
                <w:rFonts w:ascii="Open Sans" w:cs="Open Sans" w:eastAsia="Open Sans" w:hAnsi="Open Sans"/>
                <w:rtl w:val="0"/>
              </w:rPr>
              <w:t xml:space="preserve">Andratx</w:t>
            </w:r>
          </w:p>
        </w:tc>
        <w:tc>
          <w:tcPr>
            <w:vAlign w:val="center"/>
          </w:tcPr>
          <w:p w:rsidR="00000000" w:rsidDel="00000000" w:rsidP="00000000" w:rsidRDefault="00000000" w:rsidRPr="00000000" w14:paraId="00000044">
            <w:pPr>
              <w:jc w:val="center"/>
              <w:rPr>
                <w:rFonts w:ascii="Open Sans" w:cs="Open Sans" w:eastAsia="Open Sans" w:hAnsi="Open Sans"/>
              </w:rPr>
            </w:pPr>
            <w:r w:rsidDel="00000000" w:rsidR="00000000" w:rsidRPr="00000000">
              <w:rPr>
                <w:rFonts w:ascii="Open Sans" w:cs="Open Sans" w:eastAsia="Open Sans" w:hAnsi="Open Sans"/>
                <w:rtl w:val="0"/>
              </w:rPr>
              <w:t xml:space="preserve">6.982€</w:t>
            </w:r>
          </w:p>
        </w:tc>
        <w:tc>
          <w:tcPr>
            <w:vAlign w:val="center"/>
          </w:tcPr>
          <w:p w:rsidR="00000000" w:rsidDel="00000000" w:rsidP="00000000" w:rsidRDefault="00000000" w:rsidRPr="00000000" w14:paraId="00000045">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22%</w:t>
            </w:r>
          </w:p>
        </w:tc>
        <w:tc>
          <w:tcPr>
            <w:vAlign w:val="center"/>
          </w:tcPr>
          <w:p w:rsidR="00000000" w:rsidDel="00000000" w:rsidP="00000000" w:rsidRDefault="00000000" w:rsidRPr="00000000" w14:paraId="00000046">
            <w:pPr>
              <w:jc w:val="center"/>
              <w:rPr>
                <w:rFonts w:ascii="Open Sans" w:cs="Open Sans" w:eastAsia="Open Sans" w:hAnsi="Open Sans"/>
              </w:rPr>
            </w:pPr>
            <w:r w:rsidDel="00000000" w:rsidR="00000000" w:rsidRPr="00000000">
              <w:rPr>
                <w:rFonts w:ascii="Open Sans" w:cs="Open Sans" w:eastAsia="Open Sans" w:hAnsi="Open Sans"/>
                <w:rtl w:val="0"/>
              </w:rPr>
              <w:t xml:space="preserve">ago.-25</w:t>
            </w:r>
          </w:p>
        </w:tc>
      </w:tr>
      <w:tr>
        <w:trPr>
          <w:cantSplit w:val="0"/>
          <w:trHeight w:val="567" w:hRule="atLeast"/>
          <w:tblHeader w:val="0"/>
        </w:trPr>
        <w:tc>
          <w:tcPr>
            <w:vAlign w:val="center"/>
          </w:tcPr>
          <w:p w:rsidR="00000000" w:rsidDel="00000000" w:rsidP="00000000" w:rsidRDefault="00000000" w:rsidRPr="00000000" w14:paraId="00000047">
            <w:pPr>
              <w:jc w:val="center"/>
              <w:rPr>
                <w:rFonts w:ascii="Open Sans" w:cs="Open Sans" w:eastAsia="Open Sans" w:hAnsi="Open Sans"/>
              </w:rPr>
            </w:pPr>
            <w:r w:rsidDel="00000000" w:rsidR="00000000" w:rsidRPr="00000000">
              <w:rPr>
                <w:rFonts w:ascii="Open Sans" w:cs="Open Sans" w:eastAsia="Open Sans" w:hAnsi="Open Sans"/>
                <w:rtl w:val="0"/>
              </w:rPr>
              <w:t xml:space="preserve">Baleares</w:t>
            </w:r>
          </w:p>
        </w:tc>
        <w:tc>
          <w:tcPr>
            <w:vAlign w:val="center"/>
          </w:tcPr>
          <w:p w:rsidR="00000000" w:rsidDel="00000000" w:rsidP="00000000" w:rsidRDefault="00000000" w:rsidRPr="00000000" w14:paraId="00000048">
            <w:pPr>
              <w:jc w:val="center"/>
              <w:rPr>
                <w:rFonts w:ascii="Open Sans" w:cs="Open Sans" w:eastAsia="Open Sans" w:hAnsi="Open Sans"/>
              </w:rPr>
            </w:pPr>
            <w:r w:rsidDel="00000000" w:rsidR="00000000" w:rsidRPr="00000000">
              <w:rPr>
                <w:rFonts w:ascii="Open Sans" w:cs="Open Sans" w:eastAsia="Open Sans" w:hAnsi="Open Sans"/>
                <w:rtl w:val="0"/>
              </w:rPr>
              <w:t xml:space="preserve">Campos</w:t>
            </w:r>
          </w:p>
        </w:tc>
        <w:tc>
          <w:tcPr>
            <w:vAlign w:val="center"/>
          </w:tcPr>
          <w:p w:rsidR="00000000" w:rsidDel="00000000" w:rsidP="00000000" w:rsidRDefault="00000000" w:rsidRPr="00000000" w14:paraId="00000049">
            <w:pPr>
              <w:jc w:val="center"/>
              <w:rPr>
                <w:rFonts w:ascii="Open Sans" w:cs="Open Sans" w:eastAsia="Open Sans" w:hAnsi="Open Sans"/>
              </w:rPr>
            </w:pPr>
            <w:r w:rsidDel="00000000" w:rsidR="00000000" w:rsidRPr="00000000">
              <w:rPr>
                <w:rFonts w:ascii="Open Sans" w:cs="Open Sans" w:eastAsia="Open Sans" w:hAnsi="Open Sans"/>
                <w:rtl w:val="0"/>
              </w:rPr>
              <w:t xml:space="preserve">6.791€</w:t>
            </w:r>
          </w:p>
        </w:tc>
        <w:tc>
          <w:tcPr>
            <w:vAlign w:val="center"/>
          </w:tcPr>
          <w:p w:rsidR="00000000" w:rsidDel="00000000" w:rsidP="00000000" w:rsidRDefault="00000000" w:rsidRPr="00000000" w14:paraId="0000004A">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33%</w:t>
            </w:r>
          </w:p>
        </w:tc>
        <w:tc>
          <w:tcPr>
            <w:vAlign w:val="center"/>
          </w:tcPr>
          <w:p w:rsidR="00000000" w:rsidDel="00000000" w:rsidP="00000000" w:rsidRDefault="00000000" w:rsidRPr="00000000" w14:paraId="0000004B">
            <w:pPr>
              <w:jc w:val="center"/>
              <w:rPr>
                <w:rFonts w:ascii="Open Sans" w:cs="Open Sans" w:eastAsia="Open Sans" w:hAnsi="Open Sans"/>
              </w:rPr>
            </w:pPr>
            <w:r w:rsidDel="00000000" w:rsidR="00000000" w:rsidRPr="00000000">
              <w:rPr>
                <w:rFonts w:ascii="Open Sans" w:cs="Open Sans" w:eastAsia="Open Sans" w:hAnsi="Open Sans"/>
                <w:rtl w:val="0"/>
              </w:rPr>
              <w:t xml:space="preserve">jun.-25</w:t>
            </w:r>
          </w:p>
        </w:tc>
      </w:tr>
      <w:tr>
        <w:trPr>
          <w:cantSplit w:val="0"/>
          <w:trHeight w:val="567" w:hRule="atLeast"/>
          <w:tblHeader w:val="0"/>
        </w:trPr>
        <w:tc>
          <w:tcPr>
            <w:vAlign w:val="center"/>
          </w:tcPr>
          <w:p w:rsidR="00000000" w:rsidDel="00000000" w:rsidP="00000000" w:rsidRDefault="00000000" w:rsidRPr="00000000" w14:paraId="0000004C">
            <w:pPr>
              <w:jc w:val="center"/>
              <w:rPr>
                <w:rFonts w:ascii="Open Sans" w:cs="Open Sans" w:eastAsia="Open Sans" w:hAnsi="Open Sans"/>
              </w:rPr>
            </w:pPr>
            <w:r w:rsidDel="00000000" w:rsidR="00000000" w:rsidRPr="00000000">
              <w:rPr>
                <w:rFonts w:ascii="Open Sans" w:cs="Open Sans" w:eastAsia="Open Sans" w:hAnsi="Open Sans"/>
                <w:rtl w:val="0"/>
              </w:rPr>
              <w:t xml:space="preserve">Baleares</w:t>
            </w:r>
          </w:p>
        </w:tc>
        <w:tc>
          <w:tcPr>
            <w:vAlign w:val="center"/>
          </w:tcPr>
          <w:p w:rsidR="00000000" w:rsidDel="00000000" w:rsidP="00000000" w:rsidRDefault="00000000" w:rsidRPr="00000000" w14:paraId="0000004D">
            <w:pPr>
              <w:jc w:val="center"/>
              <w:rPr>
                <w:rFonts w:ascii="Open Sans" w:cs="Open Sans" w:eastAsia="Open Sans" w:hAnsi="Open Sans"/>
              </w:rPr>
            </w:pPr>
            <w:r w:rsidDel="00000000" w:rsidR="00000000" w:rsidRPr="00000000">
              <w:rPr>
                <w:rFonts w:ascii="Open Sans" w:cs="Open Sans" w:eastAsia="Open Sans" w:hAnsi="Open Sans"/>
                <w:rtl w:val="0"/>
              </w:rPr>
              <w:t xml:space="preserve">Calvià</w:t>
            </w:r>
          </w:p>
        </w:tc>
        <w:tc>
          <w:tcPr>
            <w:vAlign w:val="center"/>
          </w:tcPr>
          <w:p w:rsidR="00000000" w:rsidDel="00000000" w:rsidP="00000000" w:rsidRDefault="00000000" w:rsidRPr="00000000" w14:paraId="0000004E">
            <w:pPr>
              <w:jc w:val="center"/>
              <w:rPr>
                <w:rFonts w:ascii="Open Sans" w:cs="Open Sans" w:eastAsia="Open Sans" w:hAnsi="Open Sans"/>
              </w:rPr>
            </w:pPr>
            <w:r w:rsidDel="00000000" w:rsidR="00000000" w:rsidRPr="00000000">
              <w:rPr>
                <w:rFonts w:ascii="Open Sans" w:cs="Open Sans" w:eastAsia="Open Sans" w:hAnsi="Open Sans"/>
                <w:rtl w:val="0"/>
              </w:rPr>
              <w:t xml:space="preserve">6.747€</w:t>
            </w:r>
          </w:p>
        </w:tc>
        <w:tc>
          <w:tcPr>
            <w:vAlign w:val="center"/>
          </w:tcPr>
          <w:p w:rsidR="00000000" w:rsidDel="00000000" w:rsidP="00000000" w:rsidRDefault="00000000" w:rsidRPr="00000000" w14:paraId="0000004F">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2%</w:t>
            </w:r>
          </w:p>
        </w:tc>
        <w:tc>
          <w:tcPr>
            <w:vAlign w:val="center"/>
          </w:tcPr>
          <w:p w:rsidR="00000000" w:rsidDel="00000000" w:rsidP="00000000" w:rsidRDefault="00000000" w:rsidRPr="00000000" w14:paraId="00000050">
            <w:pPr>
              <w:jc w:val="center"/>
              <w:rPr>
                <w:rFonts w:ascii="Open Sans" w:cs="Open Sans" w:eastAsia="Open Sans" w:hAnsi="Open Sans"/>
              </w:rPr>
            </w:pPr>
            <w:r w:rsidDel="00000000" w:rsidR="00000000" w:rsidRPr="00000000">
              <w:rPr>
                <w:rFonts w:ascii="Open Sans" w:cs="Open Sans" w:eastAsia="Open Sans" w:hAnsi="Open Sans"/>
                <w:rtl w:val="0"/>
              </w:rPr>
              <w:t xml:space="preserve">oct.-25</w:t>
            </w:r>
          </w:p>
        </w:tc>
      </w:tr>
      <w:tr>
        <w:trPr>
          <w:cantSplit w:val="0"/>
          <w:trHeight w:val="567" w:hRule="atLeast"/>
          <w:tblHeader w:val="0"/>
        </w:trPr>
        <w:tc>
          <w:tcPr>
            <w:vAlign w:val="center"/>
          </w:tcPr>
          <w:p w:rsidR="00000000" w:rsidDel="00000000" w:rsidP="00000000" w:rsidRDefault="00000000" w:rsidRPr="00000000" w14:paraId="00000051">
            <w:pPr>
              <w:jc w:val="center"/>
              <w:rPr>
                <w:rFonts w:ascii="Open Sans" w:cs="Open Sans" w:eastAsia="Open Sans" w:hAnsi="Open Sans"/>
              </w:rPr>
            </w:pPr>
            <w:r w:rsidDel="00000000" w:rsidR="00000000" w:rsidRPr="00000000">
              <w:rPr>
                <w:rFonts w:ascii="Open Sans" w:cs="Open Sans" w:eastAsia="Open Sans" w:hAnsi="Open Sans"/>
                <w:rtl w:val="0"/>
              </w:rPr>
              <w:t xml:space="preserve">Cataluña</w:t>
            </w:r>
          </w:p>
        </w:tc>
        <w:tc>
          <w:tcPr>
            <w:vAlign w:val="center"/>
          </w:tcPr>
          <w:p w:rsidR="00000000" w:rsidDel="00000000" w:rsidP="00000000" w:rsidRDefault="00000000" w:rsidRPr="00000000" w14:paraId="00000052">
            <w:pPr>
              <w:jc w:val="center"/>
              <w:rPr>
                <w:rFonts w:ascii="Open Sans" w:cs="Open Sans" w:eastAsia="Open Sans" w:hAnsi="Open Sans"/>
              </w:rPr>
            </w:pPr>
            <w:r w:rsidDel="00000000" w:rsidR="00000000" w:rsidRPr="00000000">
              <w:rPr>
                <w:rFonts w:ascii="Open Sans" w:cs="Open Sans" w:eastAsia="Open Sans" w:hAnsi="Open Sans"/>
                <w:rtl w:val="0"/>
              </w:rPr>
              <w:t xml:space="preserve">Sant Just Desvern</w:t>
            </w:r>
          </w:p>
        </w:tc>
        <w:tc>
          <w:tcPr>
            <w:vAlign w:val="center"/>
          </w:tcPr>
          <w:p w:rsidR="00000000" w:rsidDel="00000000" w:rsidP="00000000" w:rsidRDefault="00000000" w:rsidRPr="00000000" w14:paraId="00000053">
            <w:pPr>
              <w:jc w:val="center"/>
              <w:rPr>
                <w:rFonts w:ascii="Open Sans" w:cs="Open Sans" w:eastAsia="Open Sans" w:hAnsi="Open Sans"/>
              </w:rPr>
            </w:pPr>
            <w:r w:rsidDel="00000000" w:rsidR="00000000" w:rsidRPr="00000000">
              <w:rPr>
                <w:rFonts w:ascii="Open Sans" w:cs="Open Sans" w:eastAsia="Open Sans" w:hAnsi="Open Sans"/>
                <w:rtl w:val="0"/>
              </w:rPr>
              <w:t xml:space="preserve">6.640€</w:t>
            </w:r>
          </w:p>
        </w:tc>
        <w:tc>
          <w:tcPr>
            <w:vAlign w:val="center"/>
          </w:tcPr>
          <w:p w:rsidR="00000000" w:rsidDel="00000000" w:rsidP="00000000" w:rsidRDefault="00000000" w:rsidRPr="00000000" w14:paraId="00000054">
            <w:pPr>
              <w:jc w:val="center"/>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16%</w:t>
            </w:r>
          </w:p>
        </w:tc>
        <w:tc>
          <w:tcPr>
            <w:vAlign w:val="center"/>
          </w:tcPr>
          <w:p w:rsidR="00000000" w:rsidDel="00000000" w:rsidP="00000000" w:rsidRDefault="00000000" w:rsidRPr="00000000" w14:paraId="00000055">
            <w:pPr>
              <w:jc w:val="center"/>
              <w:rPr>
                <w:rFonts w:ascii="Open Sans" w:cs="Open Sans" w:eastAsia="Open Sans" w:hAnsi="Open Sans"/>
              </w:rPr>
            </w:pPr>
            <w:r w:rsidDel="00000000" w:rsidR="00000000" w:rsidRPr="00000000">
              <w:rPr>
                <w:rFonts w:ascii="Open Sans" w:cs="Open Sans" w:eastAsia="Open Sans" w:hAnsi="Open Sans"/>
                <w:rtl w:val="0"/>
              </w:rPr>
              <w:t xml:space="preserve">nov.-25</w:t>
            </w:r>
          </w:p>
        </w:tc>
      </w:tr>
      <w:tr>
        <w:trPr>
          <w:cantSplit w:val="0"/>
          <w:trHeight w:val="567" w:hRule="atLeast"/>
          <w:tblHeader w:val="0"/>
        </w:trPr>
        <w:tc>
          <w:tcPr>
            <w:vAlign w:val="center"/>
          </w:tcPr>
          <w:p w:rsidR="00000000" w:rsidDel="00000000" w:rsidP="00000000" w:rsidRDefault="00000000" w:rsidRPr="00000000" w14:paraId="00000056">
            <w:pPr>
              <w:jc w:val="center"/>
              <w:rPr>
                <w:rFonts w:ascii="Open Sans" w:cs="Open Sans" w:eastAsia="Open Sans" w:hAnsi="Open Sans"/>
              </w:rPr>
            </w:pPr>
            <w:r w:rsidDel="00000000" w:rsidR="00000000" w:rsidRPr="00000000">
              <w:rPr>
                <w:rFonts w:ascii="Open Sans" w:cs="Open Sans" w:eastAsia="Open Sans" w:hAnsi="Open Sans"/>
                <w:rtl w:val="0"/>
              </w:rPr>
              <w:t xml:space="preserve">País Vasco</w:t>
            </w:r>
          </w:p>
        </w:tc>
        <w:tc>
          <w:tcPr>
            <w:vAlign w:val="center"/>
          </w:tcPr>
          <w:p w:rsidR="00000000" w:rsidDel="00000000" w:rsidP="00000000" w:rsidRDefault="00000000" w:rsidRPr="00000000" w14:paraId="00000057">
            <w:pPr>
              <w:jc w:val="center"/>
              <w:rPr>
                <w:rFonts w:ascii="Open Sans" w:cs="Open Sans" w:eastAsia="Open Sans" w:hAnsi="Open Sans"/>
              </w:rPr>
            </w:pPr>
            <w:r w:rsidDel="00000000" w:rsidR="00000000" w:rsidRPr="00000000">
              <w:rPr>
                <w:rFonts w:ascii="Open Sans" w:cs="Open Sans" w:eastAsia="Open Sans" w:hAnsi="Open Sans"/>
                <w:rtl w:val="0"/>
              </w:rPr>
              <w:t xml:space="preserve">Zarautz</w:t>
            </w:r>
          </w:p>
        </w:tc>
        <w:tc>
          <w:tcPr>
            <w:vAlign w:val="center"/>
          </w:tcPr>
          <w:p w:rsidR="00000000" w:rsidDel="00000000" w:rsidP="00000000" w:rsidRDefault="00000000" w:rsidRPr="00000000" w14:paraId="00000058">
            <w:pPr>
              <w:jc w:val="center"/>
              <w:rPr>
                <w:rFonts w:ascii="Open Sans" w:cs="Open Sans" w:eastAsia="Open Sans" w:hAnsi="Open Sans"/>
              </w:rPr>
            </w:pPr>
            <w:r w:rsidDel="00000000" w:rsidR="00000000" w:rsidRPr="00000000">
              <w:rPr>
                <w:rFonts w:ascii="Open Sans" w:cs="Open Sans" w:eastAsia="Open Sans" w:hAnsi="Open Sans"/>
                <w:rtl w:val="0"/>
              </w:rPr>
              <w:t xml:space="preserve">6.478€</w:t>
            </w:r>
          </w:p>
        </w:tc>
        <w:tc>
          <w:tcPr>
            <w:vAlign w:val="center"/>
          </w:tcPr>
          <w:p w:rsidR="00000000" w:rsidDel="00000000" w:rsidP="00000000" w:rsidRDefault="00000000" w:rsidRPr="00000000" w14:paraId="00000059">
            <w:pPr>
              <w:jc w:val="center"/>
              <w:rPr>
                <w:rFonts w:ascii="Open Sans" w:cs="Open Sans" w:eastAsia="Open Sans" w:hAnsi="Open Sans"/>
                <w:color w:val="9c0006"/>
              </w:rPr>
            </w:pPr>
            <w:r w:rsidDel="00000000" w:rsidR="00000000" w:rsidRPr="00000000">
              <w:rPr>
                <w:rFonts w:ascii="Open Sans" w:cs="Open Sans" w:eastAsia="Open Sans" w:hAnsi="Open Sans"/>
                <w:color w:val="9c0006"/>
                <w:rtl w:val="0"/>
              </w:rPr>
              <w:t xml:space="preserve">-4%</w:t>
            </w:r>
          </w:p>
        </w:tc>
        <w:tc>
          <w:tcPr>
            <w:vAlign w:val="center"/>
          </w:tcPr>
          <w:p w:rsidR="00000000" w:rsidDel="00000000" w:rsidP="00000000" w:rsidRDefault="00000000" w:rsidRPr="00000000" w14:paraId="0000005A">
            <w:pPr>
              <w:jc w:val="center"/>
              <w:rPr>
                <w:rFonts w:ascii="Open Sans" w:cs="Open Sans" w:eastAsia="Open Sans" w:hAnsi="Open Sans"/>
              </w:rPr>
            </w:pPr>
            <w:r w:rsidDel="00000000" w:rsidR="00000000" w:rsidRPr="00000000">
              <w:rPr>
                <w:rFonts w:ascii="Open Sans" w:cs="Open Sans" w:eastAsia="Open Sans" w:hAnsi="Open Sans"/>
                <w:rtl w:val="0"/>
              </w:rPr>
              <w:t xml:space="preserve">ene.-25</w:t>
            </w:r>
          </w:p>
        </w:tc>
      </w:tr>
    </w:tbl>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76"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5C">
      <w:pPr>
        <w:spacing w:line="276" w:lineRule="auto"/>
        <w:ind w:right="0"/>
        <w:jc w:val="right"/>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5D">
      <w:pPr>
        <w:spacing w:line="276" w:lineRule="auto"/>
        <w:ind w:right="0"/>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w:t>
      </w:r>
    </w:p>
    <w:p w:rsidR="00000000" w:rsidDel="00000000" w:rsidP="00000000" w:rsidRDefault="00000000" w:rsidRPr="00000000" w14:paraId="0000005E">
      <w:pPr>
        <w:shd w:fill="ffffff" w:val="clear"/>
        <w:spacing w:after="280" w:before="280" w:line="276" w:lineRule="auto"/>
        <w:ind w:right="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Fotocasa es uno de los principales portales inmobiliarios de España, con una amplia oferta de viviendas de segunda mano, promociones de obra nueva y alquileres que pertenece a </w:t>
      </w: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w:t>
      </w:r>
    </w:p>
    <w:p w:rsidR="00000000" w:rsidDel="00000000" w:rsidP="00000000" w:rsidRDefault="00000000" w:rsidRPr="00000000" w14:paraId="0000005F">
      <w:pPr>
        <w:shd w:fill="ffffff" w:val="clear"/>
        <w:spacing w:after="280" w:before="280" w:line="276" w:lineRule="auto"/>
        <w:ind w:right="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Mensualmente, elabora el </w:t>
      </w:r>
      <w:hyperlink r:id="rId12">
        <w:r w:rsidDel="00000000" w:rsidR="00000000" w:rsidRPr="00000000">
          <w:rPr>
            <w:rFonts w:ascii="Open Sans" w:cs="Open Sans" w:eastAsia="Open Sans" w:hAnsi="Open Sans"/>
            <w:b w:val="1"/>
            <w:bCs w:val="1"/>
            <w:color w:val="0000ff"/>
            <w:sz w:val="22"/>
            <w:szCs w:val="22"/>
            <w:u w:val="single"/>
            <w:rtl w:val="0"/>
          </w:rPr>
          <w:t xml:space="preserve">Índice inmobiliario Fotocasa</w:t>
        </w:r>
      </w:hyperlink>
      <w:r w:rsidDel="00000000" w:rsidR="00000000" w:rsidRPr="00000000">
        <w:rPr>
          <w:rFonts w:ascii="Open Sans" w:cs="Open Sans" w:eastAsia="Open Sans" w:hAnsi="Open Sans"/>
          <w:sz w:val="22"/>
          <w:szCs w:val="22"/>
          <w:rtl w:val="0"/>
        </w:rPr>
        <w:t xml:space="preserve">, un informe de referencia que analiza la evolución del precio medio de la vivienda en España, tanto en venta como en alquiler.</w:t>
      </w:r>
    </w:p>
    <w:p w:rsidR="00000000" w:rsidDel="00000000" w:rsidP="00000000" w:rsidRDefault="00000000" w:rsidRPr="00000000" w14:paraId="00000060">
      <w:pPr>
        <w:shd w:fill="ffffff" w:val="clear"/>
        <w:spacing w:after="280" w:before="280" w:line="276" w:lineRule="auto"/>
        <w:ind w:right="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Desde 2017, desarrolla además estudios sociológicos bajo el sello </w:t>
      </w:r>
      <w:hyperlink r:id="rId13">
        <w:r w:rsidDel="00000000" w:rsidR="00000000" w:rsidRPr="00000000">
          <w:rPr>
            <w:rFonts w:ascii="Open Sans" w:cs="Open Sans" w:eastAsia="Open Sans" w:hAnsi="Open Sans"/>
            <w:b w:val="1"/>
            <w:bCs w:val="1"/>
            <w:color w:val="0000ff"/>
            <w:sz w:val="22"/>
            <w:szCs w:val="22"/>
            <w:u w:val="single"/>
            <w:rtl w:val="0"/>
          </w:rPr>
          <w:t xml:space="preserve">Fotocasa Research</w:t>
        </w:r>
      </w:hyperlink>
      <w:r w:rsidDel="00000000" w:rsidR="00000000" w:rsidRPr="00000000">
        <w:rPr>
          <w:rFonts w:ascii="Open Sans" w:cs="Open Sans" w:eastAsia="Open Sans" w:hAnsi="Open Sans"/>
          <w:sz w:val="22"/>
          <w:szCs w:val="22"/>
          <w:rtl w:val="0"/>
        </w:rPr>
        <w:t xml:space="preserve">, con el objetivo de aportar conocimiento y análisis en profundidad sobre las tendencias del mercado y el comportamiento de los ciudadanos en relación con la vivienda.</w:t>
      </w:r>
    </w:p>
    <w:p w:rsidR="00000000" w:rsidDel="00000000" w:rsidP="00000000" w:rsidRDefault="00000000" w:rsidRPr="00000000" w14:paraId="00000061">
      <w:pPr>
        <w:shd w:fill="ffffff" w:val="clear"/>
        <w:spacing w:after="280" w:before="280" w:line="276" w:lineRule="auto"/>
        <w:ind w:right="0"/>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Toda la información y los últimos comunicados están disponibles en su </w:t>
      </w:r>
      <w:hyperlink r:id="rId14">
        <w:r w:rsidDel="00000000" w:rsidR="00000000" w:rsidRPr="00000000">
          <w:rPr>
            <w:rFonts w:ascii="Open Sans" w:cs="Open Sans" w:eastAsia="Open Sans" w:hAnsi="Open Sans"/>
            <w:b w:val="1"/>
            <w:bCs w:val="1"/>
            <w:color w:val="0000ff"/>
            <w:sz w:val="22"/>
            <w:szCs w:val="22"/>
            <w:u w:val="single"/>
            <w:rtl w:val="0"/>
          </w:rPr>
          <w:t xml:space="preserve">Sala de Prensa</w:t>
        </w:r>
      </w:hyperlink>
      <w:r w:rsidDel="00000000" w:rsidR="00000000" w:rsidRPr="00000000">
        <w:rPr>
          <w:rtl w:val="0"/>
        </w:rPr>
      </w:r>
    </w:p>
    <w:p w:rsidR="00000000" w:rsidDel="00000000" w:rsidP="00000000" w:rsidRDefault="00000000" w:rsidRPr="00000000" w14:paraId="00000062">
      <w:pPr>
        <w:spacing w:line="276" w:lineRule="auto"/>
        <w:ind w:right="0"/>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63">
      <w:pPr>
        <w:spacing w:line="276" w:lineRule="auto"/>
        <w:ind w:right="0"/>
        <w:rPr>
          <w:rFonts w:ascii="Open Sans Light" w:cs="Open Sans Light" w:eastAsia="Open Sans Light" w:hAnsi="Open Sans Light"/>
          <w:b w:val="1"/>
          <w:bCs w:val="1"/>
          <w:color w:val="303ab2"/>
        </w:rPr>
      </w:pPr>
      <w:r w:rsidDel="00000000" w:rsidR="00000000" w:rsidRPr="00000000">
        <w:rPr>
          <w:rtl w:val="0"/>
        </w:rPr>
      </w:r>
    </w:p>
    <w:p w:rsidR="00000000" w:rsidDel="00000000" w:rsidP="00000000" w:rsidRDefault="00000000" w:rsidRPr="00000000" w14:paraId="00000064">
      <w:pPr>
        <w:spacing w:line="276" w:lineRule="auto"/>
        <w:ind w:right="0"/>
        <w:jc w:val="right"/>
        <w:rPr>
          <w:rFonts w:ascii="Open Sans Light" w:cs="Open Sans Light" w:eastAsia="Open Sans Light" w:hAnsi="Open Sans Light"/>
          <w:b w:val="1"/>
          <w:bCs w:val="1"/>
          <w:color w:val="303ab2"/>
        </w:rPr>
      </w:pPr>
      <w:r w:rsidDel="00000000" w:rsidR="00000000" w:rsidRPr="00000000">
        <w:rPr>
          <w:rFonts w:ascii="Open Sans Light" w:cs="Open Sans Light" w:eastAsia="Open Sans Light" w:hAnsi="Open Sans Light"/>
          <w:b w:val="1"/>
          <w:bCs w:val="1"/>
          <w:color w:val="303ab2"/>
          <w:rtl w:val="0"/>
        </w:rPr>
        <w:t xml:space="preserve">Sobre Fotocasa Group</w:t>
      </w:r>
    </w:p>
    <w:p w:rsidR="00000000" w:rsidDel="00000000" w:rsidP="00000000" w:rsidRDefault="00000000" w:rsidRPr="00000000" w14:paraId="00000065">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 Group</w:t>
      </w:r>
      <w:r w:rsidDel="00000000" w:rsidR="00000000" w:rsidRPr="00000000">
        <w:rPr>
          <w:rFonts w:ascii="Open Sans" w:cs="Open Sans" w:eastAsia="Open Sans" w:hAnsi="Open Sans"/>
          <w:sz w:val="22"/>
          <w:szCs w:val="22"/>
          <w:rtl w:val="0"/>
        </w:rPr>
        <w:t xml:space="preserve"> es un referente del sector inmobiliario en España, </w:t>
      </w:r>
      <w:r w:rsidDel="00000000" w:rsidR="00000000" w:rsidRPr="00000000">
        <w:rPr>
          <w:rFonts w:ascii="Open Sans" w:cs="Open Sans" w:eastAsia="Open Sans" w:hAnsi="Open Sans"/>
          <w:b w:val="1"/>
          <w:bCs w:val="1"/>
          <w:sz w:val="22"/>
          <w:szCs w:val="22"/>
          <w:rtl w:val="0"/>
        </w:rPr>
        <w:t xml:space="preserve">con más de 25 años de experiencia</w:t>
      </w:r>
      <w:r w:rsidDel="00000000" w:rsidR="00000000" w:rsidRPr="00000000">
        <w:rPr>
          <w:rFonts w:ascii="Open Sans" w:cs="Open Sans" w:eastAsia="Open Sans" w:hAnsi="Open Sans"/>
          <w:sz w:val="22"/>
          <w:szCs w:val="22"/>
          <w:rtl w:val="0"/>
        </w:rPr>
        <w:t xml:space="preserve"> liderando la transformación del real estate a través de la innovación, los datos y la tecnología.</w:t>
      </w:r>
    </w:p>
    <w:p w:rsidR="00000000" w:rsidDel="00000000" w:rsidP="00000000" w:rsidRDefault="00000000" w:rsidRPr="00000000" w14:paraId="00000066">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Bajo su marca paraguas, Fotocasa Group impulsa y da visibilidad a un ecosistema de marcas líderes —</w:t>
      </w:r>
      <w:hyperlink r:id="rId15">
        <w:r w:rsidDel="00000000" w:rsidR="00000000" w:rsidRPr="00000000">
          <w:rPr>
            <w:rFonts w:ascii="Open Sans" w:cs="Open Sans" w:eastAsia="Open Sans" w:hAnsi="Open Sans"/>
            <w:b w:val="1"/>
            <w:bCs w:val="1"/>
            <w:color w:val="0000ff"/>
            <w:sz w:val="22"/>
            <w:szCs w:val="22"/>
            <w:u w:val="single"/>
            <w:rtl w:val="0"/>
          </w:rPr>
          <w:t xml:space="preserve">Fotocasa</w:t>
        </w:r>
      </w:hyperlink>
      <w:r w:rsidDel="00000000" w:rsidR="00000000" w:rsidRPr="00000000">
        <w:rPr>
          <w:rFonts w:ascii="Open Sans" w:cs="Open Sans" w:eastAsia="Open Sans" w:hAnsi="Open Sans"/>
          <w:sz w:val="22"/>
          <w:szCs w:val="22"/>
          <w:rtl w:val="0"/>
        </w:rPr>
        <w:t xml:space="preserve">, </w:t>
      </w:r>
      <w:hyperlink r:id="rId16">
        <w:r w:rsidDel="00000000" w:rsidR="00000000" w:rsidRPr="00000000">
          <w:rPr>
            <w:rFonts w:ascii="Open Sans" w:cs="Open Sans" w:eastAsia="Open Sans" w:hAnsi="Open Sans"/>
            <w:b w:val="1"/>
            <w:bCs w:val="1"/>
            <w:color w:val="0000ff"/>
            <w:sz w:val="22"/>
            <w:szCs w:val="22"/>
            <w:u w:val="single"/>
            <w:rtl w:val="0"/>
          </w:rPr>
          <w:t xml:space="preserve">habitaclia</w:t>
        </w:r>
      </w:hyperlink>
      <w:r w:rsidDel="00000000" w:rsidR="00000000" w:rsidRPr="00000000">
        <w:rPr>
          <w:rFonts w:ascii="Open Sans" w:cs="Open Sans" w:eastAsia="Open Sans" w:hAnsi="Open Sans"/>
          <w:sz w:val="22"/>
          <w:szCs w:val="22"/>
          <w:rtl w:val="0"/>
        </w:rPr>
        <w:t xml:space="preserve">, </w:t>
      </w:r>
      <w:hyperlink r:id="rId17">
        <w:r w:rsidDel="00000000" w:rsidR="00000000" w:rsidRPr="00000000">
          <w:rPr>
            <w:rFonts w:ascii="Open Sans" w:cs="Open Sans" w:eastAsia="Open Sans" w:hAnsi="Open Sans"/>
            <w:b w:val="1"/>
            <w:bCs w:val="1"/>
            <w:color w:val="0000ff"/>
            <w:sz w:val="22"/>
            <w:szCs w:val="22"/>
            <w:u w:val="single"/>
            <w:rtl w:val="0"/>
          </w:rPr>
          <w:t xml:space="preserve">Fotocasa Pro</w:t>
        </w:r>
      </w:hyperlink>
      <w:r w:rsidDel="00000000" w:rsidR="00000000" w:rsidRPr="00000000">
        <w:rPr>
          <w:rFonts w:ascii="Open Sans" w:cs="Open Sans" w:eastAsia="Open Sans" w:hAnsi="Open Sans"/>
          <w:sz w:val="22"/>
          <w:szCs w:val="22"/>
          <w:rtl w:val="0"/>
        </w:rPr>
        <w:t xml:space="preserve">, </w:t>
      </w:r>
      <w:hyperlink r:id="rId18">
        <w:r w:rsidDel="00000000" w:rsidR="00000000" w:rsidRPr="00000000">
          <w:rPr>
            <w:rFonts w:ascii="Open Sans" w:cs="Open Sans" w:eastAsia="Open Sans" w:hAnsi="Open Sans"/>
            <w:b w:val="1"/>
            <w:bCs w:val="1"/>
            <w:color w:val="0000ff"/>
            <w:sz w:val="22"/>
            <w:szCs w:val="22"/>
            <w:u w:val="single"/>
            <w:rtl w:val="0"/>
          </w:rPr>
          <w:t xml:space="preserve">Datavenues</w:t>
        </w:r>
      </w:hyperlink>
      <w:r w:rsidDel="00000000" w:rsidR="00000000" w:rsidRPr="00000000">
        <w:rPr>
          <w:rFonts w:ascii="Open Sans" w:cs="Open Sans" w:eastAsia="Open Sans" w:hAnsi="Open Sans"/>
          <w:sz w:val="22"/>
          <w:szCs w:val="22"/>
          <w:rtl w:val="0"/>
        </w:rPr>
        <w:t xml:space="preserve">, </w:t>
      </w:r>
      <w:hyperlink r:id="rId19">
        <w:r w:rsidDel="00000000" w:rsidR="00000000" w:rsidRPr="00000000">
          <w:rPr>
            <w:rFonts w:ascii="Open Sans" w:cs="Open Sans" w:eastAsia="Open Sans" w:hAnsi="Open Sans"/>
            <w:b w:val="1"/>
            <w:bCs w:val="1"/>
            <w:color w:val="0000ff"/>
            <w:sz w:val="22"/>
            <w:szCs w:val="22"/>
            <w:u w:val="single"/>
            <w:rtl w:val="0"/>
          </w:rPr>
          <w:t xml:space="preserve">Witei</w:t>
        </w:r>
      </w:hyperlink>
      <w:r w:rsidDel="00000000" w:rsidR="00000000" w:rsidRPr="00000000">
        <w:rPr>
          <w:rFonts w:ascii="Open Sans" w:cs="Open Sans" w:eastAsia="Open Sans" w:hAnsi="Open Sans"/>
          <w:sz w:val="22"/>
          <w:szCs w:val="22"/>
          <w:rtl w:val="0"/>
        </w:rPr>
        <w:t xml:space="preserve"> e </w:t>
      </w:r>
      <w:hyperlink r:id="rId20">
        <w:r w:rsidDel="00000000" w:rsidR="00000000" w:rsidRPr="00000000">
          <w:rPr>
            <w:rFonts w:ascii="Open Sans" w:cs="Open Sans" w:eastAsia="Open Sans" w:hAnsi="Open Sans"/>
            <w:b w:val="1"/>
            <w:bCs w:val="1"/>
            <w:color w:val="0000ff"/>
            <w:sz w:val="22"/>
            <w:szCs w:val="22"/>
            <w:rtl w:val="0"/>
          </w:rPr>
          <w:t xml:space="preserve">Inmoweb</w:t>
        </w:r>
      </w:hyperlink>
      <w:r w:rsidDel="00000000" w:rsidR="00000000" w:rsidRPr="00000000">
        <w:rPr>
          <w:rFonts w:ascii="Open Sans" w:cs="Open Sans" w:eastAsia="Open Sans" w:hAnsi="Open Sans"/>
          <w:sz w:val="22"/>
          <w:szCs w:val="22"/>
          <w:rtl w:val="0"/>
        </w:rPr>
        <w:t xml:space="preserve">— que ofrecen soluciones integrales tanto </w:t>
      </w:r>
      <w:r w:rsidDel="00000000" w:rsidR="00000000" w:rsidRPr="00000000">
        <w:rPr>
          <w:rFonts w:ascii="Open Sans" w:cs="Open Sans" w:eastAsia="Open Sans" w:hAnsi="Open Sans"/>
          <w:b w:val="1"/>
          <w:bCs w:val="1"/>
          <w:sz w:val="22"/>
          <w:szCs w:val="22"/>
          <w:rtl w:val="0"/>
        </w:rPr>
        <w:t xml:space="preserve">para particulares como para profesionales del sector</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67">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b w:val="1"/>
          <w:bCs w:val="1"/>
          <w:sz w:val="22"/>
          <w:szCs w:val="22"/>
          <w:rtl w:val="0"/>
        </w:rPr>
        <w:t xml:space="preserve">Fotocasa</w:t>
      </w:r>
      <w:r w:rsidDel="00000000" w:rsidR="00000000" w:rsidRPr="00000000">
        <w:rPr>
          <w:rFonts w:ascii="Open Sans" w:cs="Open Sans" w:eastAsia="Open Sans" w:hAnsi="Open Sans"/>
          <w:sz w:val="22"/>
          <w:szCs w:val="22"/>
          <w:rtl w:val="0"/>
        </w:rPr>
        <w:t xml:space="preserve">, la marca insignia del grupo, conecta cada día a </w:t>
      </w:r>
      <w:r w:rsidDel="00000000" w:rsidR="00000000" w:rsidRPr="00000000">
        <w:rPr>
          <w:rFonts w:ascii="Open Sans" w:cs="Open Sans" w:eastAsia="Open Sans" w:hAnsi="Open Sans"/>
          <w:b w:val="1"/>
          <w:bCs w:val="1"/>
          <w:sz w:val="22"/>
          <w:szCs w:val="22"/>
          <w:rtl w:val="0"/>
        </w:rPr>
        <w:t xml:space="preserve">millones de personas con su próximo hogar</w:t>
      </w:r>
      <w:r w:rsidDel="00000000" w:rsidR="00000000" w:rsidRPr="00000000">
        <w:rPr>
          <w:rFonts w:ascii="Open Sans" w:cs="Open Sans" w:eastAsia="Open Sans" w:hAnsi="Open Sans"/>
          <w:sz w:val="22"/>
          <w:szCs w:val="22"/>
          <w:rtl w:val="0"/>
        </w:rPr>
        <w:t xml:space="preserve">, ofreciendo la mayor oferta de viviendas de segunda mano, obra nueva, alquiler y compraventa, junto con análisis y contenidos que la consolidan como un auténtico </w:t>
      </w:r>
      <w:r w:rsidDel="00000000" w:rsidR="00000000" w:rsidRPr="00000000">
        <w:rPr>
          <w:rFonts w:ascii="Open Sans" w:cs="Open Sans" w:eastAsia="Open Sans" w:hAnsi="Open Sans"/>
          <w:b w:val="1"/>
          <w:bCs w:val="1"/>
          <w:sz w:val="22"/>
          <w:szCs w:val="22"/>
          <w:rtl w:val="0"/>
        </w:rPr>
        <w:t xml:space="preserve">referente del mercado inmobiliario</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68">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En Fotocasa Group, </w:t>
      </w:r>
      <w:r w:rsidDel="00000000" w:rsidR="00000000" w:rsidRPr="00000000">
        <w:rPr>
          <w:rFonts w:ascii="Open Sans" w:cs="Open Sans" w:eastAsia="Open Sans" w:hAnsi="Open Sans"/>
          <w:b w:val="1"/>
          <w:bCs w:val="1"/>
          <w:sz w:val="22"/>
          <w:szCs w:val="22"/>
          <w:rtl w:val="0"/>
        </w:rPr>
        <w:t xml:space="preserve">unimos personas y propiedades</w:t>
      </w:r>
      <w:r w:rsidDel="00000000" w:rsidR="00000000" w:rsidRPr="00000000">
        <w:rPr>
          <w:rFonts w:ascii="Open Sans" w:cs="Open Sans" w:eastAsia="Open Sans" w:hAnsi="Open Sans"/>
          <w:sz w:val="22"/>
          <w:szCs w:val="22"/>
          <w:rtl w:val="0"/>
        </w:rPr>
        <w:t xml:space="preserve"> a través de una plataforma inteligente, diseñada para hacer que </w:t>
      </w:r>
      <w:r w:rsidDel="00000000" w:rsidR="00000000" w:rsidRPr="00000000">
        <w:rPr>
          <w:rFonts w:ascii="Open Sans" w:cs="Open Sans" w:eastAsia="Open Sans" w:hAnsi="Open Sans"/>
          <w:b w:val="1"/>
          <w:bCs w:val="1"/>
          <w:sz w:val="22"/>
          <w:szCs w:val="22"/>
          <w:rtl w:val="0"/>
        </w:rPr>
        <w:t xml:space="preserve">buscar, comprar o alquilar vivienda</w:t>
      </w:r>
      <w:r w:rsidDel="00000000" w:rsidR="00000000" w:rsidRPr="00000000">
        <w:rPr>
          <w:rFonts w:ascii="Open Sans" w:cs="Open Sans" w:eastAsia="Open Sans" w:hAnsi="Open Sans"/>
          <w:sz w:val="22"/>
          <w:szCs w:val="22"/>
          <w:rtl w:val="0"/>
        </w:rPr>
        <w:t xml:space="preserve"> sea una experiencia más fácil, transparente y eficiente.</w:t>
      </w:r>
    </w:p>
    <w:p w:rsidR="00000000" w:rsidDel="00000000" w:rsidP="00000000" w:rsidRDefault="00000000" w:rsidRPr="00000000" w14:paraId="00000069">
      <w:pPr>
        <w:shd w:fill="ffffff" w:val="clear"/>
        <w:spacing w:after="280" w:before="280" w:line="276" w:lineRule="auto"/>
        <w:jc w:val="both"/>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Nuestra visión es clara</w:t>
      </w:r>
      <w:r w:rsidDel="00000000" w:rsidR="00000000" w:rsidRPr="00000000">
        <w:rPr>
          <w:rFonts w:ascii="Open Sans" w:cs="Open Sans" w:eastAsia="Open Sans" w:hAnsi="Open Sans"/>
          <w:b w:val="1"/>
          <w:bCs w:val="1"/>
          <w:sz w:val="22"/>
          <w:szCs w:val="22"/>
          <w:rtl w:val="0"/>
        </w:rPr>
        <w:t xml:space="preserve">: ser el lugar donde tu nuevo hogar te encuentra</w:t>
      </w:r>
      <w:r w:rsidDel="00000000" w:rsidR="00000000" w:rsidRPr="00000000">
        <w:rPr>
          <w:rFonts w:ascii="Open Sans" w:cs="Open Sans" w:eastAsia="Open Sans" w:hAnsi="Open Sans"/>
          <w:sz w:val="22"/>
          <w:szCs w:val="22"/>
          <w:rtl w:val="0"/>
        </w:rPr>
        <w:t xml:space="preserve">.</w:t>
      </w:r>
    </w:p>
    <w:p w:rsidR="00000000" w:rsidDel="00000000" w:rsidP="00000000" w:rsidRDefault="00000000" w:rsidRPr="00000000" w14:paraId="0000006A">
      <w:pPr>
        <w:spacing w:line="276" w:lineRule="auto"/>
        <w:rPr>
          <w:rFonts w:ascii="Open Sans Light" w:cs="Open Sans Light" w:eastAsia="Open Sans Light" w:hAnsi="Open Sans Light"/>
          <w:b w:val="1"/>
          <w:bCs w:val="1"/>
          <w:color w:val="303ab2"/>
          <w:sz w:val="22"/>
          <w:szCs w:val="22"/>
        </w:rPr>
      </w:pPr>
      <w:r w:rsidDel="00000000" w:rsidR="00000000" w:rsidRPr="00000000">
        <w:rPr>
          <w:rtl w:val="0"/>
        </w:rPr>
      </w:r>
    </w:p>
    <w:p w:rsidR="00000000" w:rsidDel="00000000" w:rsidP="00000000" w:rsidRDefault="00000000" w:rsidRPr="00000000" w14:paraId="0000006B">
      <w:pPr>
        <w:spacing w:line="276" w:lineRule="auto"/>
        <w:rPr>
          <w:rFonts w:ascii="Open Sans Light" w:cs="Open Sans Light" w:eastAsia="Open Sans Light" w:hAnsi="Open Sans Light"/>
          <w:b w:val="1"/>
          <w:bCs w:val="1"/>
          <w:color w:val="303ab2"/>
          <w:sz w:val="22"/>
          <w:szCs w:val="22"/>
        </w:rPr>
      </w:pPr>
      <w:r w:rsidDel="00000000" w:rsidR="00000000" w:rsidRPr="00000000">
        <w:rPr>
          <w:rFonts w:ascii="Open Sans Light" w:cs="Open Sans Light" w:eastAsia="Open Sans Light" w:hAnsi="Open Sans Light"/>
          <w:b w:val="1"/>
          <w:bCs w:val="1"/>
          <w:color w:val="303ab2"/>
          <w:sz w:val="22"/>
          <w:szCs w:val="22"/>
          <w:rtl w:val="0"/>
        </w:rPr>
        <w:t xml:space="preserve">Departamento Comunicación Fotocasa</w:t>
      </w:r>
    </w:p>
    <w:p w:rsidR="00000000" w:rsidDel="00000000" w:rsidP="00000000" w:rsidRDefault="00000000" w:rsidRPr="00000000" w14:paraId="0000006C">
      <w:pPr>
        <w:shd w:fill="ffffff" w:val="clear"/>
        <w:spacing w:line="276" w:lineRule="auto"/>
        <w:rPr>
          <w:rFonts w:ascii="Open Sans" w:cs="Open Sans" w:eastAsia="Open Sans" w:hAnsi="Open Sans"/>
          <w:b w:val="1"/>
          <w:bCs w:val="1"/>
          <w:color w:val="000000"/>
          <w:sz w:val="22"/>
          <w:szCs w:val="22"/>
        </w:rPr>
      </w:pPr>
      <w:r w:rsidDel="00000000" w:rsidR="00000000" w:rsidRPr="00000000">
        <w:rPr>
          <w:rFonts w:ascii="Open Sans" w:cs="Open Sans" w:eastAsia="Open Sans" w:hAnsi="Open Sans"/>
          <w:b w:val="1"/>
          <w:bCs w:val="1"/>
          <w:color w:val="000000"/>
          <w:sz w:val="22"/>
          <w:szCs w:val="22"/>
          <w:rtl w:val="0"/>
        </w:rPr>
        <w:t xml:space="preserve">Anaïs García</w:t>
      </w:r>
    </w:p>
    <w:p w:rsidR="00000000" w:rsidDel="00000000" w:rsidP="00000000" w:rsidRDefault="00000000" w:rsidRPr="00000000" w14:paraId="0000006D">
      <w:pPr>
        <w:shd w:fill="ffffff" w:val="clear"/>
        <w:spacing w:line="276" w:lineRule="auto"/>
        <w:rPr>
          <w:rFonts w:ascii="Open Sans" w:cs="Open Sans" w:eastAsia="Open Sans" w:hAnsi="Open Sans"/>
          <w:color w:val="0000ff"/>
          <w:sz w:val="22"/>
          <w:szCs w:val="22"/>
          <w:u w:val="single"/>
        </w:rPr>
      </w:pPr>
      <w:hyperlink r:id="rId21">
        <w:r w:rsidDel="00000000" w:rsidR="00000000" w:rsidRPr="00000000">
          <w:rPr>
            <w:rFonts w:ascii="Open Sans" w:cs="Open Sans" w:eastAsia="Open Sans" w:hAnsi="Open Sans"/>
            <w:color w:val="0000ff"/>
            <w:sz w:val="22"/>
            <w:szCs w:val="22"/>
            <w:u w:val="single"/>
            <w:rtl w:val="0"/>
          </w:rPr>
          <w:t xml:space="preserve">comunicacion@fotocasa.es</w:t>
        </w:r>
      </w:hyperlink>
      <w:r w:rsidDel="00000000" w:rsidR="00000000" w:rsidRPr="00000000">
        <w:rPr>
          <w:rtl w:val="0"/>
        </w:rPr>
      </w:r>
    </w:p>
    <w:p w:rsidR="00000000" w:rsidDel="00000000" w:rsidP="00000000" w:rsidRDefault="00000000" w:rsidRPr="00000000" w14:paraId="0000006E">
      <w:pPr>
        <w:shd w:fill="ffffff" w:val="clear"/>
        <w:spacing w:line="276" w:lineRule="auto"/>
        <w:rPr>
          <w:rFonts w:ascii="Open Sans" w:cs="Open Sans" w:eastAsia="Open Sans" w:hAnsi="Open Sans"/>
          <w:color w:val="000000"/>
          <w:sz w:val="22"/>
          <w:szCs w:val="22"/>
        </w:rPr>
      </w:pPr>
      <w:r w:rsidDel="00000000" w:rsidR="00000000" w:rsidRPr="00000000">
        <w:rPr>
          <w:rFonts w:ascii="Open Sans" w:cs="Open Sans" w:eastAsia="Open Sans" w:hAnsi="Open Sans"/>
          <w:color w:val="000000"/>
          <w:sz w:val="22"/>
          <w:szCs w:val="22"/>
          <w:rtl w:val="0"/>
        </w:rPr>
        <w:t xml:space="preserve">620 66 29 26</w:t>
      </w:r>
    </w:p>
    <w:sectPr>
      <w:footerReference r:id="rId22" w:type="default"/>
      <w:pgSz w:h="16840" w:w="11900" w:orient="portrait"/>
      <w:pgMar w:bottom="1417" w:top="1417" w:left="1701" w:right="112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ational"/>
  <w:font w:name="Noto Sans Symbols">
    <w:embedRegular w:fontKey="{00000000-0000-0000-0000-000000000000}" r:id="rId1" w:subsetted="0"/>
    <w:embedBold w:fontKey="{00000000-0000-0000-0000-000000000000}" r:id="rId2" w:subsetted="0"/>
  </w:font>
  <w:font w:name="Open Sans Light">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-1068043</wp:posOffset>
          </wp:positionH>
          <wp:positionV relativeFrom="paragraph">
            <wp:posOffset>174608</wp:posOffset>
          </wp:positionV>
          <wp:extent cx="7670550" cy="451315"/>
          <wp:effectExtent b="0" l="0" r="0" t="0"/>
          <wp:wrapNone/>
          <wp:docPr id="206681661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70550" cy="45131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table" w:styleId="TableNormalf4" w:customStyle="1">
    <w:name w:val="Table Normal"/>
    <w:tblPr>
      <w:tblCellMar>
        <w:top w:w="0.0" w:type="dxa"/>
        <w:left w:w="0.0" w:type="dxa"/>
        <w:bottom w:w="0.0" w:type="dxa"/>
        <w:right w:w="0.0" w:type="dxa"/>
      </w:tblCellMar>
    </w:tblPr>
  </w:style>
  <w:style w:type="table" w:styleId="TableNormalf5" w:customStyle="1">
    <w:name w:val="Table Normal"/>
    <w:tblPr>
      <w:tblCellMar>
        <w:top w:w="0.0" w:type="dxa"/>
        <w:left w:w="0.0" w:type="dxa"/>
        <w:bottom w:w="0.0" w:type="dxa"/>
        <w:right w:w="0.0" w:type="dxa"/>
      </w:tblCellMar>
    </w:tblPr>
  </w:style>
  <w:style w:type="table" w:styleId="a" w:customStyle="1">
    <w:basedOn w:val="TableNormalf5"/>
    <w:tblPr>
      <w:tblStyleRowBandSize w:val="1"/>
      <w:tblStyleColBandSize w:val="1"/>
      <w:tblCellMar>
        <w:left w:w="115.0" w:type="dxa"/>
        <w:right w:w="115.0" w:type="dxa"/>
      </w:tblCellMar>
    </w:tblPr>
    <w:tcPr>
      <w:shd w:color="auto" w:fill="ededed"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a5a5a5"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a5a5a5"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a5a5a5"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a5a5a5" w:val="clear"/>
      </w:tcPr>
    </w:tblStylePr>
    <w:tblStylePr w:type="band1Vert">
      <w:tblPr/>
      <w:tcPr>
        <w:shd w:color="auto" w:fill="dbdbdb" w:val="clear"/>
      </w:tcPr>
    </w:tblStylePr>
    <w:tblStylePr w:type="band1Horz">
      <w:tblPr/>
      <w:tcPr>
        <w:shd w:color="auto" w:fill="dbdbdb" w:val="clear"/>
      </w:tcPr>
    </w:tblStylePr>
  </w:style>
  <w:style w:type="table" w:styleId="a0" w:customStyle="1">
    <w:basedOn w:val="TableNormalf5"/>
    <w:tblPr>
      <w:tblStyleRowBandSize w:val="1"/>
      <w:tblStyleColBandSize w:val="1"/>
      <w:tblCellMar>
        <w:left w:w="115.0" w:type="dxa"/>
        <w:right w:w="115.0" w:type="dxa"/>
      </w:tblCellMar>
    </w:tblPr>
    <w:tcPr>
      <w:shd w:color="auto" w:fill="ededed" w:val="clear"/>
    </w:tcPr>
    <w:tblStylePr w:type="firstRow">
      <w:rPr>
        <w:b w:val="1"/>
        <w:color w:val="ffffff"/>
      </w:rPr>
      <w:tblPr/>
      <w:tcPr>
        <w:tcBorders>
          <w:top w:color="ffffff" w:space="0" w:sz="4" w:val="single"/>
          <w:left w:color="ffffff" w:space="0" w:sz="4" w:val="single"/>
          <w:right w:color="ffffff" w:space="0" w:sz="4" w:val="single"/>
          <w:insideH w:space="0" w:sz="0" w:val="nil"/>
          <w:insideV w:space="0" w:sz="0" w:val="nil"/>
        </w:tcBorders>
        <w:shd w:color="auto" w:fill="a5a5a5" w:val="clear"/>
      </w:tcPr>
    </w:tblStylePr>
    <w:tblStylePr w:type="lastRow">
      <w:rPr>
        <w:b w:val="1"/>
        <w:color w:val="ffffff"/>
      </w:rPr>
      <w:tblPr/>
      <w:tcPr>
        <w:tcBorders>
          <w:left w:color="ffffff" w:space="0" w:sz="4" w:val="single"/>
          <w:bottom w:color="ffffff" w:space="0" w:sz="4" w:val="single"/>
          <w:right w:color="ffffff" w:space="0" w:sz="4" w:val="single"/>
          <w:insideH w:space="0" w:sz="0" w:val="nil"/>
          <w:insideV w:space="0" w:sz="0" w:val="nil"/>
        </w:tcBorders>
        <w:shd w:color="auto" w:fill="a5a5a5" w:val="clear"/>
      </w:tcPr>
    </w:tblStylePr>
    <w:tblStylePr w:type="firstCol">
      <w:rPr>
        <w:b w:val="1"/>
        <w:color w:val="ffffff"/>
      </w:rPr>
      <w:tblPr/>
      <w:tcPr>
        <w:tcBorders>
          <w:top w:color="ffffff" w:space="0" w:sz="4" w:val="single"/>
          <w:left w:color="ffffff" w:space="0" w:sz="4" w:val="single"/>
          <w:bottom w:color="ffffff" w:space="0" w:sz="4" w:val="single"/>
          <w:insideV w:space="0" w:sz="0" w:val="nil"/>
        </w:tcBorders>
        <w:shd w:color="auto" w:fill="a5a5a5" w:val="clear"/>
      </w:tcPr>
    </w:tblStylePr>
    <w:tblStylePr w:type="lastCol">
      <w:rPr>
        <w:b w:val="1"/>
        <w:color w:val="ffffff"/>
      </w:rPr>
      <w:tblPr/>
      <w:tcPr>
        <w:tcBorders>
          <w:top w:color="ffffff" w:space="0" w:sz="4" w:val="single"/>
          <w:bottom w:color="ffffff" w:space="0" w:sz="4" w:val="single"/>
          <w:right w:color="ffffff" w:space="0" w:sz="4" w:val="single"/>
          <w:insideV w:space="0" w:sz="0" w:val="nil"/>
        </w:tcBorders>
        <w:shd w:color="auto" w:fill="a5a5a5" w:val="clear"/>
      </w:tcPr>
    </w:tblStylePr>
    <w:tblStylePr w:type="band1Vert">
      <w:tblPr/>
      <w:tcPr>
        <w:shd w:color="auto" w:fill="dbdbdb" w:val="clear"/>
      </w:tcPr>
    </w:tblStylePr>
    <w:tblStylePr w:type="band1Horz">
      <w:tblPr/>
      <w:tcPr>
        <w:shd w:color="auto" w:fill="dbdbdb" w:val="clear"/>
      </w:tcPr>
    </w:tblStylePr>
  </w:style>
  <w:style w:type="character" w:styleId="Hipervnculo">
    <w:name w:val="Hyperlink"/>
    <w:basedOn w:val="Fuentedeprrafopredeter"/>
    <w:uiPriority w:val="99"/>
    <w:unhideWhenUsed w:val="1"/>
    <w:rsid w:val="00FE7DB6"/>
    <w:rPr>
      <w:color w:val="0000ff" w:themeColor="hyperlink"/>
      <w:u w:val="single"/>
    </w:rPr>
  </w:style>
  <w:style w:type="character" w:styleId="Mencinsinresolver">
    <w:name w:val="Unresolved Mention"/>
    <w:basedOn w:val="Fuentedeprrafopredeter"/>
    <w:uiPriority w:val="99"/>
    <w:semiHidden w:val="1"/>
    <w:unhideWhenUsed w:val="1"/>
    <w:rsid w:val="00FE7DB6"/>
    <w:rPr>
      <w:color w:val="605e5c"/>
      <w:shd w:color="auto" w:fill="e1dfdd" w:val="clear"/>
    </w:rPr>
  </w:style>
  <w:style w:type="paragraph" w:styleId="NormalWeb">
    <w:name w:val="Normal (Web)"/>
    <w:basedOn w:val="Normal"/>
    <w:uiPriority w:val="99"/>
    <w:unhideWhenUsed w:val="1"/>
    <w:rsid w:val="003D48F5"/>
    <w:pPr>
      <w:spacing w:after="100" w:afterAutospacing="1" w:before="100" w:beforeAutospacing="1"/>
    </w:pPr>
    <w:rPr>
      <w:rFonts w:ascii="Times New Roman" w:cs="Times New Roman" w:eastAsia="Times New Roman" w:hAnsi="Times New Roman"/>
      <w:lang w:val="es-ES"/>
    </w:rPr>
  </w:style>
  <w:style w:type="paragraph" w:styleId="Textocomentario">
    <w:name w:val="annotation text"/>
    <w:basedOn w:val="Normal"/>
    <w:link w:val="TextocomentarioCar"/>
    <w:uiPriority w:val="99"/>
    <w:unhideWhenUsed w:val="1"/>
    <w:rPr>
      <w:sz w:val="20"/>
      <w:szCs w:val="20"/>
    </w:rPr>
  </w:style>
  <w:style w:type="character" w:styleId="TextocomentarioCar" w:customStyle="1">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val="1"/>
    <w:unhideWhenUsed w:val="1"/>
    <w:rPr>
      <w:sz w:val="16"/>
      <w:szCs w:val="16"/>
    </w:rPr>
  </w:style>
  <w:style w:type="character" w:styleId="normaltextrun" w:customStyle="1">
    <w:name w:val="normaltextrun"/>
    <w:basedOn w:val="Fuentedeprrafopredeter"/>
    <w:rsid w:val="00A35D58"/>
  </w:style>
  <w:style w:type="table" w:styleId="Tablaconcuadrcula">
    <w:name w:val="Table Grid"/>
    <w:basedOn w:val="Tablanormal"/>
    <w:uiPriority w:val="39"/>
    <w:rsid w:val="00A35D58"/>
    <w:rPr>
      <w:rFonts w:asciiTheme="minorHAnsi" w:cstheme="minorBidi" w:eastAsiaTheme="minorHAnsi" w:hAnsiTheme="minorHAnsi"/>
      <w:kern w:val="2"/>
      <w:sz w:val="22"/>
      <w:szCs w:val="22"/>
      <w:lang w:eastAsia="en-U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1" w:customStyle="1">
    <w:basedOn w:val="TableNormalf2"/>
    <w:rPr>
      <w:rFonts w:ascii="Cambria" w:cs="Cambria" w:eastAsia="Cambria" w:hAnsi="Cambria"/>
      <w:sz w:val="22"/>
      <w:szCs w:val="22"/>
    </w:rPr>
    <w:tblPr>
      <w:tblStyleRowBandSize w:val="1"/>
      <w:tblStyleColBandSize w:val="1"/>
      <w:tblCellMar>
        <w:left w:w="108.0" w:type="dxa"/>
        <w:right w:w="108.0" w:type="dxa"/>
      </w:tblCellMar>
    </w:tblPr>
  </w:style>
  <w:style w:type="table" w:styleId="a2" w:customStyle="1">
    <w:basedOn w:val="TableNormalf2"/>
    <w:rPr>
      <w:rFonts w:ascii="Cambria" w:cs="Cambria" w:eastAsia="Cambria" w:hAnsi="Cambria"/>
      <w:sz w:val="22"/>
      <w:szCs w:val="22"/>
    </w:rPr>
    <w:tblPr>
      <w:tblStyleRowBandSize w:val="1"/>
      <w:tblStyleColBandSize w:val="1"/>
      <w:tblCellMar>
        <w:left w:w="108.0" w:type="dxa"/>
        <w:right w:w="108.0" w:type="dxa"/>
      </w:tblCellMar>
    </w:tblPr>
  </w:style>
  <w:style w:type="paragraph" w:styleId="Asuntodelcomentario">
    <w:name w:val="annotation subject"/>
    <w:basedOn w:val="Textocomentario"/>
    <w:next w:val="Textocomentario"/>
    <w:link w:val="AsuntodelcomentarioCar"/>
    <w:uiPriority w:val="99"/>
    <w:semiHidden w:val="1"/>
    <w:unhideWhenUsed w:val="1"/>
    <w:rsid w:val="00534008"/>
    <w:rPr>
      <w:b w:val="1"/>
      <w:bCs w:val="1"/>
    </w:rPr>
  </w:style>
  <w:style w:type="character" w:styleId="AsuntodelcomentarioCar" w:customStyle="1">
    <w:name w:val="Asunto del comentario Car"/>
    <w:basedOn w:val="TextocomentarioCar"/>
    <w:link w:val="Asuntodelcomentario"/>
    <w:uiPriority w:val="99"/>
    <w:semiHidden w:val="1"/>
    <w:rsid w:val="00534008"/>
    <w:rPr>
      <w:b w:val="1"/>
      <w:bCs w:val="1"/>
      <w:sz w:val="20"/>
      <w:szCs w:val="20"/>
    </w:rPr>
  </w:style>
  <w:style w:type="paragraph" w:styleId="Prrafodelista">
    <w:name w:val="List Paragraph"/>
    <w:basedOn w:val="Normal"/>
    <w:uiPriority w:val="34"/>
    <w:qFormat w:val="1"/>
    <w:rsid w:val="004C3974"/>
    <w:pPr>
      <w:ind w:left="720"/>
      <w:contextualSpacing w:val="1"/>
    </w:pPr>
  </w:style>
  <w:style w:type="character" w:styleId="Referenciaintensa">
    <w:name w:val="Intense Reference"/>
    <w:basedOn w:val="Fuentedeprrafopredeter"/>
    <w:uiPriority w:val="32"/>
    <w:qFormat w:val="1"/>
    <w:rsid w:val="00A775CB"/>
    <w:rPr>
      <w:b w:val="1"/>
      <w:bCs w:val="1"/>
      <w:smallCaps w:val="1"/>
      <w:color w:val="365f91" w:themeColor="accent1" w:themeShade="0000BF"/>
      <w:spacing w:val="5"/>
    </w:rPr>
  </w:style>
  <w:style w:type="table" w:styleId="a3" w:customStyle="1">
    <w:basedOn w:val="TableNormal7"/>
    <w:tblPr>
      <w:tblStyleRowBandSize w:val="1"/>
      <w:tblStyleColBandSize w:val="1"/>
      <w:tblCellMar>
        <w:left w:w="108.0" w:type="dxa"/>
        <w:right w:w="108.0" w:type="dxa"/>
      </w:tblCellMar>
    </w:tblPr>
    <w:tblStylePr w:type="firstRow">
      <w:rPr>
        <w:b w:val="1"/>
        <w:color w:val="ffffff"/>
      </w:rPr>
      <w:tblPr/>
      <w:tcPr>
        <w:tcBorders>
          <w:top w:color="39d9cd" w:space="0" w:sz="4" w:val="single"/>
          <w:left w:color="39d9cd" w:space="0" w:sz="4" w:val="single"/>
          <w:bottom w:color="39d9cd" w:space="0" w:sz="4" w:val="single"/>
          <w:right w:color="39d9cd" w:space="0" w:sz="4" w:val="single"/>
          <w:insideH w:space="0" w:sz="0" w:val="nil"/>
          <w:insideV w:space="0" w:sz="0" w:val="nil"/>
        </w:tcBorders>
        <w:shd w:color="auto" w:fill="39d9cd" w:val="clear"/>
      </w:tcPr>
    </w:tblStylePr>
    <w:tblStylePr w:type="lastRow">
      <w:rPr>
        <w:b w:val="1"/>
      </w:rPr>
      <w:tblPr/>
      <w:tcPr>
        <w:tcBorders>
          <w:top w:color="39d9cd" w:space="0" w:sz="4" w:val="single"/>
        </w:tcBorders>
      </w:tcPr>
    </w:tblStylePr>
    <w:tblStylePr w:type="firstCol">
      <w:rPr>
        <w:b w:val="1"/>
      </w:rPr>
    </w:tblStylePr>
    <w:tblStylePr w:type="lastCol">
      <w:rPr>
        <w:b w:val="1"/>
      </w:rPr>
    </w:tblStylePr>
    <w:tblStylePr w:type="band1Vert">
      <w:tblPr/>
      <w:tcPr>
        <w:shd w:color="auto" w:fill="d7f7f4" w:val="clear"/>
      </w:tcPr>
    </w:tblStylePr>
    <w:tblStylePr w:type="band1Horz">
      <w:tblPr/>
      <w:tcPr>
        <w:shd w:color="auto" w:fill="d7f7f4" w:val="clear"/>
      </w:tcPr>
    </w:tblStylePr>
  </w:style>
  <w:style w:type="character" w:styleId="Hipervnculovisitado">
    <w:name w:val="FollowedHyperlink"/>
    <w:basedOn w:val="Fuentedeprrafopredeter"/>
    <w:uiPriority w:val="99"/>
    <w:semiHidden w:val="1"/>
    <w:unhideWhenUsed w:val="1"/>
    <w:rsid w:val="009B09EE"/>
    <w:rPr>
      <w:color w:val="800080" w:themeColor="followedHyperlink"/>
      <w:u w:val="single"/>
    </w:rPr>
  </w:style>
  <w:style w:type="table" w:styleId="Tablaconcuadrcula5oscura-nfasis1">
    <w:name w:val="Grid Table 5 Dark Accent 1"/>
    <w:basedOn w:val="Tablanormal"/>
    <w:uiPriority w:val="50"/>
    <w:rsid w:val="00B7768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Tablaconcuadrcula5oscura-nfasis5">
    <w:name w:val="Grid Table 5 Dark Accent 5"/>
    <w:basedOn w:val="Tablanormal"/>
    <w:uiPriority w:val="50"/>
    <w:rsid w:val="002827A1"/>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tcPr>
      <w:shd w:fill="dbe5f1" w:val="clear"/>
    </w:tcPr>
    <w:tblStylePr w:type="band1Horz">
      <w:tcPr>
        <w:shd w:fill="b8cce4" w:val="clear"/>
      </w:tcPr>
    </w:tblStylePr>
    <w:tblStylePr w:type="band1Vert">
      <w:tcPr>
        <w:shd w:fill="b8cce4" w:val="clear"/>
      </w:tcPr>
    </w:tblStylePr>
    <w:tblStylePr w:type="firstCol">
      <w:rPr>
        <w:b w:val="1"/>
        <w:bCs w:val="1"/>
        <w:color w:val="ffffff"/>
      </w:rPr>
      <w:tcPr>
        <w:tcBorders>
          <w:top w:color="ffffff" w:space="0" w:sz="4" w:val="single"/>
          <w:left w:color="ffffff" w:space="0" w:sz="4" w:val="single"/>
          <w:bottom w:color="ffffff" w:space="0" w:sz="4" w:val="single"/>
          <w:insideV w:color="000000" w:space="0" w:sz="0" w:val="nil"/>
        </w:tcBorders>
        <w:shd w:fill="4f81bd" w:val="clear"/>
      </w:tcPr>
    </w:tblStylePr>
    <w:tblStylePr w:type="firstRow">
      <w:rPr>
        <w:b w:val="1"/>
        <w:bCs w:val="1"/>
        <w:color w:val="ffffff"/>
      </w:rPr>
      <w:tcPr>
        <w:tcBorders>
          <w:top w:color="ffffff" w:space="0" w:sz="4" w:val="single"/>
          <w:left w:color="ffffff" w:space="0" w:sz="4" w:val="single"/>
          <w:right w:color="ffffff" w:space="0" w:sz="4" w:val="single"/>
          <w:insideH w:color="000000" w:space="0" w:sz="0" w:val="nil"/>
          <w:insideV w:color="000000" w:space="0" w:sz="0" w:val="nil"/>
        </w:tcBorders>
        <w:shd w:fill="4f81bd" w:val="clear"/>
      </w:tcPr>
    </w:tblStylePr>
    <w:tblStylePr w:type="lastCol">
      <w:rPr>
        <w:b w:val="1"/>
        <w:bCs w:val="1"/>
        <w:color w:val="ffffff"/>
      </w:rPr>
      <w:tcPr>
        <w:tcBorders>
          <w:top w:color="ffffff" w:space="0" w:sz="4" w:val="single"/>
          <w:bottom w:color="ffffff" w:space="0" w:sz="4" w:val="single"/>
          <w:right w:color="ffffff" w:space="0" w:sz="4" w:val="single"/>
          <w:insideV w:color="000000" w:space="0" w:sz="0" w:val="nil"/>
        </w:tcBorders>
        <w:shd w:fill="4f81bd" w:val="clear"/>
      </w:tcPr>
    </w:tblStylePr>
    <w:tblStylePr w:type="lastRow">
      <w:rPr>
        <w:b w:val="1"/>
        <w:bCs w:val="1"/>
        <w:color w:val="ffffff"/>
      </w:rPr>
      <w:tcPr>
        <w:tcBorders>
          <w:left w:color="ffffff" w:space="0" w:sz="4" w:val="single"/>
          <w:bottom w:color="ffffff" w:space="0" w:sz="4" w:val="single"/>
          <w:right w:color="ffffff" w:space="0" w:sz="4" w:val="single"/>
          <w:insideH w:color="000000" w:space="0" w:sz="0" w:val="nil"/>
          <w:insideV w:color="000000" w:space="0" w:sz="0" w:val="nil"/>
        </w:tcBorders>
        <w:shd w:fill="4f81bd" w:val="clear"/>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www.inmoweb.es/" TargetMode="External"/><Relationship Id="rId11" Type="http://schemas.openxmlformats.org/officeDocument/2006/relationships/image" Target="media/image3.png"/><Relationship Id="rId22" Type="http://schemas.openxmlformats.org/officeDocument/2006/relationships/footer" Target="footer1.xml"/><Relationship Id="rId10" Type="http://schemas.openxmlformats.org/officeDocument/2006/relationships/hyperlink" Target="https://www.fotocasa.es" TargetMode="External"/><Relationship Id="rId21" Type="http://schemas.openxmlformats.org/officeDocument/2006/relationships/hyperlink" Target="mailto:comunicacion@fotocasa.es" TargetMode="External"/><Relationship Id="rId13" Type="http://schemas.openxmlformats.org/officeDocument/2006/relationships/hyperlink" Target="https://www.research.fotocasa.es" TargetMode="External"/><Relationship Id="rId12" Type="http://schemas.openxmlformats.org/officeDocument/2006/relationships/hyperlink" Target="https://www.fotocasa.es/indi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otocasa.es/" TargetMode="External"/><Relationship Id="rId15" Type="http://schemas.openxmlformats.org/officeDocument/2006/relationships/hyperlink" Target="https://www.fotocasa.es" TargetMode="External"/><Relationship Id="rId14" Type="http://schemas.openxmlformats.org/officeDocument/2006/relationships/hyperlink" Target="http://prensa.fotocasa.es" TargetMode="External"/><Relationship Id="rId17" Type="http://schemas.openxmlformats.org/officeDocument/2006/relationships/hyperlink" Target="https://profesionales.fotocasa.es/" TargetMode="External"/><Relationship Id="rId16" Type="http://schemas.openxmlformats.org/officeDocument/2006/relationships/hyperlink" Target="https://www.habitaclia.com/" TargetMode="External"/><Relationship Id="rId5" Type="http://schemas.openxmlformats.org/officeDocument/2006/relationships/styles" Target="styles.xml"/><Relationship Id="rId19" Type="http://schemas.openxmlformats.org/officeDocument/2006/relationships/hyperlink" Target="https://get.witei.com/en/" TargetMode="External"/><Relationship Id="rId6" Type="http://schemas.openxmlformats.org/officeDocument/2006/relationships/customXml" Target="../customXML/item1.xml"/><Relationship Id="rId18" Type="http://schemas.openxmlformats.org/officeDocument/2006/relationships/hyperlink" Target="https://datavenues.com/" TargetMode="External"/><Relationship Id="rId7" Type="http://schemas.openxmlformats.org/officeDocument/2006/relationships/image" Target="media/image2.png"/><Relationship Id="rId8" Type="http://schemas.openxmlformats.org/officeDocument/2006/relationships/hyperlink" Target="https://s36360.pcdn.co/wp-content/uploads/2026/01/Informe-la-vivienda-en-venta-en-2025.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Light-regular.ttf"/><Relationship Id="rId4" Type="http://schemas.openxmlformats.org/officeDocument/2006/relationships/font" Target="fonts/OpenSansLight-bold.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OpenSansLight-italic.ttf"/><Relationship Id="rId6" Type="http://schemas.openxmlformats.org/officeDocument/2006/relationships/font" Target="fonts/OpenSansLight-boldItalic.ttf"/><Relationship Id="rId7" Type="http://schemas.openxmlformats.org/officeDocument/2006/relationships/font" Target="fonts/OpenSans-regular.ttf"/><Relationship Id="rId8" Type="http://schemas.openxmlformats.org/officeDocument/2006/relationships/font" Target="fonts/OpenSan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JOccsm6x/Tror6jwBlE5HFShGA==">CgMxLjA4AHIhMWN4a1BXdUJ0TVFUTG5PdE1uUDRrRXFXbjRiQWUxV1hE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2024-02-06T13:46:00Z</dcterms:created>
</cp:coreProperties>
</file>