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274FD" w14:textId="77777777" w:rsidR="00D9043C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3D7DC0A" wp14:editId="5B211D9C">
            <wp:simplePos x="0" y="0"/>
            <wp:positionH relativeFrom="column">
              <wp:posOffset>-1080115</wp:posOffset>
            </wp:positionH>
            <wp:positionV relativeFrom="paragraph">
              <wp:posOffset>-654664</wp:posOffset>
            </wp:positionV>
            <wp:extent cx="7581265" cy="1019175"/>
            <wp:effectExtent l="0" t="0" r="0" b="0"/>
            <wp:wrapNone/>
            <wp:docPr id="20668166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CEEB46" w14:textId="77777777" w:rsidR="00D9043C" w:rsidRDefault="00D9043C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27249C58" w14:textId="77777777" w:rsidR="00D9043C" w:rsidRDefault="00D9043C">
      <w:pPr>
        <w:jc w:val="center"/>
        <w:rPr>
          <w:rFonts w:ascii="National" w:eastAsia="National" w:hAnsi="National" w:cs="National"/>
          <w:b/>
          <w:bCs/>
          <w:color w:val="1DBDC5"/>
          <w:sz w:val="34"/>
          <w:szCs w:val="34"/>
        </w:rPr>
      </w:pPr>
    </w:p>
    <w:p w14:paraId="428EB37C" w14:textId="77777777" w:rsidR="00D9043C" w:rsidRDefault="00000000">
      <w:pPr>
        <w:jc w:val="center"/>
        <w:rPr>
          <w:rFonts w:ascii="National" w:eastAsia="National" w:hAnsi="National" w:cs="National"/>
          <w:b/>
          <w:bCs/>
          <w:color w:val="1DBDC5"/>
          <w:sz w:val="40"/>
          <w:szCs w:val="40"/>
        </w:rPr>
      </w:pPr>
      <w:r>
        <w:rPr>
          <w:rFonts w:ascii="National" w:eastAsia="National" w:hAnsi="National" w:cs="National"/>
          <w:b/>
          <w:bCs/>
          <w:color w:val="1DBDC5"/>
          <w:sz w:val="40"/>
          <w:szCs w:val="40"/>
        </w:rPr>
        <w:t>DIFICULTADES PAGO VIVIENDA HIPOTECADA</w:t>
      </w:r>
    </w:p>
    <w:p w14:paraId="77887BE1" w14:textId="77777777" w:rsidR="00D9043C" w:rsidRDefault="00000000">
      <w:pPr>
        <w:jc w:val="center"/>
        <w:rPr>
          <w:rFonts w:ascii="National" w:eastAsia="National" w:hAnsi="National" w:cs="National"/>
          <w:b/>
          <w:bCs/>
          <w:color w:val="303AB2"/>
          <w:sz w:val="50"/>
          <w:szCs w:val="50"/>
        </w:rPr>
      </w:pPr>
      <w:r>
        <w:rPr>
          <w:rFonts w:ascii="National" w:eastAsia="National" w:hAnsi="National" w:cs="National"/>
          <w:b/>
          <w:bCs/>
          <w:color w:val="303AB2"/>
          <w:sz w:val="50"/>
          <w:szCs w:val="50"/>
        </w:rPr>
        <w:t>Descienden hasta el 36% los hipotecados con problemas para afrontar la cuota mensual</w:t>
      </w:r>
    </w:p>
    <w:p w14:paraId="4A054CCA" w14:textId="77777777" w:rsidR="00D9043C" w:rsidRDefault="00D9043C">
      <w:pPr>
        <w:rPr>
          <w:rFonts w:ascii="Open Sans" w:eastAsia="Open Sans" w:hAnsi="Open Sans" w:cs="Open Sans"/>
          <w:color w:val="303AB2"/>
        </w:rPr>
      </w:pPr>
    </w:p>
    <w:p w14:paraId="485FCA82" w14:textId="77777777" w:rsidR="00D904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Hace un año el 40% de los hipotecados decían tener problemas para pagar la hipoteca y ahora han bajado hasta el 36% </w:t>
      </w:r>
    </w:p>
    <w:p w14:paraId="1DE8B100" w14:textId="77777777" w:rsidR="00D904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La mitad de los hipotecados paga entre el 20% y el 40% de sus ingresos</w:t>
      </w:r>
    </w:p>
    <w:p w14:paraId="02DB0354" w14:textId="77777777" w:rsidR="00D904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El 66% de los hipotecados reconoce que ha tenido que recortar gastos</w:t>
      </w:r>
    </w:p>
    <w:p w14:paraId="271B5514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5E9BB682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Madrid, 12 de enero de 2026</w:t>
      </w:r>
    </w:p>
    <w:p w14:paraId="16B58CB2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4DE3389E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En un año, los hipotecados que tienen problemas para pagar la cuota mensual ha descendido cuatro puntos porcentuales desde el 40% que tenían problemas en 2024 hasta el 36% en 2025. Así, de este colectivo, quienes se topan con mucha dificultad al satisfacer sus obligaciones crediticias ascienden al 8%, mientras que los que se topan con bastante dificultad son el 28% de los hipotecados. Así se desprende del análisis </w:t>
      </w:r>
      <w:r>
        <w:rPr>
          <w:rFonts w:ascii="Open Sans" w:eastAsia="Open Sans" w:hAnsi="Open Sans" w:cs="Open Sans"/>
          <w:b/>
          <w:bCs/>
          <w:i/>
          <w:iCs/>
        </w:rPr>
        <w:t>“¿Cómo afronta el pago de la vivienda los españoles?</w:t>
      </w:r>
      <w:r>
        <w:rPr>
          <w:rFonts w:ascii="Open Sans" w:eastAsia="Open Sans" w:hAnsi="Open Sans" w:cs="Open Sans"/>
        </w:rPr>
        <w:t xml:space="preserve">” realizado por </w:t>
      </w:r>
      <w:hyperlink r:id="rId9">
        <w:r>
          <w:rPr>
            <w:rFonts w:ascii="Open Sans" w:eastAsia="Open Sans" w:hAnsi="Open Sans" w:cs="Open Sans"/>
            <w:color w:val="0000FF"/>
            <w:u w:val="single"/>
          </w:rPr>
          <w:t>Fotocasa Research</w:t>
        </w:r>
      </w:hyperlink>
      <w:r>
        <w:rPr>
          <w:rFonts w:ascii="Open Sans" w:eastAsia="Open Sans" w:hAnsi="Open Sans" w:cs="Open Sans"/>
        </w:rPr>
        <w:t>.</w:t>
      </w:r>
    </w:p>
    <w:p w14:paraId="20FFE8D5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1493E848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Por su parte, </w:t>
      </w:r>
      <w:r>
        <w:rPr>
          <w:rFonts w:ascii="Open Sans" w:eastAsia="Open Sans" w:hAnsi="Open Sans" w:cs="Open Sans"/>
          <w:b/>
          <w:bCs/>
        </w:rPr>
        <w:t>los que resuelven el pago de la hipoteca con poca dificultad constituyen el 46%</w:t>
      </w:r>
      <w:r>
        <w:rPr>
          <w:rFonts w:ascii="Open Sans" w:eastAsia="Open Sans" w:hAnsi="Open Sans" w:cs="Open Sans"/>
        </w:rPr>
        <w:t xml:space="preserve">. Finalmente, </w:t>
      </w:r>
      <w:r>
        <w:rPr>
          <w:rFonts w:ascii="Open Sans" w:eastAsia="Open Sans" w:hAnsi="Open Sans" w:cs="Open Sans"/>
          <w:b/>
          <w:bCs/>
        </w:rPr>
        <w:t>un 18% afirman que no sufren ningún problema para efectuar el pago hipotecario</w:t>
      </w:r>
      <w:r>
        <w:rPr>
          <w:rFonts w:ascii="Open Sans" w:eastAsia="Open Sans" w:hAnsi="Open Sans" w:cs="Open Sans"/>
        </w:rPr>
        <w:t>. Estos datos dibujan un panorama más cómodo para los hipotecados que el que había hace un año, cuando los que reconocían problemas a la hora de superar su obligación mensual ascendían hasta el 40%, de los cuales el 32% declaraba hacerlo con ‘bastante’ dificultad.</w:t>
      </w:r>
    </w:p>
    <w:p w14:paraId="0942CEC7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630359BE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“Cuando se cumple un año de la rebaja de los tipos de interés, se percibe menos presión financiera de las familias. Que las dificultades hayan disminuido es una señal positiva y demuestra que algunos hipotecados empiezan a notar un respiro en su carga financiera. Aun así, el día a día de estos ciudadanos sigue marcado por renuncias y muchos continúan ajustando su presupuesto y recortando en viajes, </w:t>
      </w:r>
      <w:r>
        <w:rPr>
          <w:rFonts w:ascii="Open Sans" w:eastAsia="Open Sans" w:hAnsi="Open Sans" w:cs="Open Sans"/>
        </w:rPr>
        <w:lastRenderedPageBreak/>
        <w:t xml:space="preserve">ocio o compras personales para poder mantener al día el pago de su vivienda. Por lo tanto, la mejora es real, pero el esfuerzo sigue siendo grande y la vivienda continúa obligando a renunciar a aspectos importantes del bienestar cotidiano”, </w:t>
      </w:r>
      <w:r>
        <w:rPr>
          <w:rFonts w:ascii="Open Sans" w:eastAsia="Open Sans" w:hAnsi="Open Sans" w:cs="Open Sans"/>
          <w:b/>
          <w:bCs/>
        </w:rPr>
        <w:t xml:space="preserve">comenta María Matos, directora de Estudios y portavoz de </w:t>
      </w:r>
      <w:hyperlink r:id="rId10">
        <w:r>
          <w:rPr>
            <w:rFonts w:ascii="Open Sans" w:eastAsia="Open Sans" w:hAnsi="Open Sans" w:cs="Open Sans"/>
            <w:b/>
            <w:bCs/>
            <w:color w:val="1155CC"/>
            <w:u w:val="single"/>
          </w:rPr>
          <w:t>Fotocasa</w:t>
        </w:r>
      </w:hyperlink>
      <w:r>
        <w:rPr>
          <w:rFonts w:ascii="Open Sans" w:eastAsia="Open Sans" w:hAnsi="Open Sans" w:cs="Open Sans"/>
          <w:b/>
          <w:bCs/>
        </w:rPr>
        <w:t>.</w:t>
      </w:r>
      <w:r>
        <w:rPr>
          <w:rFonts w:ascii="Open Sans" w:eastAsia="Open Sans" w:hAnsi="Open Sans" w:cs="Open Sans"/>
        </w:rPr>
        <w:t xml:space="preserve"> </w:t>
      </w:r>
    </w:p>
    <w:p w14:paraId="1296C9BC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DC5E081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Dificultad en el pago de las cuotas mensuales de la hipoteca</w:t>
      </w:r>
    </w:p>
    <w:p w14:paraId="6B4278F9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noProof/>
          <w:color w:val="303AB2"/>
        </w:rPr>
        <w:drawing>
          <wp:inline distT="0" distB="0" distL="0" distR="0" wp14:anchorId="2079C96F" wp14:editId="7B31600B">
            <wp:extent cx="5730737" cy="2941575"/>
            <wp:effectExtent l="0" t="0" r="0" b="0"/>
            <wp:docPr id="2066816628" name="image3.png" descr="Gráfico, Gráfico de barras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áfico, Gráfico de barras&#10;&#10;El contenido generado por IA puede ser incorrecto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294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27C690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40F987E9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6"/>
          <w:szCs w:val="26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6"/>
          <w:szCs w:val="26"/>
        </w:rPr>
        <w:t>La mitad de los hipotecados paga entre el 20% y el 40% de sus ingresos</w:t>
      </w:r>
    </w:p>
    <w:p w14:paraId="3FDFCA64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7642284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Casi la mitad de los hipotecados </w:t>
      </w:r>
      <w:r>
        <w:rPr>
          <w:rFonts w:ascii="Open Sans" w:eastAsia="Open Sans" w:hAnsi="Open Sans" w:cs="Open Sans"/>
          <w:b/>
          <w:bCs/>
        </w:rPr>
        <w:t>dedican entre un 20% y un 40% de sus ingresos al pago de la cuota mensual</w:t>
      </w:r>
      <w:r>
        <w:rPr>
          <w:rFonts w:ascii="Open Sans" w:eastAsia="Open Sans" w:hAnsi="Open Sans" w:cs="Open Sans"/>
        </w:rPr>
        <w:t xml:space="preserve">. De manera desglosada, el 27% (dos puntos porcentuales más que en 2024) destina entre el 20% y el 30% de sus ingresos a la cuota, mientras que el 20% (18% doce meses antes) aparta para sus pagos entre el 30% y el 40% de sus ingresos. </w:t>
      </w:r>
    </w:p>
    <w:p w14:paraId="278CE0AC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6293DB3B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También son numerosos (21%, igual que el año anterior) </w:t>
      </w:r>
      <w:r>
        <w:rPr>
          <w:rFonts w:ascii="Open Sans" w:eastAsia="Open Sans" w:hAnsi="Open Sans" w:cs="Open Sans"/>
          <w:b/>
          <w:bCs/>
        </w:rPr>
        <w:t>los que tan solo deben reservar entre el 10% y el 20% de sus ingresos de cada mes a este cometido</w:t>
      </w:r>
      <w:r>
        <w:rPr>
          <w:rFonts w:ascii="Open Sans" w:eastAsia="Open Sans" w:hAnsi="Open Sans" w:cs="Open Sans"/>
        </w:rPr>
        <w:t xml:space="preserve">. Frente a estos, hay otro 16% que debe destinar reservar más del 40% de sus ingresos para pagar la cuota. </w:t>
      </w:r>
    </w:p>
    <w:p w14:paraId="5D4E61D7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230C552A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Si se analiza esta cuestión en función de la edad de los hipotecados, se observa </w:t>
      </w:r>
      <w:r>
        <w:rPr>
          <w:rFonts w:ascii="Open Sans" w:eastAsia="Open Sans" w:hAnsi="Open Sans" w:cs="Open Sans"/>
          <w:b/>
          <w:bCs/>
        </w:rPr>
        <w:t>que el 10% de los más jóvenes (18 a 24 años) deben destinar entre el 50% y el 60% de sus ingresos para afrontar el pago de su cuota mensual</w:t>
      </w:r>
      <w:r>
        <w:rPr>
          <w:rFonts w:ascii="Open Sans" w:eastAsia="Open Sans" w:hAnsi="Open Sans" w:cs="Open Sans"/>
        </w:rPr>
        <w:t>. Es el mismo porcentaje que el año anterior.</w:t>
      </w:r>
    </w:p>
    <w:p w14:paraId="2B2C00DA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lastRenderedPageBreak/>
        <w:t>Porcentaje de ingresos que se destinan al pago de la hipoteca</w:t>
      </w:r>
    </w:p>
    <w:p w14:paraId="522987CE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1E4BD729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0" distB="0" distL="0" distR="0" wp14:anchorId="303E7318" wp14:editId="66D2252D">
            <wp:extent cx="5760720" cy="3498850"/>
            <wp:effectExtent l="0" t="0" r="0" b="0"/>
            <wp:docPr id="2066816627" name="image1.png" descr="Gráfico, Gráfico de barras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áfico, Gráfico de barras&#10;&#10;El contenido generado por IA puede ser incorrecto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89F3E5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6D5E7447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6"/>
          <w:szCs w:val="26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6"/>
          <w:szCs w:val="26"/>
        </w:rPr>
        <w:t>El 66% de los hipotecados reconoce que ha tenido que recortar gastos</w:t>
      </w:r>
    </w:p>
    <w:p w14:paraId="5B9FAAB2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176465E1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Según el análisis de </w:t>
      </w:r>
      <w:hyperlink r:id="rId13">
        <w:r>
          <w:rPr>
            <w:rFonts w:ascii="Open Sans" w:eastAsia="Open Sans" w:hAnsi="Open Sans" w:cs="Open Sans"/>
            <w:color w:val="0000FF"/>
            <w:u w:val="single"/>
          </w:rPr>
          <w:t>Fotocasa Research</w:t>
        </w:r>
      </w:hyperlink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b/>
          <w:bCs/>
        </w:rPr>
        <w:t>un 66% de los hipotecados reconoce que han tenido que recortar gastos para hacer frente a las cuotas</w:t>
      </w:r>
      <w:r>
        <w:rPr>
          <w:rFonts w:ascii="Open Sans" w:eastAsia="Open Sans" w:hAnsi="Open Sans" w:cs="Open Sans"/>
        </w:rPr>
        <w:t xml:space="preserve">. </w:t>
      </w:r>
    </w:p>
    <w:p w14:paraId="01A51BD8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629DC4D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</w:rPr>
        <w:t xml:space="preserve">El primer capítulo del que se retrae presupuesto es el destinado a vacaciones y tiempo libre (viajes, escapadas, etcétera). </w:t>
      </w:r>
      <w:r>
        <w:rPr>
          <w:rFonts w:ascii="Open Sans" w:eastAsia="Open Sans" w:hAnsi="Open Sans" w:cs="Open Sans"/>
          <w:b/>
          <w:bCs/>
        </w:rPr>
        <w:t>Esto es así en el 45% en el de los hipotecados.</w:t>
      </w:r>
    </w:p>
    <w:p w14:paraId="7EF53D9A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21493B20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La siguiente partida más afectada es </w:t>
      </w:r>
      <w:r>
        <w:rPr>
          <w:rFonts w:ascii="Open Sans" w:eastAsia="Open Sans" w:hAnsi="Open Sans" w:cs="Open Sans"/>
          <w:b/>
          <w:bCs/>
        </w:rPr>
        <w:t>la del ocio cotidiano fuera del hogar</w:t>
      </w:r>
      <w:r>
        <w:rPr>
          <w:rFonts w:ascii="Open Sans" w:eastAsia="Open Sans" w:hAnsi="Open Sans" w:cs="Open Sans"/>
        </w:rPr>
        <w:t xml:space="preserve"> (cañas, cines, restaurantes…). Esta renuncia alcanza al 40% de los que se encuentran sujetos a un contrato hipotecario. De nuevo ambos valores son superiores a los del año anterior, cuando era el 36%.</w:t>
      </w:r>
    </w:p>
    <w:p w14:paraId="116E0FF9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466772A9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Les siguen en esta lista de descartes </w:t>
      </w:r>
      <w:r>
        <w:rPr>
          <w:rFonts w:ascii="Open Sans" w:eastAsia="Open Sans" w:hAnsi="Open Sans" w:cs="Open Sans"/>
          <w:b/>
          <w:bCs/>
        </w:rPr>
        <w:t>las compras personales (ropa, complementos, perfumería, cosmética…)</w:t>
      </w:r>
      <w:r>
        <w:rPr>
          <w:rFonts w:ascii="Open Sans" w:eastAsia="Open Sans" w:hAnsi="Open Sans" w:cs="Open Sans"/>
        </w:rPr>
        <w:t>, que se reducen en un 37% de los hipotecados (33% doce meses antes).</w:t>
      </w:r>
    </w:p>
    <w:p w14:paraId="09A6A7DF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982CDC2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Pero aún más significativos y preocupantes son </w:t>
      </w:r>
      <w:r>
        <w:rPr>
          <w:rFonts w:ascii="Open Sans" w:eastAsia="Open Sans" w:hAnsi="Open Sans" w:cs="Open Sans"/>
          <w:b/>
          <w:bCs/>
        </w:rPr>
        <w:t>los recortes que deben realizarse en la compra de alimentos</w:t>
      </w:r>
      <w:r>
        <w:rPr>
          <w:rFonts w:ascii="Open Sans" w:eastAsia="Open Sans" w:hAnsi="Open Sans" w:cs="Open Sans"/>
        </w:rPr>
        <w:t xml:space="preserve">, una situación afecta al 15% de los hipotecados. </w:t>
      </w:r>
    </w:p>
    <w:p w14:paraId="0A1C6AB7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7F369CC8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Recorte de gastos de los hipotecados para hacer frente a las cuotas</w:t>
      </w:r>
    </w:p>
    <w:p w14:paraId="6D29AE99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731C0CDA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0" distB="0" distL="0" distR="0" wp14:anchorId="26E917CD" wp14:editId="5742CEE4">
            <wp:extent cx="5687279" cy="3995263"/>
            <wp:effectExtent l="0" t="0" r="0" b="0"/>
            <wp:docPr id="2066816629" name="image5.png" descr="Gráfico, Gráfico de barras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áfico, Gráfico de barras&#10;&#10;El contenido generado por IA puede ser incorrecto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7279" cy="3995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260F58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4D275818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796B623D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Otros esfuerzos de ahorro repercuten en partidas como </w:t>
      </w:r>
      <w:r>
        <w:rPr>
          <w:rFonts w:ascii="Open Sans" w:eastAsia="Open Sans" w:hAnsi="Open Sans" w:cs="Open Sans"/>
          <w:b/>
          <w:bCs/>
        </w:rPr>
        <w:t>el pago de seguros servicios del hogar (suministros, reformas o seguridad),</w:t>
      </w:r>
      <w:r>
        <w:rPr>
          <w:rFonts w:ascii="Open Sans" w:eastAsia="Open Sans" w:hAnsi="Open Sans" w:cs="Open Sans"/>
        </w:rPr>
        <w:t xml:space="preserve"> que afectan al 14% de los hipotecados.  </w:t>
      </w:r>
    </w:p>
    <w:p w14:paraId="27A4AFFA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73FFE05C" w14:textId="77777777" w:rsidR="00D904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El porcentaje de quienes </w:t>
      </w:r>
      <w:r>
        <w:rPr>
          <w:rFonts w:ascii="Open Sans" w:eastAsia="Open Sans" w:hAnsi="Open Sans" w:cs="Open Sans"/>
          <w:b/>
          <w:bCs/>
        </w:rPr>
        <w:t xml:space="preserve">no han reducido ningún gasto </w:t>
      </w:r>
      <w:r>
        <w:rPr>
          <w:rFonts w:ascii="Open Sans" w:eastAsia="Open Sans" w:hAnsi="Open Sans" w:cs="Open Sans"/>
        </w:rPr>
        <w:t xml:space="preserve">cae al 34% en el caso de los hipotecados, mientras en 2024 eran del 36%. </w:t>
      </w:r>
    </w:p>
    <w:p w14:paraId="3A4F21C2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8CEDE88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33BACB9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235DFA38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6754F4FC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414752B2" w14:textId="77777777" w:rsidR="00D9043C" w:rsidRDefault="00D904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683C46C3" w14:textId="77777777" w:rsidR="00D9043C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lastRenderedPageBreak/>
        <w:t>Sobre Fotocasa</w:t>
      </w:r>
    </w:p>
    <w:p w14:paraId="6B738758" w14:textId="77777777" w:rsidR="00D9043C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4A1C395F" w14:textId="77777777" w:rsidR="00D9043C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Mensualmente, elabora el </w:t>
      </w:r>
      <w:hyperlink r:id="rId15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>, un informe de referencia que analiza la evolución del precio medio de la vivienda en España, tanto en venta como en alquiler.</w:t>
      </w:r>
    </w:p>
    <w:p w14:paraId="37D1DBD6" w14:textId="77777777" w:rsidR="00D9043C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Desde 2017, desarrolla además estudios sociológicos bajo el sello </w:t>
      </w:r>
      <w:hyperlink r:id="rId16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Research</w:t>
        </w:r>
      </w:hyperlink>
      <w:r>
        <w:rPr>
          <w:rFonts w:ascii="Open Sans" w:eastAsia="Open Sans" w:hAnsi="Open Sans" w:cs="Open Sans"/>
          <w:sz w:val="22"/>
          <w:szCs w:val="22"/>
        </w:rPr>
        <w:t>, con el objetivo de aportar conocimiento y análisis en profundidad sobre las tendencias del mercado y el comportamiento de los ciudadanos en relación con la vivienda.</w:t>
      </w:r>
    </w:p>
    <w:p w14:paraId="08EB70EB" w14:textId="77777777" w:rsidR="00D9043C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17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Sala de Prensa</w:t>
        </w:r>
      </w:hyperlink>
    </w:p>
    <w:p w14:paraId="4B57A87C" w14:textId="77777777" w:rsidR="00D9043C" w:rsidRDefault="00D9043C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7CE770F7" w14:textId="77777777" w:rsidR="00D9043C" w:rsidRDefault="00D9043C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55E59E5A" w14:textId="77777777" w:rsidR="00D9043C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 Group</w:t>
      </w:r>
    </w:p>
    <w:p w14:paraId="64F8CED1" w14:textId="77777777" w:rsidR="00D9043C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bCs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382305E3" w14:textId="77777777" w:rsidR="00D9043C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Bajo su marca paraguas, Fotocasa Group impulsa y da visibilidad a un ecosistema de marcas líderes —</w:t>
      </w:r>
      <w:hyperlink r:id="rId18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9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habitaclia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0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1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Datavenues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2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Witei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23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</w:rPr>
          <w:t>Inmoweb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— que ofrecen soluciones integrales tanto </w:t>
      </w:r>
      <w:r>
        <w:rPr>
          <w:rFonts w:ascii="Open Sans" w:eastAsia="Open Sans" w:hAnsi="Open Sans" w:cs="Open Sans"/>
          <w:b/>
          <w:bCs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32A5A6C3" w14:textId="77777777" w:rsidR="00D9043C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bCs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bCs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17FB63C1" w14:textId="77777777" w:rsidR="00D9043C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En Fotocasa Group, </w:t>
      </w:r>
      <w:r>
        <w:rPr>
          <w:rFonts w:ascii="Open Sans" w:eastAsia="Open Sans" w:hAnsi="Open Sans" w:cs="Open Sans"/>
          <w:b/>
          <w:bCs/>
          <w:sz w:val="22"/>
          <w:szCs w:val="22"/>
        </w:rPr>
        <w:t>unimos personas y propiedades</w:t>
      </w:r>
      <w:r>
        <w:rPr>
          <w:rFonts w:ascii="Open Sans" w:eastAsia="Open Sans" w:hAnsi="Open Sans" w:cs="Open Sans"/>
          <w:sz w:val="22"/>
          <w:szCs w:val="22"/>
        </w:rPr>
        <w:t> a través de una plataforma inteligente, diseñada para hacer que </w:t>
      </w:r>
      <w:r>
        <w:rPr>
          <w:rFonts w:ascii="Open Sans" w:eastAsia="Open Sans" w:hAnsi="Open Sans" w:cs="Open Sans"/>
          <w:b/>
          <w:bCs/>
          <w:sz w:val="22"/>
          <w:szCs w:val="22"/>
        </w:rPr>
        <w:t>buscar, comprar o alquilar vivienda</w:t>
      </w:r>
      <w:r>
        <w:rPr>
          <w:rFonts w:ascii="Open Sans" w:eastAsia="Open Sans" w:hAnsi="Open Sans" w:cs="Open Sans"/>
          <w:sz w:val="22"/>
          <w:szCs w:val="22"/>
        </w:rPr>
        <w:t> sea una experiencia más fácil, transparente y eficiente.</w:t>
      </w:r>
    </w:p>
    <w:p w14:paraId="222E9F95" w14:textId="77777777" w:rsidR="00D9043C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Nuestra visión es clara</w:t>
      </w:r>
      <w:r>
        <w:rPr>
          <w:rFonts w:ascii="Open Sans" w:eastAsia="Open Sans" w:hAnsi="Open Sans" w:cs="Open Sans"/>
          <w:b/>
          <w:bCs/>
          <w:sz w:val="22"/>
          <w:szCs w:val="22"/>
        </w:rPr>
        <w:t>: ser el lugar donde tu nuevo hogar te encuentra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71ACE101" w14:textId="77777777" w:rsidR="00D9043C" w:rsidRDefault="00D9043C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1040E751" w14:textId="77777777" w:rsidR="00D9043C" w:rsidRDefault="0000000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lastRenderedPageBreak/>
        <w:t>Departamento Comunicación Fotocasa Group</w:t>
      </w:r>
    </w:p>
    <w:p w14:paraId="24F6BCF5" w14:textId="77777777" w:rsidR="00D9043C" w:rsidRDefault="00D9043C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</w:p>
    <w:p w14:paraId="28BBD521" w14:textId="46327E95" w:rsidR="00D9043C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Anaïs </w:t>
      </w:r>
      <w:r w:rsidR="00511347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García</w:t>
      </w:r>
    </w:p>
    <w:p w14:paraId="48EC0976" w14:textId="77777777" w:rsidR="00D9043C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2233CFBB" w14:textId="77777777" w:rsidR="00D9043C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38B506EF" w14:textId="77777777" w:rsidR="00D9043C" w:rsidRDefault="00D9043C">
      <w:pPr>
        <w:spacing w:line="276" w:lineRule="auto"/>
        <w:jc w:val="right"/>
        <w:rPr>
          <w:rFonts w:ascii="Open Sans" w:eastAsia="Open Sans" w:hAnsi="Open Sans" w:cs="Open Sans"/>
          <w:color w:val="000000"/>
          <w:sz w:val="22"/>
          <w:szCs w:val="22"/>
        </w:rPr>
      </w:pPr>
    </w:p>
    <w:sectPr w:rsidR="00D9043C">
      <w:footerReference w:type="default" r:id="rId25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CF3E8" w14:textId="77777777" w:rsidR="007C07CA" w:rsidRDefault="007C07CA">
      <w:r>
        <w:separator/>
      </w:r>
    </w:p>
  </w:endnote>
  <w:endnote w:type="continuationSeparator" w:id="0">
    <w:p w14:paraId="38DC66C1" w14:textId="77777777" w:rsidR="007C07CA" w:rsidRDefault="007C0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97B0F39-0B6A-4881-8D9E-EB931B15FF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0CE48EF-31DF-48C6-9C8E-A26E83BED6EA}"/>
    <w:embedBold r:id="rId3" w:fontKey="{56D679EF-CE74-449B-9760-E2A23159CE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73DA45E-2531-450C-828D-7A592DB7E0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0B2E447-51C9-466B-B26E-4ABBA3D945FC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94C5DFFA-930D-4D87-B003-EBC361BE827A}"/>
    <w:embedBold r:id="rId7" w:fontKey="{E4A437CF-ADA8-4085-867D-89794334F851}"/>
    <w:embedBoldItalic r:id="rId8" w:fontKey="{AAD46DC8-5C08-48D0-BA96-02A2FA937ED3}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9" w:fontKey="{219C7C5C-2D94-47D5-8DAC-CB197CDFBA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A2B5F" w14:textId="77777777" w:rsidR="00D904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FF9F9D1" wp14:editId="73F1B046">
          <wp:simplePos x="0" y="0"/>
          <wp:positionH relativeFrom="column">
            <wp:posOffset>-1068039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85797" w14:textId="77777777" w:rsidR="007C07CA" w:rsidRDefault="007C07CA">
      <w:r>
        <w:separator/>
      </w:r>
    </w:p>
  </w:footnote>
  <w:footnote w:type="continuationSeparator" w:id="0">
    <w:p w14:paraId="40C21F39" w14:textId="77777777" w:rsidR="007C07CA" w:rsidRDefault="007C0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E01314"/>
    <w:multiLevelType w:val="multilevel"/>
    <w:tmpl w:val="64A8DF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6421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43C"/>
    <w:rsid w:val="00386734"/>
    <w:rsid w:val="00511347"/>
    <w:rsid w:val="007C07CA"/>
    <w:rsid w:val="008571AD"/>
    <w:rsid w:val="00D9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81A35"/>
  <w15:docId w15:val="{265E47EA-E3E3-4971-8AAD-65F95AA65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9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9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6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6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  <w:style w:type="table" w:styleId="Tablaconcuadrcula5oscura-nfasis1">
    <w:name w:val="Grid Table 5 Dark Accent 1"/>
    <w:basedOn w:val="Tablanormal"/>
    <w:uiPriority w:val="50"/>
    <w:rsid w:val="00B776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customStyle="1" w:styleId="paragraph">
    <w:name w:val="paragraph"/>
    <w:basedOn w:val="Normal"/>
    <w:rsid w:val="00B5309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search.fotocasa.es/" TargetMode="External"/><Relationship Id="rId18" Type="http://schemas.openxmlformats.org/officeDocument/2006/relationships/hyperlink" Target="https://www.fotocasa.e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atavenues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prensa.fotocasa.es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research.fotocasa.es" TargetMode="External"/><Relationship Id="rId20" Type="http://schemas.openxmlformats.org/officeDocument/2006/relationships/hyperlink" Target="https://profesionales.fotocasa.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comunicacion@fotocas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/indice/" TargetMode="External"/><Relationship Id="rId23" Type="http://schemas.openxmlformats.org/officeDocument/2006/relationships/hyperlink" Target="https://www.inmoweb.es/" TargetMode="External"/><Relationship Id="rId10" Type="http://schemas.openxmlformats.org/officeDocument/2006/relationships/hyperlink" Target="https://www.fotocasa.es/es/" TargetMode="External"/><Relationship Id="rId19" Type="http://schemas.openxmlformats.org/officeDocument/2006/relationships/hyperlink" Target="https://www.habitaclia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earch.fotocasa.es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get.witei.com/en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pE9OuskV1yoB1CczXyzVSkhEAA==">CgMxLjA4AHIhMVNhSE03bEdGbEx3M09YQ0dQNV9XTUpsVEVabHpVR2Vj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1079</Words>
  <Characters>5935</Characters>
  <Application>Microsoft Office Word</Application>
  <DocSecurity>0</DocSecurity>
  <Lines>49</Lines>
  <Paragraphs>13</Paragraphs>
  <ScaleCrop>false</ScaleCrop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Anais Garcia Lopez</cp:lastModifiedBy>
  <cp:revision>3</cp:revision>
  <cp:lastPrinted>2026-01-08T18:13:00Z</cp:lastPrinted>
  <dcterms:created xsi:type="dcterms:W3CDTF">2024-02-06T13:46:00Z</dcterms:created>
  <dcterms:modified xsi:type="dcterms:W3CDTF">2026-01-08T18:14:00Z</dcterms:modified>
</cp:coreProperties>
</file>