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925E2" w14:textId="77777777" w:rsidR="0069430B" w:rsidRDefault="00000000">
      <w:pPr>
        <w:spacing w:line="276" w:lineRule="auto"/>
        <w:ind w:right="-560"/>
        <w:jc w:val="center"/>
        <w:rPr>
          <w:rFonts w:ascii="National" w:eastAsia="National" w:hAnsi="National" w:cs="National"/>
          <w:b/>
          <w:bCs/>
          <w:color w:val="1DBDC5"/>
          <w:sz w:val="42"/>
          <w:szCs w:val="42"/>
        </w:rPr>
      </w:pPr>
      <w:r>
        <w:rPr>
          <w:rFonts w:ascii="National" w:eastAsia="National" w:hAnsi="National" w:cs="National"/>
          <w:b/>
          <w:bCs/>
          <w:color w:val="1DBDC5"/>
          <w:sz w:val="32"/>
          <w:szCs w:val="32"/>
        </w:rPr>
        <w:t xml:space="preserve">ÍNDICE PREDICTIVO DE PRECIOS </w:t>
      </w:r>
    </w:p>
    <w:p w14:paraId="5EFF0BDE" w14:textId="77777777" w:rsidR="0069430B" w:rsidRDefault="00000000">
      <w:pPr>
        <w:spacing w:line="276" w:lineRule="auto"/>
        <w:ind w:left="720" w:right="-560"/>
        <w:jc w:val="center"/>
        <w:rPr>
          <w:rFonts w:ascii="National" w:eastAsia="National" w:hAnsi="National" w:cs="National"/>
          <w:b/>
          <w:bCs/>
          <w:color w:val="002060"/>
          <w:sz w:val="44"/>
          <w:szCs w:val="44"/>
        </w:rPr>
      </w:pPr>
      <w:r>
        <w:rPr>
          <w:rFonts w:ascii="National" w:eastAsia="National" w:hAnsi="National" w:cs="National"/>
          <w:b/>
          <w:bCs/>
          <w:color w:val="002060"/>
          <w:sz w:val="44"/>
          <w:szCs w:val="44"/>
        </w:rPr>
        <w:t xml:space="preserve">La IA anticipa subidas en 21 capitales de provincia y bajada en 16 a finales del primer trimestre de 2026 </w:t>
      </w:r>
    </w:p>
    <w:p w14:paraId="79772966" w14:textId="77777777" w:rsidR="0069430B" w:rsidRDefault="0069430B">
      <w:pPr>
        <w:spacing w:line="276" w:lineRule="auto"/>
        <w:ind w:right="-560"/>
        <w:jc w:val="both"/>
        <w:rPr>
          <w:rFonts w:ascii="Open Sans" w:eastAsia="Open Sans" w:hAnsi="Open Sans" w:cs="Open Sans"/>
          <w:color w:val="002060"/>
        </w:rPr>
      </w:pPr>
    </w:p>
    <w:p w14:paraId="6B7C2184" w14:textId="77777777" w:rsidR="0069430B"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 xml:space="preserve">El </w:t>
      </w:r>
      <w:r>
        <w:rPr>
          <w:rFonts w:ascii="Open Sans" w:eastAsia="Open Sans" w:hAnsi="Open Sans" w:cs="Open Sans"/>
          <w:i/>
          <w:iCs/>
          <w:color w:val="002060"/>
        </w:rPr>
        <w:t xml:space="preserve">Índice predictivo de alquiler </w:t>
      </w:r>
      <w:proofErr w:type="spellStart"/>
      <w:r>
        <w:rPr>
          <w:rFonts w:ascii="Open Sans" w:eastAsia="Open Sans" w:hAnsi="Open Sans" w:cs="Open Sans"/>
          <w:i/>
          <w:iCs/>
          <w:color w:val="002060"/>
        </w:rPr>
        <w:t>DataVenues</w:t>
      </w:r>
      <w:proofErr w:type="spellEnd"/>
      <w:r>
        <w:rPr>
          <w:rFonts w:ascii="Open Sans" w:eastAsia="Open Sans" w:hAnsi="Open Sans" w:cs="Open Sans"/>
          <w:color w:val="002060"/>
        </w:rPr>
        <w:t xml:space="preserve"> de Fotocasa prevé subidas de precios en 21 ciudades y bajadas en 16 capitales a final de marzo</w:t>
      </w:r>
    </w:p>
    <w:p w14:paraId="141EC1B6" w14:textId="77777777" w:rsidR="0069430B" w:rsidRDefault="00000000">
      <w:pPr>
        <w:numPr>
          <w:ilvl w:val="0"/>
          <w:numId w:val="1"/>
        </w:numPr>
        <w:pBdr>
          <w:top w:val="nil"/>
          <w:left w:val="nil"/>
          <w:bottom w:val="nil"/>
          <w:right w:val="nil"/>
          <w:between w:val="nil"/>
        </w:pBdr>
        <w:spacing w:line="276" w:lineRule="auto"/>
        <w:ind w:right="-560"/>
        <w:jc w:val="both"/>
        <w:rPr>
          <w:rFonts w:ascii="Open Sans" w:eastAsia="Open Sans" w:hAnsi="Open Sans" w:cs="Open Sans"/>
          <w:color w:val="002060"/>
        </w:rPr>
      </w:pPr>
      <w:bookmarkStart w:id="0" w:name="_heading=h.8w2z68yg3vc8" w:colFirst="0" w:colLast="0"/>
      <w:bookmarkEnd w:id="0"/>
      <w:r>
        <w:rPr>
          <w:rFonts w:ascii="Open Sans" w:eastAsia="Open Sans" w:hAnsi="Open Sans" w:cs="Open Sans"/>
          <w:color w:val="002060"/>
        </w:rPr>
        <w:t>Baleares y varias capitales del interior y del norte peninsular lideran los incrementos previstos</w:t>
      </w:r>
    </w:p>
    <w:p w14:paraId="7AFA2739" w14:textId="77777777" w:rsidR="0069430B" w:rsidRDefault="00000000">
      <w:pPr>
        <w:numPr>
          <w:ilvl w:val="0"/>
          <w:numId w:val="1"/>
        </w:numPr>
        <w:pBdr>
          <w:top w:val="nil"/>
          <w:left w:val="nil"/>
          <w:bottom w:val="nil"/>
          <w:right w:val="nil"/>
          <w:between w:val="nil"/>
        </w:pBdr>
        <w:spacing w:line="276" w:lineRule="auto"/>
        <w:ind w:right="-560"/>
        <w:jc w:val="both"/>
        <w:rPr>
          <w:rFonts w:ascii="Open Sans" w:eastAsia="Open Sans" w:hAnsi="Open Sans" w:cs="Open Sans"/>
          <w:color w:val="002060"/>
        </w:rPr>
      </w:pPr>
      <w:r>
        <w:rPr>
          <w:rFonts w:ascii="Open Sans" w:eastAsia="Open Sans" w:hAnsi="Open Sans" w:cs="Open Sans"/>
          <w:color w:val="002060"/>
        </w:rPr>
        <w:t>La IA prevé estabilidad de precios en un amplio número de capitales, entre ellas Barcelona, Valencia, Vitoria o Pamplona</w:t>
      </w:r>
    </w:p>
    <w:p w14:paraId="69BFBA2E" w14:textId="77777777" w:rsidR="0069430B" w:rsidRDefault="0069430B">
      <w:pPr>
        <w:pBdr>
          <w:top w:val="nil"/>
          <w:left w:val="nil"/>
          <w:bottom w:val="nil"/>
          <w:right w:val="nil"/>
          <w:between w:val="nil"/>
        </w:pBdr>
        <w:spacing w:line="276" w:lineRule="auto"/>
        <w:ind w:left="720" w:right="-560"/>
        <w:jc w:val="both"/>
        <w:rPr>
          <w:rFonts w:ascii="Open Sans" w:eastAsia="Open Sans" w:hAnsi="Open Sans" w:cs="Open Sans"/>
          <w:color w:val="002060"/>
        </w:rPr>
      </w:pPr>
    </w:p>
    <w:p w14:paraId="7B5655F1" w14:textId="77777777" w:rsidR="0069430B" w:rsidRDefault="00000000">
      <w:pPr>
        <w:spacing w:line="276" w:lineRule="auto"/>
        <w:ind w:right="-560"/>
        <w:rPr>
          <w:rFonts w:ascii="Open Sans" w:eastAsia="Open Sans" w:hAnsi="Open Sans" w:cs="Open Sans"/>
          <w:b/>
          <w:bCs/>
          <w:color w:val="002060"/>
          <w:sz w:val="22"/>
          <w:szCs w:val="22"/>
        </w:rPr>
      </w:pPr>
      <w:r>
        <w:rPr>
          <w:rFonts w:ascii="Open Sans" w:eastAsia="Open Sans" w:hAnsi="Open Sans" w:cs="Open Sans"/>
          <w:b/>
          <w:bCs/>
          <w:color w:val="002060"/>
          <w:sz w:val="22"/>
          <w:szCs w:val="22"/>
        </w:rPr>
        <w:t>Madrid, 29 de enero de 2026</w:t>
      </w:r>
    </w:p>
    <w:p w14:paraId="3A2BF995" w14:textId="77777777" w:rsidR="0069430B" w:rsidRDefault="0069430B">
      <w:pPr>
        <w:spacing w:line="276" w:lineRule="auto"/>
        <w:ind w:right="-560"/>
        <w:jc w:val="both"/>
        <w:rPr>
          <w:rFonts w:ascii="Open Sans" w:eastAsia="Open Sans" w:hAnsi="Open Sans" w:cs="Open Sans"/>
          <w:sz w:val="22"/>
          <w:szCs w:val="22"/>
        </w:rPr>
      </w:pPr>
    </w:p>
    <w:p w14:paraId="4412ACDC" w14:textId="77777777" w:rsidR="0069430B"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La Inteligencia Artificial anticipa que Palma (+7,4%), Soria (+6,3%) y Salamanca (+6,3%) registrarán las mayores subidas trimestrales previstas del precio del alquiler en España a cierre del primer trimestre de 2026 (es decir, comparando la evolución estimada entre 1 de enero y el 31 de marzo de 2026). El análisis refleja un escenario diverso, con capitales que presentan subidas relevantes (especialmente, en Baleares y el interior y norte peninsulares), un amplio grupo de ciudades con precios estables, y descensos significativos en territorios muy heterogéneos a nivel nacional. </w:t>
      </w:r>
      <w:r>
        <w:rPr>
          <w:rFonts w:ascii="Open Sans" w:eastAsia="Open Sans" w:hAnsi="Open Sans" w:cs="Open Sans"/>
          <w:b/>
          <w:bCs/>
          <w:color w:val="262626"/>
          <w:sz w:val="22"/>
          <w:szCs w:val="22"/>
        </w:rPr>
        <w:t xml:space="preserve">Estas son las principales estimaciones del </w:t>
      </w:r>
      <w:r>
        <w:rPr>
          <w:rFonts w:ascii="Open Sans" w:eastAsia="Open Sans" w:hAnsi="Open Sans" w:cs="Open Sans"/>
          <w:b/>
          <w:bCs/>
          <w:i/>
          <w:iCs/>
          <w:color w:val="262626"/>
          <w:sz w:val="22"/>
          <w:szCs w:val="22"/>
        </w:rPr>
        <w:t xml:space="preserve">Índice predictivo de alquiler </w:t>
      </w:r>
      <w:hyperlink r:id="rId8">
        <w:proofErr w:type="spellStart"/>
        <w:r>
          <w:rPr>
            <w:rFonts w:ascii="Open Sans" w:eastAsia="Open Sans" w:hAnsi="Open Sans" w:cs="Open Sans"/>
            <w:b/>
            <w:bCs/>
            <w:i/>
            <w:iCs/>
            <w:color w:val="0000FF"/>
            <w:sz w:val="22"/>
            <w:szCs w:val="22"/>
            <w:u w:val="single"/>
          </w:rPr>
          <w:t>DataVenues</w:t>
        </w:r>
        <w:proofErr w:type="spellEnd"/>
      </w:hyperlink>
      <w:r>
        <w:rPr>
          <w:rFonts w:ascii="Open Sans" w:eastAsia="Open Sans" w:hAnsi="Open Sans" w:cs="Open Sans"/>
          <w:b/>
          <w:bCs/>
          <w:color w:val="262626"/>
          <w:sz w:val="22"/>
          <w:szCs w:val="22"/>
        </w:rPr>
        <w:t> de </w:t>
      </w:r>
      <w:hyperlink r:id="rId9">
        <w:r>
          <w:rPr>
            <w:rFonts w:ascii="Open Sans" w:eastAsia="Open Sans" w:hAnsi="Open Sans" w:cs="Open Sans"/>
            <w:b/>
            <w:bCs/>
            <w:color w:val="0000FF"/>
            <w:sz w:val="22"/>
            <w:szCs w:val="22"/>
            <w:u w:val="single"/>
          </w:rPr>
          <w:t>Fotocasa</w:t>
        </w:r>
      </w:hyperlink>
      <w:r>
        <w:rPr>
          <w:rFonts w:ascii="Open Sans" w:eastAsia="Open Sans" w:hAnsi="Open Sans" w:cs="Open Sans"/>
          <w:b/>
          <w:bCs/>
          <w:color w:val="262626"/>
          <w:sz w:val="22"/>
          <w:szCs w:val="22"/>
        </w:rPr>
        <w:t xml:space="preserve">, que permite adelantarse al comportamiento del mercado y prever la evolución de los precios de la vivienda de alquiler a nivel trimestral. </w:t>
      </w:r>
      <w:r>
        <w:rPr>
          <w:rFonts w:ascii="Open Sans" w:eastAsia="Open Sans" w:hAnsi="Open Sans" w:cs="Open Sans"/>
          <w:color w:val="262626"/>
          <w:sz w:val="22"/>
          <w:szCs w:val="22"/>
        </w:rPr>
        <w:t xml:space="preserve">Desde enero de 2025, </w:t>
      </w:r>
      <w:hyperlink r:id="rId10">
        <w:r>
          <w:rPr>
            <w:rFonts w:ascii="Open Sans" w:eastAsia="Open Sans" w:hAnsi="Open Sans" w:cs="Open Sans"/>
            <w:color w:val="0000FF"/>
            <w:sz w:val="22"/>
            <w:szCs w:val="22"/>
            <w:u w:val="single"/>
          </w:rPr>
          <w:t>Fotocasa</w:t>
        </w:r>
      </w:hyperlink>
      <w:r>
        <w:rPr>
          <w:rFonts w:ascii="Open Sans" w:eastAsia="Open Sans" w:hAnsi="Open Sans" w:cs="Open Sans"/>
          <w:color w:val="262626"/>
          <w:sz w:val="22"/>
          <w:szCs w:val="22"/>
        </w:rPr>
        <w:t xml:space="preserve"> publica trimestralmente las estimaciones de esta revolucionaria aplicación desplegada gracias al uso combinado de tecnologías como la Inteligencia Artificial y el Big Data, puestas al servicio del mercado de la vivienda.</w:t>
      </w:r>
    </w:p>
    <w:p w14:paraId="1B7E44B2" w14:textId="77777777" w:rsidR="0069430B" w:rsidRDefault="0069430B">
      <w:pPr>
        <w:spacing w:line="276" w:lineRule="auto"/>
        <w:ind w:right="-560"/>
        <w:jc w:val="both"/>
        <w:rPr>
          <w:rFonts w:ascii="Open Sans" w:eastAsia="Open Sans" w:hAnsi="Open Sans" w:cs="Open Sans"/>
          <w:color w:val="262626"/>
          <w:sz w:val="22"/>
          <w:szCs w:val="22"/>
        </w:rPr>
      </w:pPr>
    </w:p>
    <w:p w14:paraId="561E3329" w14:textId="77777777" w:rsidR="0069430B" w:rsidRDefault="00000000">
      <w:pPr>
        <w:spacing w:line="276" w:lineRule="auto"/>
        <w:ind w:right="-560"/>
        <w:jc w:val="both"/>
        <w:rPr>
          <w:rFonts w:ascii="Open Sans" w:eastAsia="Open Sans" w:hAnsi="Open Sans" w:cs="Open Sans"/>
          <w:b/>
          <w:bCs/>
          <w:color w:val="262626"/>
          <w:sz w:val="22"/>
          <w:szCs w:val="22"/>
        </w:rPr>
      </w:pPr>
      <w:bookmarkStart w:id="1" w:name="_heading=h.q7grusu66sgy" w:colFirst="0" w:colLast="0"/>
      <w:bookmarkEnd w:id="1"/>
      <w:r>
        <w:rPr>
          <w:rFonts w:ascii="Open Sans" w:eastAsia="Open Sans" w:hAnsi="Open Sans" w:cs="Open Sans"/>
          <w:color w:val="262626"/>
          <w:sz w:val="22"/>
          <w:szCs w:val="22"/>
        </w:rPr>
        <w:t xml:space="preserve">“Las subidas previstas del alquiler en capitales del interior y del norte responden a un cambio en la demanda. Cada vez más inquilinos buscan ciudades con mayor calidad de vida, menor presión turística y precios asequibles que los de las grandes capitales o las zonas costeras más tensionadas. Estos mercados, tradicionalmente más estables, se han convertido en una alternativa ante la falta de oferta y el encarecimiento sostenido del alquiler en los polos urbanos más saturados. Al mismo tiempo, los descensos previstos </w:t>
      </w:r>
      <w:r>
        <w:rPr>
          <w:rFonts w:ascii="Open Sans" w:eastAsia="Open Sans" w:hAnsi="Open Sans" w:cs="Open Sans"/>
          <w:color w:val="262626"/>
          <w:sz w:val="22"/>
          <w:szCs w:val="22"/>
        </w:rPr>
        <w:lastRenderedPageBreak/>
        <w:t>en algunas capitales pueden interpretarse como ajustes puntuales tras episodios de fuerte calentamiento. No se trata de un cambio de ciclo, sino de un ajuste puntual”</w:t>
      </w:r>
      <w:r>
        <w:rPr>
          <w:rFonts w:ascii="Open Sans" w:eastAsia="Open Sans" w:hAnsi="Open Sans" w:cs="Open Sans"/>
          <w:color w:val="262626"/>
          <w:sz w:val="22"/>
          <w:szCs w:val="22"/>
          <w:highlight w:val="lightGray"/>
        </w:rPr>
        <w:t>,</w:t>
      </w:r>
      <w:r>
        <w:rPr>
          <w:rFonts w:ascii="Open Sans" w:eastAsia="Open Sans" w:hAnsi="Open Sans" w:cs="Open Sans"/>
          <w:color w:val="262626"/>
          <w:sz w:val="22"/>
          <w:szCs w:val="22"/>
        </w:rPr>
        <w:t xml:space="preserve"> </w:t>
      </w:r>
      <w:r>
        <w:rPr>
          <w:rFonts w:ascii="Open Sans" w:eastAsia="Open Sans" w:hAnsi="Open Sans" w:cs="Open Sans"/>
          <w:b/>
          <w:bCs/>
          <w:color w:val="262626"/>
          <w:sz w:val="22"/>
          <w:szCs w:val="22"/>
        </w:rPr>
        <w:t xml:space="preserve">comenta María Matos, directora de Estudios y portavoz de </w:t>
      </w:r>
      <w:hyperlink r:id="rId11">
        <w:r>
          <w:rPr>
            <w:rFonts w:ascii="Open Sans" w:eastAsia="Open Sans" w:hAnsi="Open Sans" w:cs="Open Sans"/>
            <w:b/>
            <w:bCs/>
            <w:color w:val="1155CC"/>
            <w:sz w:val="22"/>
            <w:szCs w:val="22"/>
            <w:u w:val="single"/>
          </w:rPr>
          <w:t>Fotocasa</w:t>
        </w:r>
      </w:hyperlink>
      <w:r>
        <w:rPr>
          <w:rFonts w:ascii="Open Sans" w:eastAsia="Open Sans" w:hAnsi="Open Sans" w:cs="Open Sans"/>
          <w:b/>
          <w:bCs/>
          <w:color w:val="262626"/>
          <w:sz w:val="22"/>
          <w:szCs w:val="22"/>
        </w:rPr>
        <w:t>.</w:t>
      </w:r>
    </w:p>
    <w:p w14:paraId="5F9D8535" w14:textId="77777777" w:rsidR="0069430B" w:rsidRDefault="0069430B">
      <w:pPr>
        <w:spacing w:line="276" w:lineRule="auto"/>
        <w:ind w:right="-560"/>
        <w:jc w:val="both"/>
        <w:rPr>
          <w:rFonts w:ascii="Open Sans" w:eastAsia="Open Sans" w:hAnsi="Open Sans" w:cs="Open Sans"/>
          <w:b/>
          <w:bCs/>
          <w:color w:val="262626"/>
          <w:sz w:val="22"/>
          <w:szCs w:val="22"/>
        </w:rPr>
      </w:pPr>
    </w:p>
    <w:p w14:paraId="390C2FE0" w14:textId="77777777" w:rsidR="0069430B" w:rsidRDefault="00000000">
      <w:pPr>
        <w:spacing w:line="276" w:lineRule="auto"/>
        <w:ind w:right="-560"/>
        <w:jc w:val="both"/>
        <w:rPr>
          <w:rFonts w:ascii="Open Sans" w:eastAsia="Open Sans" w:hAnsi="Open Sans" w:cs="Open Sans"/>
          <w:b/>
          <w:bCs/>
          <w:color w:val="002060"/>
        </w:rPr>
      </w:pPr>
      <w:r>
        <w:rPr>
          <w:rFonts w:ascii="Open Sans" w:eastAsia="Open Sans" w:hAnsi="Open Sans" w:cs="Open Sans"/>
          <w:b/>
          <w:bCs/>
          <w:color w:val="002060"/>
        </w:rPr>
        <w:t>Baleares y el interior y norte peninsulares encabezan las mayores subidas previstas de los alquileres</w:t>
      </w:r>
    </w:p>
    <w:p w14:paraId="23957440" w14:textId="77777777" w:rsidR="0069430B" w:rsidRDefault="0069430B">
      <w:pPr>
        <w:spacing w:line="276" w:lineRule="auto"/>
        <w:ind w:right="-560"/>
        <w:jc w:val="both"/>
        <w:rPr>
          <w:rFonts w:ascii="Open Sans" w:eastAsia="Open Sans" w:hAnsi="Open Sans" w:cs="Open Sans"/>
          <w:color w:val="262626"/>
          <w:sz w:val="22"/>
          <w:szCs w:val="22"/>
        </w:rPr>
      </w:pPr>
    </w:p>
    <w:p w14:paraId="379986DA" w14:textId="77777777" w:rsidR="0069430B" w:rsidRDefault="00000000">
      <w:pPr>
        <w:spacing w:line="276" w:lineRule="auto"/>
        <w:ind w:right="-560"/>
        <w:jc w:val="both"/>
        <w:rPr>
          <w:rFonts w:ascii="Open Sans" w:eastAsia="Open Sans" w:hAnsi="Open Sans" w:cs="Open Sans"/>
          <w:color w:val="262626"/>
          <w:sz w:val="22"/>
          <w:szCs w:val="22"/>
        </w:rPr>
      </w:pPr>
      <w:bookmarkStart w:id="2" w:name="_heading=h.rnpak8276ej" w:colFirst="0" w:colLast="0"/>
      <w:bookmarkEnd w:id="2"/>
      <w:r>
        <w:rPr>
          <w:rFonts w:ascii="Open Sans" w:eastAsia="Open Sans" w:hAnsi="Open Sans" w:cs="Open Sans"/>
          <w:color w:val="262626"/>
          <w:sz w:val="22"/>
          <w:szCs w:val="22"/>
        </w:rPr>
        <w:t xml:space="preserve">Según las estimaciones del índice, Islas Baleares lidera el ranking nacional de subidas de las rentas, con Palma como la capital con el mayor incremento trimestral previsto (+7,4%). </w:t>
      </w:r>
      <w:r>
        <w:rPr>
          <w:rFonts w:ascii="Open Sans" w:eastAsia="Open Sans" w:hAnsi="Open Sans" w:cs="Open Sans"/>
          <w:b/>
          <w:bCs/>
          <w:color w:val="262626"/>
          <w:sz w:val="22"/>
          <w:szCs w:val="22"/>
        </w:rPr>
        <w:t>En Castilla y León se concentran varias de las subidas más destacadas del país, con Soria (+6,3%), Salamanca (+6,3%), Burgos (+4,3%) y León (+2,8%) al alza</w:t>
      </w:r>
      <w:r>
        <w:rPr>
          <w:rFonts w:ascii="Open Sans" w:eastAsia="Open Sans" w:hAnsi="Open Sans" w:cs="Open Sans"/>
          <w:color w:val="262626"/>
          <w:sz w:val="22"/>
          <w:szCs w:val="22"/>
        </w:rPr>
        <w:t>, mientras que otras capitales de la comunidad como Zamora, Palencia y Ávila mantendrían precios estables, y Valladolid (-2,3%) y Segovia (-3,4%) registrarían descensos. También destacan las previsiones positivas en Cantabria, donde Santander presenta una subida del 6,2%, y en Castilla-La Mancha, con incrementos en Cuenca (+3,8%) y Guadalajara (+1,0%).</w:t>
      </w:r>
    </w:p>
    <w:p w14:paraId="17D73D9A" w14:textId="77777777" w:rsidR="0069430B" w:rsidRDefault="0069430B">
      <w:pPr>
        <w:spacing w:line="276" w:lineRule="auto"/>
        <w:ind w:right="-560"/>
        <w:jc w:val="both"/>
        <w:rPr>
          <w:rFonts w:ascii="Open Sans" w:eastAsia="Open Sans" w:hAnsi="Open Sans" w:cs="Open Sans"/>
          <w:color w:val="262626"/>
          <w:sz w:val="22"/>
          <w:szCs w:val="22"/>
        </w:rPr>
      </w:pPr>
    </w:p>
    <w:p w14:paraId="3762FFB5" w14:textId="77777777" w:rsidR="0069430B" w:rsidRDefault="00000000">
      <w:pPr>
        <w:spacing w:line="276" w:lineRule="auto"/>
        <w:ind w:right="-560"/>
        <w:jc w:val="center"/>
        <w:rPr>
          <w:rFonts w:ascii="Open Sans" w:eastAsia="Open Sans" w:hAnsi="Open Sans" w:cs="Open Sans"/>
          <w:color w:val="262626"/>
          <w:sz w:val="20"/>
          <w:szCs w:val="20"/>
        </w:rPr>
      </w:pPr>
      <w:r>
        <w:rPr>
          <w:rFonts w:ascii="Open Sans" w:eastAsia="Open Sans" w:hAnsi="Open Sans" w:cs="Open Sans"/>
          <w:b/>
          <w:bCs/>
          <w:color w:val="002060"/>
          <w:sz w:val="22"/>
          <w:szCs w:val="22"/>
        </w:rPr>
        <w:t>Ciudades que registrarán las mayores subidas de precios</w:t>
      </w:r>
    </w:p>
    <w:p w14:paraId="6BF89685" w14:textId="77777777" w:rsidR="0069430B" w:rsidRDefault="0069430B">
      <w:pPr>
        <w:spacing w:line="276" w:lineRule="auto"/>
        <w:ind w:right="-560"/>
        <w:jc w:val="both"/>
        <w:rPr>
          <w:rFonts w:ascii="Open Sans" w:eastAsia="Open Sans" w:hAnsi="Open Sans" w:cs="Open Sans"/>
          <w:color w:val="262626"/>
          <w:sz w:val="22"/>
          <w:szCs w:val="22"/>
        </w:rPr>
      </w:pPr>
    </w:p>
    <w:p w14:paraId="3AB36F5E" w14:textId="77777777" w:rsidR="0069430B" w:rsidRDefault="00000000">
      <w:pPr>
        <w:spacing w:line="276" w:lineRule="auto"/>
        <w:ind w:right="-560"/>
        <w:jc w:val="center"/>
        <w:rPr>
          <w:rFonts w:ascii="Open Sans" w:eastAsia="Open Sans" w:hAnsi="Open Sans" w:cs="Open Sans"/>
          <w:color w:val="262626"/>
          <w:sz w:val="22"/>
          <w:szCs w:val="22"/>
        </w:rPr>
      </w:pPr>
      <w:r>
        <w:rPr>
          <w:noProof/>
        </w:rPr>
        <w:drawing>
          <wp:inline distT="0" distB="0" distL="0" distR="0" wp14:anchorId="5273D7DF" wp14:editId="412D7714">
            <wp:extent cx="5638800" cy="4162425"/>
            <wp:effectExtent l="0" t="0" r="0" b="0"/>
            <wp:docPr id="1459324385" name="Gráfico 1459324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C43727" w14:textId="77777777" w:rsidR="0069430B" w:rsidRDefault="0069430B">
      <w:pPr>
        <w:spacing w:line="276" w:lineRule="auto"/>
        <w:ind w:right="-560"/>
        <w:jc w:val="both"/>
        <w:rPr>
          <w:rFonts w:ascii="Open Sans" w:eastAsia="Open Sans" w:hAnsi="Open Sans" w:cs="Open Sans"/>
          <w:b/>
          <w:bCs/>
          <w:color w:val="262626"/>
          <w:sz w:val="22"/>
          <w:szCs w:val="22"/>
        </w:rPr>
      </w:pPr>
    </w:p>
    <w:p w14:paraId="52848A04" w14:textId="77777777" w:rsidR="0069430B" w:rsidRDefault="00000000">
      <w:pPr>
        <w:spacing w:line="276" w:lineRule="auto"/>
        <w:ind w:right="-560"/>
        <w:jc w:val="both"/>
        <w:rPr>
          <w:rFonts w:ascii="Open Sans" w:eastAsia="Open Sans" w:hAnsi="Open Sans" w:cs="Open Sans"/>
          <w:b/>
          <w:bCs/>
          <w:color w:val="002060"/>
        </w:rPr>
      </w:pPr>
      <w:r>
        <w:rPr>
          <w:rFonts w:ascii="Open Sans" w:eastAsia="Open Sans" w:hAnsi="Open Sans" w:cs="Open Sans"/>
          <w:b/>
          <w:bCs/>
          <w:color w:val="002060"/>
        </w:rPr>
        <w:t>Subidas moderadas en Andalucía, Cataluña y parte del norte peninsular</w:t>
      </w:r>
    </w:p>
    <w:p w14:paraId="41AF93CB" w14:textId="77777777" w:rsidR="0069430B" w:rsidRDefault="0069430B">
      <w:pPr>
        <w:spacing w:line="276" w:lineRule="auto"/>
        <w:ind w:right="-560"/>
        <w:jc w:val="both"/>
        <w:rPr>
          <w:rFonts w:ascii="Open Sans" w:eastAsia="Open Sans" w:hAnsi="Open Sans" w:cs="Open Sans"/>
          <w:color w:val="262626"/>
          <w:sz w:val="22"/>
          <w:szCs w:val="22"/>
        </w:rPr>
      </w:pPr>
    </w:p>
    <w:p w14:paraId="07C5B282" w14:textId="77777777" w:rsidR="0069430B"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bCs/>
          <w:color w:val="262626"/>
          <w:sz w:val="22"/>
          <w:szCs w:val="22"/>
        </w:rPr>
        <w:t>En Andalucía, el índice anticipa aumentos de precios en Sevilla (+1,9%), Córdoba (+1,9%), Granada (+0,9%) y Jaén (+0,4%)</w:t>
      </w:r>
      <w:r>
        <w:rPr>
          <w:rFonts w:ascii="Open Sans" w:eastAsia="Open Sans" w:hAnsi="Open Sans" w:cs="Open Sans"/>
          <w:color w:val="262626"/>
          <w:sz w:val="22"/>
          <w:szCs w:val="22"/>
        </w:rPr>
        <w:t>, mientras que Almería se mantendría estable. En cambio, Málaga (-0,5%), Cádiz (-1,5%) y Huelva (-3,8%) reflejarían descensos trimestrales. En Cataluña, Lleida (+2,3%) mostraría subidas contenidas de los alquileres, mientras que la estabilidad será la tónica en Barcelona (0%) y Girona (0%). Por su lado, Tarragona (-4,5%) registraría una de las mayores caídas del trimestre. En el País Vasco, el comportamiento sería dispar: San Sebastián (+2,3%) se sitúa entre las capitales con subidas previstas, Vitoria (0%) permanece estable, y Bilbao (-4,3%) encabeza los descensos en la comunidad. En Extremadura, suben Cáceres (+1,8%) y Badajoz (+0,79%), lo mismo que ocurre en Murcia capital (+0,1%).</w:t>
      </w:r>
    </w:p>
    <w:p w14:paraId="465DDDF2" w14:textId="77777777" w:rsidR="0069430B" w:rsidRDefault="0069430B">
      <w:pPr>
        <w:spacing w:line="276" w:lineRule="auto"/>
        <w:ind w:right="-560"/>
        <w:jc w:val="both"/>
        <w:rPr>
          <w:rFonts w:ascii="Open Sans" w:eastAsia="Open Sans" w:hAnsi="Open Sans" w:cs="Open Sans"/>
          <w:color w:val="262626"/>
          <w:sz w:val="22"/>
          <w:szCs w:val="22"/>
        </w:rPr>
      </w:pPr>
    </w:p>
    <w:p w14:paraId="1A187A03" w14:textId="77777777" w:rsidR="0069430B"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bCs/>
          <w:color w:val="262626"/>
          <w:sz w:val="22"/>
          <w:szCs w:val="22"/>
        </w:rPr>
        <w:t>El índice también señala un importante número de capitales con previsiones de estabilidad</w:t>
      </w:r>
      <w:r>
        <w:rPr>
          <w:rFonts w:ascii="Open Sans" w:eastAsia="Open Sans" w:hAnsi="Open Sans" w:cs="Open Sans"/>
          <w:color w:val="262626"/>
          <w:sz w:val="22"/>
          <w:szCs w:val="22"/>
        </w:rPr>
        <w:t>, sin variación trimestral en los precios del alquiler. Es el caso de Albacete, Vitoria, Valencia, Almería, Girona, Zamora, Palencia, Lugo, Pamplona, Ciudad Real, Castellón de la Plana, Ávila, Las Palmas de Gran Canaria, Ourense y Barcelona.</w:t>
      </w:r>
    </w:p>
    <w:p w14:paraId="380D8A8D" w14:textId="77777777" w:rsidR="0069430B" w:rsidRDefault="0069430B">
      <w:pPr>
        <w:spacing w:line="276" w:lineRule="auto"/>
        <w:ind w:right="-560"/>
        <w:jc w:val="both"/>
        <w:rPr>
          <w:rFonts w:ascii="Open Sans" w:eastAsia="Open Sans" w:hAnsi="Open Sans" w:cs="Open Sans"/>
          <w:color w:val="262626"/>
          <w:sz w:val="22"/>
          <w:szCs w:val="22"/>
        </w:rPr>
      </w:pPr>
    </w:p>
    <w:p w14:paraId="7A89054E" w14:textId="77777777" w:rsidR="0069430B" w:rsidRDefault="00000000">
      <w:pPr>
        <w:spacing w:line="276" w:lineRule="auto"/>
        <w:ind w:right="-560"/>
        <w:jc w:val="both"/>
        <w:rPr>
          <w:rFonts w:ascii="Open Sans" w:eastAsia="Open Sans" w:hAnsi="Open Sans" w:cs="Open Sans"/>
          <w:b/>
          <w:bCs/>
          <w:color w:val="002060"/>
        </w:rPr>
      </w:pPr>
      <w:r>
        <w:rPr>
          <w:rFonts w:ascii="Open Sans" w:eastAsia="Open Sans" w:hAnsi="Open Sans" w:cs="Open Sans"/>
          <w:b/>
          <w:bCs/>
          <w:color w:val="002060"/>
        </w:rPr>
        <w:t>Heterogeneidad regional entre los mayores descensos previstos</w:t>
      </w:r>
    </w:p>
    <w:p w14:paraId="759D897A" w14:textId="77777777" w:rsidR="0069430B" w:rsidRDefault="0069430B">
      <w:pPr>
        <w:spacing w:line="276" w:lineRule="auto"/>
        <w:ind w:right="-560"/>
        <w:jc w:val="both"/>
        <w:rPr>
          <w:rFonts w:ascii="Open Sans" w:eastAsia="Open Sans" w:hAnsi="Open Sans" w:cs="Open Sans"/>
          <w:color w:val="262626"/>
          <w:sz w:val="22"/>
          <w:szCs w:val="22"/>
        </w:rPr>
      </w:pPr>
    </w:p>
    <w:p w14:paraId="37B00F2C" w14:textId="77777777" w:rsidR="0069430B"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bCs/>
          <w:color w:val="262626"/>
          <w:sz w:val="22"/>
          <w:szCs w:val="22"/>
        </w:rPr>
        <w:t>Asimismo, Castilla-La Mancha destaca por registrar la mayor bajada trimestral prevista, con Toledo (-7,0%)</w:t>
      </w:r>
      <w:r>
        <w:rPr>
          <w:rFonts w:ascii="Open Sans" w:eastAsia="Open Sans" w:hAnsi="Open Sans" w:cs="Open Sans"/>
          <w:color w:val="262626"/>
          <w:sz w:val="22"/>
          <w:szCs w:val="22"/>
        </w:rPr>
        <w:t>. Además, esta autonomía mostrará estabilidad en Albacete y Ciudad Real, y subidas más ligeras en Cuenca (+3,8%) y Guadalajara (+1,0%). En Galicia, el comportamiento es mixto: se estiman subidas en A Coruña (+0,9%) y Pontevedra (+0,7%), estabilidad en Lugo (0%) y Ourense (0%), y leves descensos en Vigo (-0,2%). En Aragón, Zaragoza (+0,6%) presenta una ligera subida, mientras que Teruel (-0,9%) y Huesca (-3,0%) reflejan ajustes a la baja.</w:t>
      </w:r>
    </w:p>
    <w:p w14:paraId="7842DC94" w14:textId="77777777" w:rsidR="0069430B" w:rsidRDefault="0069430B">
      <w:pPr>
        <w:spacing w:line="276" w:lineRule="auto"/>
        <w:ind w:right="-560"/>
        <w:jc w:val="both"/>
        <w:rPr>
          <w:rFonts w:ascii="Open Sans" w:eastAsia="Open Sans" w:hAnsi="Open Sans" w:cs="Open Sans"/>
          <w:color w:val="262626"/>
          <w:sz w:val="22"/>
          <w:szCs w:val="22"/>
        </w:rPr>
      </w:pPr>
    </w:p>
    <w:p w14:paraId="3815128D" w14:textId="77777777" w:rsidR="0069430B"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bCs/>
          <w:color w:val="262626"/>
          <w:sz w:val="22"/>
          <w:szCs w:val="22"/>
        </w:rPr>
        <w:t>También se producirán caídas en grandes capitales y en los archipiélagos</w:t>
      </w:r>
      <w:r>
        <w:rPr>
          <w:rFonts w:ascii="Open Sans" w:eastAsia="Open Sans" w:hAnsi="Open Sans" w:cs="Open Sans"/>
          <w:color w:val="262626"/>
          <w:sz w:val="22"/>
          <w:szCs w:val="22"/>
        </w:rPr>
        <w:t>. Entre las grandes capitales, el índice prevé descensos en Madrid (-0,2%), mientras Barcelona permanecería estable. En Canarias, Las Palmas de Gran Canaria (0%) mantendría precios sin cambios, y Santa Cruz de Tenerife (-0,2%) registraría un ligero descenso. En otras comunidades, también se anticipan bajadas en Logroño (-0,6%), Oviedo (-0,6%), y Alicante (-1,1%).</w:t>
      </w:r>
    </w:p>
    <w:p w14:paraId="1B757D92" w14:textId="77777777" w:rsidR="0069430B" w:rsidRDefault="0069430B">
      <w:pPr>
        <w:spacing w:line="276" w:lineRule="auto"/>
        <w:ind w:right="-560"/>
        <w:jc w:val="both"/>
        <w:rPr>
          <w:rFonts w:ascii="Open Sans" w:eastAsia="Open Sans" w:hAnsi="Open Sans" w:cs="Open Sans"/>
          <w:color w:val="262626"/>
          <w:sz w:val="22"/>
          <w:szCs w:val="22"/>
        </w:rPr>
      </w:pPr>
    </w:p>
    <w:p w14:paraId="055F156C" w14:textId="77777777" w:rsidR="0069430B" w:rsidRDefault="0069430B">
      <w:pPr>
        <w:spacing w:line="276" w:lineRule="auto"/>
        <w:ind w:right="-560"/>
        <w:jc w:val="both"/>
        <w:rPr>
          <w:rFonts w:ascii="Open Sans" w:eastAsia="Open Sans" w:hAnsi="Open Sans" w:cs="Open Sans"/>
          <w:color w:val="262626"/>
          <w:sz w:val="22"/>
          <w:szCs w:val="22"/>
        </w:rPr>
      </w:pPr>
    </w:p>
    <w:p w14:paraId="2BC5795F" w14:textId="77777777" w:rsidR="0069430B" w:rsidRDefault="0069430B">
      <w:pPr>
        <w:spacing w:line="276" w:lineRule="auto"/>
        <w:ind w:right="-560"/>
        <w:jc w:val="both"/>
        <w:rPr>
          <w:rFonts w:ascii="Open Sans" w:eastAsia="Open Sans" w:hAnsi="Open Sans" w:cs="Open Sans"/>
          <w:color w:val="262626"/>
          <w:sz w:val="22"/>
          <w:szCs w:val="22"/>
        </w:rPr>
      </w:pPr>
    </w:p>
    <w:p w14:paraId="51CE00A3" w14:textId="77777777" w:rsidR="0069430B" w:rsidRDefault="00000000">
      <w:pPr>
        <w:spacing w:line="276" w:lineRule="auto"/>
        <w:ind w:right="-560"/>
        <w:jc w:val="center"/>
        <w:rPr>
          <w:rFonts w:ascii="Open Sans" w:eastAsia="Open Sans" w:hAnsi="Open Sans" w:cs="Open Sans"/>
          <w:b/>
          <w:bCs/>
          <w:color w:val="002060"/>
          <w:sz w:val="22"/>
          <w:szCs w:val="22"/>
        </w:rPr>
      </w:pPr>
      <w:r>
        <w:rPr>
          <w:rFonts w:ascii="Open Sans" w:eastAsia="Open Sans" w:hAnsi="Open Sans" w:cs="Open Sans"/>
          <w:b/>
          <w:bCs/>
          <w:color w:val="002060"/>
          <w:sz w:val="22"/>
          <w:szCs w:val="22"/>
        </w:rPr>
        <w:t>Las ciudades donde la IA prevé que bajen los precios</w:t>
      </w:r>
    </w:p>
    <w:p w14:paraId="66FB3FDC" w14:textId="77777777" w:rsidR="0069430B" w:rsidRDefault="0069430B">
      <w:pPr>
        <w:spacing w:line="276" w:lineRule="auto"/>
        <w:ind w:right="-560"/>
        <w:jc w:val="both"/>
        <w:rPr>
          <w:rFonts w:ascii="Open Sans" w:eastAsia="Open Sans" w:hAnsi="Open Sans" w:cs="Open Sans"/>
          <w:b/>
          <w:bCs/>
          <w:color w:val="002060"/>
        </w:rPr>
      </w:pPr>
    </w:p>
    <w:p w14:paraId="4FCDC22C" w14:textId="77777777" w:rsidR="0069430B" w:rsidRDefault="00000000">
      <w:pPr>
        <w:spacing w:line="276" w:lineRule="auto"/>
        <w:ind w:right="-560"/>
        <w:jc w:val="center"/>
        <w:rPr>
          <w:rFonts w:ascii="Open Sans" w:eastAsia="Open Sans" w:hAnsi="Open Sans" w:cs="Open Sans"/>
          <w:color w:val="262626"/>
          <w:sz w:val="22"/>
          <w:szCs w:val="22"/>
        </w:rPr>
      </w:pPr>
      <w:r>
        <w:rPr>
          <w:noProof/>
        </w:rPr>
        <w:drawing>
          <wp:inline distT="0" distB="0" distL="0" distR="0" wp14:anchorId="083E17C8" wp14:editId="5122FB25">
            <wp:extent cx="5396230" cy="3238500"/>
            <wp:effectExtent l="0" t="0" r="0" b="0"/>
            <wp:docPr id="1459324386" name="Gráfico 1459324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39EF75D" w14:textId="77777777" w:rsidR="0069430B" w:rsidRDefault="0069430B">
      <w:pPr>
        <w:spacing w:line="276" w:lineRule="auto"/>
        <w:ind w:right="-560"/>
        <w:jc w:val="both"/>
        <w:rPr>
          <w:rFonts w:ascii="Open Sans" w:eastAsia="Open Sans" w:hAnsi="Open Sans" w:cs="Open Sans"/>
          <w:color w:val="262626"/>
          <w:sz w:val="22"/>
          <w:szCs w:val="22"/>
        </w:rPr>
      </w:pPr>
      <w:bookmarkStart w:id="3" w:name="_heading=h.9gdom8gw4rzo" w:colFirst="0" w:colLast="0"/>
      <w:bookmarkEnd w:id="3"/>
    </w:p>
    <w:p w14:paraId="24847B69" w14:textId="77777777" w:rsidR="0069430B" w:rsidRDefault="0069430B">
      <w:pPr>
        <w:spacing w:line="276" w:lineRule="auto"/>
        <w:ind w:right="-560"/>
        <w:jc w:val="both"/>
        <w:rPr>
          <w:rFonts w:ascii="Open Sans" w:eastAsia="Open Sans" w:hAnsi="Open Sans" w:cs="Open Sans"/>
          <w:b/>
          <w:bCs/>
          <w:color w:val="262626"/>
          <w:sz w:val="22"/>
          <w:szCs w:val="22"/>
        </w:rPr>
      </w:pPr>
    </w:p>
    <w:p w14:paraId="097F2FB5" w14:textId="77777777" w:rsidR="0069430B" w:rsidRDefault="00000000">
      <w:pPr>
        <w:spacing w:line="276" w:lineRule="auto"/>
        <w:ind w:right="-560"/>
        <w:rPr>
          <w:rFonts w:ascii="Open Sans" w:eastAsia="Open Sans" w:hAnsi="Open Sans" w:cs="Open Sans"/>
          <w:b/>
          <w:bCs/>
          <w:color w:val="002060"/>
        </w:rPr>
      </w:pPr>
      <w:r>
        <w:rPr>
          <w:rFonts w:ascii="Open Sans" w:eastAsia="Open Sans" w:hAnsi="Open Sans" w:cs="Open Sans"/>
          <w:b/>
          <w:bCs/>
          <w:color w:val="002060"/>
        </w:rPr>
        <w:t xml:space="preserve">                    Variación trimestral por capitales de provincia</w:t>
      </w:r>
    </w:p>
    <w:p w14:paraId="6F55EDF2" w14:textId="77777777" w:rsidR="0069430B" w:rsidRDefault="0069430B">
      <w:pPr>
        <w:spacing w:line="276" w:lineRule="auto"/>
        <w:ind w:right="-560"/>
        <w:jc w:val="both"/>
        <w:rPr>
          <w:rFonts w:ascii="Open Sans" w:eastAsia="Open Sans" w:hAnsi="Open Sans" w:cs="Open Sans"/>
          <w:b/>
          <w:bCs/>
          <w:color w:val="262626"/>
          <w:sz w:val="22"/>
          <w:szCs w:val="22"/>
        </w:rPr>
      </w:pPr>
    </w:p>
    <w:tbl>
      <w:tblPr>
        <w:tblStyle w:val="a9"/>
        <w:tblW w:w="6515"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396"/>
        <w:gridCol w:w="3119"/>
      </w:tblGrid>
      <w:tr w:rsidR="0069430B" w14:paraId="7910F781" w14:textId="77777777" w:rsidTr="006943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4E9649C9" w14:textId="77777777" w:rsidR="0069430B" w:rsidRDefault="00000000">
            <w:pPr>
              <w:spacing w:line="276" w:lineRule="auto"/>
              <w:ind w:right="-560"/>
              <w:rPr>
                <w:rFonts w:ascii="Open Sans" w:eastAsia="Open Sans" w:hAnsi="Open Sans" w:cs="Open Sans"/>
                <w:color w:val="303AB2"/>
                <w:sz w:val="22"/>
                <w:szCs w:val="22"/>
              </w:rPr>
            </w:pPr>
            <w:bookmarkStart w:id="4" w:name="_heading=h.qjm27flvl0ts" w:colFirst="0" w:colLast="0"/>
            <w:bookmarkEnd w:id="4"/>
            <w:r>
              <w:rPr>
                <w:rFonts w:ascii="Open Sans" w:eastAsia="Open Sans" w:hAnsi="Open Sans" w:cs="Open Sans"/>
                <w:sz w:val="22"/>
                <w:szCs w:val="22"/>
              </w:rPr>
              <w:t>Capital de provincia</w:t>
            </w:r>
          </w:p>
        </w:tc>
        <w:tc>
          <w:tcPr>
            <w:tcW w:w="3119" w:type="dxa"/>
          </w:tcPr>
          <w:p w14:paraId="76997B02" w14:textId="77777777" w:rsidR="0069430B" w:rsidRDefault="00000000">
            <w:pPr>
              <w:spacing w:line="276" w:lineRule="auto"/>
              <w:ind w:right="-560"/>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303AB2"/>
                <w:sz w:val="22"/>
                <w:szCs w:val="22"/>
              </w:rPr>
            </w:pPr>
            <w:r>
              <w:rPr>
                <w:rFonts w:ascii="Open Sans" w:eastAsia="Open Sans" w:hAnsi="Open Sans" w:cs="Open Sans"/>
                <w:sz w:val="22"/>
                <w:szCs w:val="22"/>
              </w:rPr>
              <w:t>Variación tercer trimestre</w:t>
            </w:r>
          </w:p>
        </w:tc>
      </w:tr>
      <w:tr w:rsidR="0069430B" w14:paraId="02EA7B29"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1AF412C4"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 xml:space="preserve">Palma </w:t>
            </w:r>
          </w:p>
        </w:tc>
        <w:tc>
          <w:tcPr>
            <w:tcW w:w="3119" w:type="dxa"/>
          </w:tcPr>
          <w:p w14:paraId="2080A945"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7,4%</w:t>
            </w:r>
          </w:p>
        </w:tc>
      </w:tr>
      <w:tr w:rsidR="0069430B" w14:paraId="7EABA7D1"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7883851F"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 xml:space="preserve">Soria </w:t>
            </w:r>
          </w:p>
        </w:tc>
        <w:tc>
          <w:tcPr>
            <w:tcW w:w="3119" w:type="dxa"/>
          </w:tcPr>
          <w:p w14:paraId="6896DD10"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6,3%</w:t>
            </w:r>
          </w:p>
        </w:tc>
      </w:tr>
      <w:tr w:rsidR="0069430B" w14:paraId="23F672F5"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1A520A8B"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 xml:space="preserve">Salamanca </w:t>
            </w:r>
          </w:p>
        </w:tc>
        <w:tc>
          <w:tcPr>
            <w:tcW w:w="3119" w:type="dxa"/>
          </w:tcPr>
          <w:p w14:paraId="586B35A9"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6,3%</w:t>
            </w:r>
          </w:p>
        </w:tc>
      </w:tr>
      <w:tr w:rsidR="0069430B" w14:paraId="0B57FF8D"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40A4DD52"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Santander</w:t>
            </w:r>
          </w:p>
        </w:tc>
        <w:tc>
          <w:tcPr>
            <w:tcW w:w="3119" w:type="dxa"/>
          </w:tcPr>
          <w:p w14:paraId="0FCB7519"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6,2%</w:t>
            </w:r>
          </w:p>
        </w:tc>
      </w:tr>
      <w:tr w:rsidR="0069430B" w14:paraId="47BBD5D6"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49F371EE"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Burgos</w:t>
            </w:r>
          </w:p>
        </w:tc>
        <w:tc>
          <w:tcPr>
            <w:tcW w:w="3119" w:type="dxa"/>
          </w:tcPr>
          <w:p w14:paraId="1B6689A9"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4,3%</w:t>
            </w:r>
          </w:p>
        </w:tc>
      </w:tr>
      <w:tr w:rsidR="0069430B" w14:paraId="279119ED"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0C074A7D"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Cuenca</w:t>
            </w:r>
          </w:p>
        </w:tc>
        <w:tc>
          <w:tcPr>
            <w:tcW w:w="3119" w:type="dxa"/>
          </w:tcPr>
          <w:p w14:paraId="0EC1456D"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3,8%</w:t>
            </w:r>
          </w:p>
        </w:tc>
      </w:tr>
      <w:tr w:rsidR="0069430B" w14:paraId="5371F591"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049C5CD6"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León</w:t>
            </w:r>
          </w:p>
        </w:tc>
        <w:tc>
          <w:tcPr>
            <w:tcW w:w="3119" w:type="dxa"/>
          </w:tcPr>
          <w:p w14:paraId="7DA23902"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2,8%</w:t>
            </w:r>
          </w:p>
        </w:tc>
      </w:tr>
      <w:tr w:rsidR="0069430B" w14:paraId="04705794"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55E68E9F"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Lleida</w:t>
            </w:r>
          </w:p>
        </w:tc>
        <w:tc>
          <w:tcPr>
            <w:tcW w:w="3119" w:type="dxa"/>
          </w:tcPr>
          <w:p w14:paraId="08FA4687"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2,3%</w:t>
            </w:r>
          </w:p>
        </w:tc>
      </w:tr>
      <w:tr w:rsidR="0069430B" w14:paraId="589944D0"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64DC7486"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San Sebastián</w:t>
            </w:r>
          </w:p>
        </w:tc>
        <w:tc>
          <w:tcPr>
            <w:tcW w:w="3119" w:type="dxa"/>
          </w:tcPr>
          <w:p w14:paraId="786F1583"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2,3%</w:t>
            </w:r>
          </w:p>
        </w:tc>
      </w:tr>
      <w:tr w:rsidR="0069430B" w14:paraId="14446AD3"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0AF1D414"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Sevilla</w:t>
            </w:r>
          </w:p>
        </w:tc>
        <w:tc>
          <w:tcPr>
            <w:tcW w:w="3119" w:type="dxa"/>
          </w:tcPr>
          <w:p w14:paraId="7A61C80C"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1,9%</w:t>
            </w:r>
          </w:p>
        </w:tc>
      </w:tr>
      <w:tr w:rsidR="0069430B" w14:paraId="4AC9B1F1"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1FC2DAE0"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Córdoba</w:t>
            </w:r>
          </w:p>
        </w:tc>
        <w:tc>
          <w:tcPr>
            <w:tcW w:w="3119" w:type="dxa"/>
          </w:tcPr>
          <w:p w14:paraId="11537C06"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1,9%</w:t>
            </w:r>
          </w:p>
        </w:tc>
      </w:tr>
      <w:tr w:rsidR="0069430B" w14:paraId="5BE41922"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36BC5A7F"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Cáceres</w:t>
            </w:r>
          </w:p>
        </w:tc>
        <w:tc>
          <w:tcPr>
            <w:tcW w:w="3119" w:type="dxa"/>
          </w:tcPr>
          <w:p w14:paraId="72E87BD9"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1,8%</w:t>
            </w:r>
          </w:p>
        </w:tc>
      </w:tr>
      <w:tr w:rsidR="0069430B" w14:paraId="19AFCEFC"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58A51D5E"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Guadalajara</w:t>
            </w:r>
          </w:p>
        </w:tc>
        <w:tc>
          <w:tcPr>
            <w:tcW w:w="3119" w:type="dxa"/>
          </w:tcPr>
          <w:p w14:paraId="51648E31"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1,0%</w:t>
            </w:r>
          </w:p>
        </w:tc>
      </w:tr>
      <w:tr w:rsidR="0069430B" w14:paraId="29F6F5AD"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08A46394"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Granada</w:t>
            </w:r>
          </w:p>
        </w:tc>
        <w:tc>
          <w:tcPr>
            <w:tcW w:w="3119" w:type="dxa"/>
          </w:tcPr>
          <w:p w14:paraId="258CE9ED"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0,9%</w:t>
            </w:r>
          </w:p>
        </w:tc>
      </w:tr>
      <w:tr w:rsidR="0069430B" w14:paraId="06585667"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023BB9C1"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lastRenderedPageBreak/>
              <w:t>A Coruña</w:t>
            </w:r>
          </w:p>
        </w:tc>
        <w:tc>
          <w:tcPr>
            <w:tcW w:w="3119" w:type="dxa"/>
          </w:tcPr>
          <w:p w14:paraId="4851D4AA"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0,9%</w:t>
            </w:r>
          </w:p>
        </w:tc>
      </w:tr>
      <w:tr w:rsidR="0069430B" w14:paraId="631D72C7"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05F77354"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Badajoz</w:t>
            </w:r>
          </w:p>
        </w:tc>
        <w:tc>
          <w:tcPr>
            <w:tcW w:w="3119" w:type="dxa"/>
          </w:tcPr>
          <w:p w14:paraId="0110230E"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0,8%</w:t>
            </w:r>
          </w:p>
        </w:tc>
      </w:tr>
      <w:tr w:rsidR="0069430B" w14:paraId="232AEC5C"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7BC919F4"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Pontevedra</w:t>
            </w:r>
          </w:p>
        </w:tc>
        <w:tc>
          <w:tcPr>
            <w:tcW w:w="3119" w:type="dxa"/>
          </w:tcPr>
          <w:p w14:paraId="6CF58CE4"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0,7%</w:t>
            </w:r>
          </w:p>
        </w:tc>
      </w:tr>
      <w:tr w:rsidR="0069430B" w14:paraId="27418077"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40BA3DB1"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Zaragoza</w:t>
            </w:r>
          </w:p>
        </w:tc>
        <w:tc>
          <w:tcPr>
            <w:tcW w:w="3119" w:type="dxa"/>
          </w:tcPr>
          <w:p w14:paraId="43DD98F3"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0,6%</w:t>
            </w:r>
          </w:p>
        </w:tc>
      </w:tr>
      <w:tr w:rsidR="0069430B" w14:paraId="377043F3"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16EA1512"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Jaén</w:t>
            </w:r>
          </w:p>
        </w:tc>
        <w:tc>
          <w:tcPr>
            <w:tcW w:w="3119" w:type="dxa"/>
          </w:tcPr>
          <w:p w14:paraId="2D372417"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0,4%</w:t>
            </w:r>
          </w:p>
        </w:tc>
      </w:tr>
      <w:tr w:rsidR="0069430B" w14:paraId="7C5A1021"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68EB8097"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Murcia</w:t>
            </w:r>
          </w:p>
        </w:tc>
        <w:tc>
          <w:tcPr>
            <w:tcW w:w="3119" w:type="dxa"/>
          </w:tcPr>
          <w:p w14:paraId="2DB10D5A"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0,1%</w:t>
            </w:r>
          </w:p>
        </w:tc>
      </w:tr>
      <w:tr w:rsidR="0069430B" w14:paraId="7465D2A3"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2629CB69"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Ourense</w:t>
            </w:r>
          </w:p>
        </w:tc>
        <w:tc>
          <w:tcPr>
            <w:tcW w:w="3119" w:type="dxa"/>
          </w:tcPr>
          <w:p w14:paraId="2C6D33B8"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0,0%</w:t>
            </w:r>
          </w:p>
        </w:tc>
      </w:tr>
      <w:tr w:rsidR="0069430B" w14:paraId="21556C79"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014EAB48"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Albacete Ciudad</w:t>
            </w:r>
          </w:p>
        </w:tc>
        <w:tc>
          <w:tcPr>
            <w:tcW w:w="3119" w:type="dxa"/>
          </w:tcPr>
          <w:p w14:paraId="420DAA92"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0,0%</w:t>
            </w:r>
          </w:p>
        </w:tc>
      </w:tr>
      <w:tr w:rsidR="0069430B" w14:paraId="55A820DC"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652F1D32"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Vitoria Ciudad</w:t>
            </w:r>
          </w:p>
        </w:tc>
        <w:tc>
          <w:tcPr>
            <w:tcW w:w="3119" w:type="dxa"/>
          </w:tcPr>
          <w:p w14:paraId="5B7FECB1"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0,0%</w:t>
            </w:r>
          </w:p>
        </w:tc>
      </w:tr>
      <w:tr w:rsidR="0069430B" w14:paraId="09E5A515"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2E017A9B"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Valencia Ciudad</w:t>
            </w:r>
          </w:p>
        </w:tc>
        <w:tc>
          <w:tcPr>
            <w:tcW w:w="3119" w:type="dxa"/>
          </w:tcPr>
          <w:p w14:paraId="09C94841"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0,0%</w:t>
            </w:r>
          </w:p>
        </w:tc>
      </w:tr>
      <w:tr w:rsidR="0069430B" w14:paraId="38EA517E"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49FAC456"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Almería Ciudad</w:t>
            </w:r>
          </w:p>
        </w:tc>
        <w:tc>
          <w:tcPr>
            <w:tcW w:w="3119" w:type="dxa"/>
          </w:tcPr>
          <w:p w14:paraId="344AE971"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0,0%</w:t>
            </w:r>
          </w:p>
        </w:tc>
      </w:tr>
      <w:tr w:rsidR="0069430B" w14:paraId="798CC434"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10452685"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Girona Ciudad</w:t>
            </w:r>
          </w:p>
        </w:tc>
        <w:tc>
          <w:tcPr>
            <w:tcW w:w="3119" w:type="dxa"/>
          </w:tcPr>
          <w:p w14:paraId="47E36454"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0,0%</w:t>
            </w:r>
          </w:p>
        </w:tc>
      </w:tr>
      <w:tr w:rsidR="0069430B" w14:paraId="43BC88F9"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284FE8FE"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Zamora Ciudad</w:t>
            </w:r>
          </w:p>
        </w:tc>
        <w:tc>
          <w:tcPr>
            <w:tcW w:w="3119" w:type="dxa"/>
          </w:tcPr>
          <w:p w14:paraId="1CAA138B"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0,0%</w:t>
            </w:r>
          </w:p>
        </w:tc>
      </w:tr>
      <w:tr w:rsidR="0069430B" w14:paraId="7B39A4D2"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32DF8B41"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Palencia Ciudad</w:t>
            </w:r>
          </w:p>
        </w:tc>
        <w:tc>
          <w:tcPr>
            <w:tcW w:w="3119" w:type="dxa"/>
          </w:tcPr>
          <w:p w14:paraId="44EE0B70"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0,0%</w:t>
            </w:r>
          </w:p>
        </w:tc>
      </w:tr>
      <w:tr w:rsidR="0069430B" w14:paraId="4BE763F9"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6D750406"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Lugo Ciudad</w:t>
            </w:r>
          </w:p>
        </w:tc>
        <w:tc>
          <w:tcPr>
            <w:tcW w:w="3119" w:type="dxa"/>
          </w:tcPr>
          <w:p w14:paraId="3D283E36"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0,0%</w:t>
            </w:r>
          </w:p>
        </w:tc>
      </w:tr>
      <w:tr w:rsidR="0069430B" w14:paraId="3EF3842B"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06F336CE"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Pamplona Ciudad</w:t>
            </w:r>
          </w:p>
        </w:tc>
        <w:tc>
          <w:tcPr>
            <w:tcW w:w="3119" w:type="dxa"/>
          </w:tcPr>
          <w:p w14:paraId="3B8A2D2A"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0,0%</w:t>
            </w:r>
          </w:p>
        </w:tc>
      </w:tr>
      <w:tr w:rsidR="0069430B" w14:paraId="71329A83"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1F222C48"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Ciudad Real Ciudad</w:t>
            </w:r>
          </w:p>
        </w:tc>
        <w:tc>
          <w:tcPr>
            <w:tcW w:w="3119" w:type="dxa"/>
          </w:tcPr>
          <w:p w14:paraId="7D0984A5"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t>0,0%</w:t>
            </w:r>
          </w:p>
        </w:tc>
      </w:tr>
      <w:tr w:rsidR="0069430B" w14:paraId="76E5BEF5"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3D5E7512"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Castellón de la Plana Ciudad</w:t>
            </w:r>
          </w:p>
        </w:tc>
        <w:tc>
          <w:tcPr>
            <w:tcW w:w="3119" w:type="dxa"/>
          </w:tcPr>
          <w:p w14:paraId="6BBE1984"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t>0,0%</w:t>
            </w:r>
          </w:p>
        </w:tc>
      </w:tr>
      <w:tr w:rsidR="0069430B" w14:paraId="344A6B8A"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66DBAD52"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Ávila Ciudad</w:t>
            </w:r>
          </w:p>
        </w:tc>
        <w:tc>
          <w:tcPr>
            <w:tcW w:w="3119" w:type="dxa"/>
          </w:tcPr>
          <w:p w14:paraId="1495076C"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t>0,0%</w:t>
            </w:r>
          </w:p>
        </w:tc>
      </w:tr>
      <w:tr w:rsidR="0069430B" w14:paraId="16B47A47"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260C548B"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Las Palmas</w:t>
            </w:r>
          </w:p>
        </w:tc>
        <w:tc>
          <w:tcPr>
            <w:tcW w:w="3119" w:type="dxa"/>
          </w:tcPr>
          <w:p w14:paraId="42140FF1"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t>0,0%</w:t>
            </w:r>
          </w:p>
        </w:tc>
      </w:tr>
      <w:tr w:rsidR="0069430B" w14:paraId="566FDA8A"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24C3B496"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Barcelona Ciudad</w:t>
            </w:r>
          </w:p>
        </w:tc>
        <w:tc>
          <w:tcPr>
            <w:tcW w:w="3119" w:type="dxa"/>
          </w:tcPr>
          <w:p w14:paraId="02F39A37"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t>0,0%</w:t>
            </w:r>
          </w:p>
        </w:tc>
      </w:tr>
      <w:tr w:rsidR="0069430B" w14:paraId="6078450D"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1C1FC092"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Santa Cruz de T.</w:t>
            </w:r>
          </w:p>
        </w:tc>
        <w:tc>
          <w:tcPr>
            <w:tcW w:w="3119" w:type="dxa"/>
          </w:tcPr>
          <w:p w14:paraId="092B62C1"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color w:val="EE0000"/>
              </w:rPr>
              <w:t>-0,2%</w:t>
            </w:r>
          </w:p>
        </w:tc>
      </w:tr>
      <w:tr w:rsidR="0069430B" w14:paraId="29954293"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00FDF3BF"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Vigo</w:t>
            </w:r>
          </w:p>
        </w:tc>
        <w:tc>
          <w:tcPr>
            <w:tcW w:w="3119" w:type="dxa"/>
          </w:tcPr>
          <w:p w14:paraId="297C88B5"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color w:val="EE0000"/>
              </w:rPr>
              <w:t>-0,2%</w:t>
            </w:r>
          </w:p>
        </w:tc>
      </w:tr>
      <w:tr w:rsidR="0069430B" w14:paraId="346DADE1"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5E27D6EE"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Madrid</w:t>
            </w:r>
          </w:p>
        </w:tc>
        <w:tc>
          <w:tcPr>
            <w:tcW w:w="3119" w:type="dxa"/>
          </w:tcPr>
          <w:p w14:paraId="396D62A2"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color w:val="EE0000"/>
              </w:rPr>
              <w:t>-0,2%</w:t>
            </w:r>
          </w:p>
        </w:tc>
      </w:tr>
      <w:tr w:rsidR="0069430B" w14:paraId="0E15968A"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6EB46016"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Málaga</w:t>
            </w:r>
          </w:p>
        </w:tc>
        <w:tc>
          <w:tcPr>
            <w:tcW w:w="3119" w:type="dxa"/>
          </w:tcPr>
          <w:p w14:paraId="18D7138C"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color w:val="EE0000"/>
              </w:rPr>
              <w:t>-0,5%</w:t>
            </w:r>
          </w:p>
        </w:tc>
      </w:tr>
      <w:tr w:rsidR="0069430B" w14:paraId="4BEB5999"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6D3CD3D8"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Logroño</w:t>
            </w:r>
          </w:p>
        </w:tc>
        <w:tc>
          <w:tcPr>
            <w:tcW w:w="3119" w:type="dxa"/>
          </w:tcPr>
          <w:p w14:paraId="5197E9A6"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color w:val="EE0000"/>
              </w:rPr>
              <w:t>-0,6%</w:t>
            </w:r>
          </w:p>
        </w:tc>
      </w:tr>
      <w:tr w:rsidR="0069430B" w14:paraId="678AD051"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1ED929B0"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Oviedo</w:t>
            </w:r>
          </w:p>
        </w:tc>
        <w:tc>
          <w:tcPr>
            <w:tcW w:w="3119" w:type="dxa"/>
          </w:tcPr>
          <w:p w14:paraId="0C20F605"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color w:val="EE0000"/>
              </w:rPr>
              <w:t>-0,6%</w:t>
            </w:r>
          </w:p>
        </w:tc>
      </w:tr>
      <w:tr w:rsidR="0069430B" w14:paraId="2956D76E"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53669D99"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Teruel</w:t>
            </w:r>
          </w:p>
        </w:tc>
        <w:tc>
          <w:tcPr>
            <w:tcW w:w="3119" w:type="dxa"/>
          </w:tcPr>
          <w:p w14:paraId="22B8DF2F"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color w:val="EE0000"/>
              </w:rPr>
              <w:t>-0,9%</w:t>
            </w:r>
          </w:p>
        </w:tc>
      </w:tr>
      <w:tr w:rsidR="0069430B" w14:paraId="5257A690"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03936A23"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Alicante</w:t>
            </w:r>
          </w:p>
        </w:tc>
        <w:tc>
          <w:tcPr>
            <w:tcW w:w="3119" w:type="dxa"/>
          </w:tcPr>
          <w:p w14:paraId="495B65A7"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color w:val="EE0000"/>
              </w:rPr>
              <w:t>-1,1%</w:t>
            </w:r>
          </w:p>
        </w:tc>
      </w:tr>
      <w:tr w:rsidR="0069430B" w14:paraId="007AAC1F"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079DB590"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Cádiz</w:t>
            </w:r>
          </w:p>
        </w:tc>
        <w:tc>
          <w:tcPr>
            <w:tcW w:w="3119" w:type="dxa"/>
          </w:tcPr>
          <w:p w14:paraId="484B0138"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color w:val="EE0000"/>
              </w:rPr>
              <w:t>-1,5%</w:t>
            </w:r>
          </w:p>
        </w:tc>
      </w:tr>
      <w:tr w:rsidR="0069430B" w14:paraId="26EAD4F6"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7D29CE84"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Valladolid</w:t>
            </w:r>
          </w:p>
        </w:tc>
        <w:tc>
          <w:tcPr>
            <w:tcW w:w="3119" w:type="dxa"/>
          </w:tcPr>
          <w:p w14:paraId="47E49311"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color w:val="EE0000"/>
              </w:rPr>
              <w:t>-2,3%</w:t>
            </w:r>
          </w:p>
        </w:tc>
      </w:tr>
      <w:tr w:rsidR="0069430B" w14:paraId="10D3922D"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19F8966B"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Huesca</w:t>
            </w:r>
          </w:p>
        </w:tc>
        <w:tc>
          <w:tcPr>
            <w:tcW w:w="3119" w:type="dxa"/>
          </w:tcPr>
          <w:p w14:paraId="70AF516C"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color w:val="EE0000"/>
              </w:rPr>
              <w:t>-3,0%</w:t>
            </w:r>
          </w:p>
        </w:tc>
      </w:tr>
      <w:tr w:rsidR="0069430B" w14:paraId="458CB1CA"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1F9B783B"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Segovia</w:t>
            </w:r>
          </w:p>
        </w:tc>
        <w:tc>
          <w:tcPr>
            <w:tcW w:w="3119" w:type="dxa"/>
          </w:tcPr>
          <w:p w14:paraId="2A602589"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color w:val="EE0000"/>
              </w:rPr>
              <w:t>-3,4%</w:t>
            </w:r>
          </w:p>
        </w:tc>
      </w:tr>
      <w:tr w:rsidR="0069430B" w14:paraId="7879FFD5"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418D74FD"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Huelva</w:t>
            </w:r>
          </w:p>
        </w:tc>
        <w:tc>
          <w:tcPr>
            <w:tcW w:w="3119" w:type="dxa"/>
          </w:tcPr>
          <w:p w14:paraId="6ACDE93F"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color w:val="EE0000"/>
              </w:rPr>
              <w:t>-3,8%</w:t>
            </w:r>
          </w:p>
        </w:tc>
      </w:tr>
      <w:tr w:rsidR="0069430B" w14:paraId="63CD498E"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7B588895"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Bilbao</w:t>
            </w:r>
          </w:p>
        </w:tc>
        <w:tc>
          <w:tcPr>
            <w:tcW w:w="3119" w:type="dxa"/>
          </w:tcPr>
          <w:p w14:paraId="0E7CC63A"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color w:val="EE0000"/>
              </w:rPr>
              <w:t>-4,3%</w:t>
            </w:r>
          </w:p>
        </w:tc>
      </w:tr>
      <w:tr w:rsidR="0069430B" w14:paraId="3F4BA001" w14:textId="77777777" w:rsidTr="0069430B">
        <w:trPr>
          <w:jc w:val="center"/>
        </w:trPr>
        <w:tc>
          <w:tcPr>
            <w:cnfStyle w:val="001000000000" w:firstRow="0" w:lastRow="0" w:firstColumn="1" w:lastColumn="0" w:oddVBand="0" w:evenVBand="0" w:oddHBand="0" w:evenHBand="0" w:firstRowFirstColumn="0" w:firstRowLastColumn="0" w:lastRowFirstColumn="0" w:lastRowLastColumn="0"/>
            <w:tcW w:w="3396" w:type="dxa"/>
          </w:tcPr>
          <w:p w14:paraId="558BA60D"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Tarragona</w:t>
            </w:r>
          </w:p>
        </w:tc>
        <w:tc>
          <w:tcPr>
            <w:tcW w:w="3119" w:type="dxa"/>
          </w:tcPr>
          <w:p w14:paraId="696E15EA" w14:textId="77777777" w:rsidR="0069430B"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sz w:val="22"/>
                <w:szCs w:val="22"/>
              </w:rPr>
            </w:pPr>
            <w:r>
              <w:rPr>
                <w:color w:val="EE0000"/>
              </w:rPr>
              <w:t>-4,5%</w:t>
            </w:r>
          </w:p>
        </w:tc>
      </w:tr>
      <w:tr w:rsidR="0069430B" w14:paraId="7EF3C561" w14:textId="77777777" w:rsidTr="00694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6" w:type="dxa"/>
          </w:tcPr>
          <w:p w14:paraId="534612B7" w14:textId="77777777" w:rsidR="0069430B" w:rsidRDefault="00000000">
            <w:pPr>
              <w:spacing w:line="276" w:lineRule="auto"/>
              <w:ind w:right="-560"/>
              <w:jc w:val="both"/>
              <w:rPr>
                <w:rFonts w:ascii="Open Sans" w:eastAsia="Open Sans" w:hAnsi="Open Sans" w:cs="Open Sans"/>
                <w:color w:val="262626"/>
                <w:sz w:val="22"/>
                <w:szCs w:val="22"/>
              </w:rPr>
            </w:pPr>
            <w:r>
              <w:rPr>
                <w:b w:val="0"/>
                <w:bCs w:val="0"/>
              </w:rPr>
              <w:t>Toledo</w:t>
            </w:r>
          </w:p>
        </w:tc>
        <w:tc>
          <w:tcPr>
            <w:tcW w:w="3119" w:type="dxa"/>
          </w:tcPr>
          <w:p w14:paraId="4248D3D7" w14:textId="77777777" w:rsidR="0069430B"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sz w:val="22"/>
                <w:szCs w:val="22"/>
              </w:rPr>
            </w:pPr>
            <w:r>
              <w:rPr>
                <w:color w:val="EE0000"/>
              </w:rPr>
              <w:t>-7,0%</w:t>
            </w:r>
          </w:p>
        </w:tc>
      </w:tr>
    </w:tbl>
    <w:p w14:paraId="2AF216BC" w14:textId="77777777" w:rsidR="0069430B" w:rsidRDefault="00000000">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 xml:space="preserve">Sobre </w:t>
      </w:r>
      <w:proofErr w:type="spellStart"/>
      <w:r>
        <w:rPr>
          <w:rFonts w:ascii="Open Sans Light" w:eastAsia="Open Sans Light" w:hAnsi="Open Sans Light" w:cs="Open Sans Light"/>
          <w:b/>
          <w:bCs/>
          <w:color w:val="303AB2"/>
        </w:rPr>
        <w:t>DataVenues</w:t>
      </w:r>
      <w:proofErr w:type="spellEnd"/>
    </w:p>
    <w:p w14:paraId="245EE9FD" w14:textId="77777777" w:rsidR="0069430B" w:rsidRDefault="00000000">
      <w:pPr>
        <w:shd w:val="clear" w:color="auto" w:fill="FFFFFF"/>
        <w:spacing w:before="280" w:after="280" w:line="276" w:lineRule="auto"/>
        <w:ind w:right="-574"/>
        <w:jc w:val="both"/>
        <w:rPr>
          <w:rFonts w:ascii="Open Sans" w:eastAsia="Open Sans" w:hAnsi="Open Sans" w:cs="Open Sans"/>
          <w:sz w:val="22"/>
          <w:szCs w:val="22"/>
        </w:rPr>
      </w:pPr>
      <w:hyperlink r:id="rId14">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es una herramienta multiplataforma desarrollada por Fotocasa que ha cambiado la manera de acceder a la información inmobiliaria para los profesionales del sector. </w:t>
      </w:r>
      <w:hyperlink r:id="rId15">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incluye datos actualizados de cada zona tanto de oferta como de demanda, y también la valoración de los inmuebles y la evolución del precio. La información está disponible tanto de obra nueva como de segunda mano, para viviendas, garajes, trasteros, locales y oficinas. La herramienta de </w:t>
      </w:r>
      <w:proofErr w:type="spellStart"/>
      <w:r>
        <w:rPr>
          <w:rFonts w:ascii="Open Sans" w:eastAsia="Open Sans" w:hAnsi="Open Sans" w:cs="Open Sans"/>
          <w:sz w:val="22"/>
          <w:szCs w:val="22"/>
        </w:rPr>
        <w:t>DataVenues</w:t>
      </w:r>
      <w:proofErr w:type="spellEnd"/>
      <w:r>
        <w:rPr>
          <w:rFonts w:ascii="Open Sans" w:eastAsia="Open Sans" w:hAnsi="Open Sans" w:cs="Open Sans"/>
          <w:sz w:val="22"/>
          <w:szCs w:val="22"/>
        </w:rPr>
        <w:t xml:space="preserve"> incluye datos propios del </w:t>
      </w:r>
      <w:proofErr w:type="spellStart"/>
      <w:r>
        <w:rPr>
          <w:rFonts w:ascii="Open Sans" w:eastAsia="Open Sans" w:hAnsi="Open Sans" w:cs="Open Sans"/>
          <w:sz w:val="22"/>
          <w:szCs w:val="22"/>
        </w:rPr>
        <w:t>portal</w:t>
      </w:r>
      <w:proofErr w:type="spellEnd"/>
      <w:r>
        <w:rPr>
          <w:rFonts w:ascii="Open Sans" w:eastAsia="Open Sans" w:hAnsi="Open Sans" w:cs="Open Sans"/>
          <w:sz w:val="22"/>
          <w:szCs w:val="22"/>
        </w:rPr>
        <w:t xml:space="preserve"> además de datos de catastro y Google </w:t>
      </w:r>
      <w:proofErr w:type="spellStart"/>
      <w:r>
        <w:rPr>
          <w:rFonts w:ascii="Open Sans" w:eastAsia="Open Sans" w:hAnsi="Open Sans" w:cs="Open Sans"/>
          <w:sz w:val="22"/>
          <w:szCs w:val="22"/>
        </w:rPr>
        <w:t>Maps</w:t>
      </w:r>
      <w:proofErr w:type="spellEnd"/>
      <w:r>
        <w:rPr>
          <w:rFonts w:ascii="Open Sans" w:eastAsia="Open Sans" w:hAnsi="Open Sans" w:cs="Open Sans"/>
          <w:sz w:val="22"/>
          <w:szCs w:val="22"/>
        </w:rPr>
        <w:t xml:space="preserve"> y permite realizar análisis de mercado de cada zona, con datos reales y actualizados de ofertas y demanda. Es una herramienta imprescindible para captar y valorar la cartera inmobiliaria y pone el Big Data al alcance de los profesionales inmobiliarios. </w:t>
      </w:r>
    </w:p>
    <w:p w14:paraId="68435185" w14:textId="77777777" w:rsidR="0069430B" w:rsidRDefault="0069430B">
      <w:pPr>
        <w:spacing w:line="276" w:lineRule="auto"/>
        <w:ind w:right="-574"/>
        <w:jc w:val="right"/>
        <w:rPr>
          <w:rFonts w:ascii="Open Sans Light" w:eastAsia="Open Sans Light" w:hAnsi="Open Sans Light" w:cs="Open Sans Light"/>
          <w:b/>
          <w:bCs/>
          <w:color w:val="303AB2"/>
        </w:rPr>
      </w:pPr>
    </w:p>
    <w:p w14:paraId="799B4782" w14:textId="77777777" w:rsidR="0069430B" w:rsidRDefault="0069430B">
      <w:pPr>
        <w:spacing w:line="276" w:lineRule="auto"/>
        <w:ind w:right="-574"/>
        <w:jc w:val="right"/>
        <w:rPr>
          <w:rFonts w:ascii="Open Sans Light" w:eastAsia="Open Sans Light" w:hAnsi="Open Sans Light" w:cs="Open Sans Light"/>
          <w:b/>
          <w:bCs/>
          <w:color w:val="303AB2"/>
        </w:rPr>
      </w:pPr>
    </w:p>
    <w:p w14:paraId="55135184" w14:textId="77777777" w:rsidR="0069430B" w:rsidRDefault="00000000">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612B2891" w14:textId="77777777" w:rsidR="0069430B"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4FC026EE" w14:textId="77777777" w:rsidR="0069430B"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6">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19A253A7" w14:textId="77777777" w:rsidR="0069430B"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7">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036FE352" w14:textId="77777777" w:rsidR="0069430B"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8">
        <w:r>
          <w:rPr>
            <w:rFonts w:ascii="Open Sans" w:eastAsia="Open Sans" w:hAnsi="Open Sans" w:cs="Open Sans"/>
            <w:b/>
            <w:bCs/>
            <w:color w:val="0000FF"/>
            <w:sz w:val="22"/>
            <w:szCs w:val="22"/>
            <w:u w:val="single"/>
          </w:rPr>
          <w:t>Sala de Prensa</w:t>
        </w:r>
      </w:hyperlink>
    </w:p>
    <w:p w14:paraId="2EC077F0" w14:textId="77777777" w:rsidR="004E3717" w:rsidRDefault="004E3717">
      <w:pPr>
        <w:spacing w:line="276" w:lineRule="auto"/>
        <w:ind w:right="-574"/>
        <w:jc w:val="right"/>
        <w:rPr>
          <w:rFonts w:ascii="Open Sans Light" w:eastAsia="Open Sans Light" w:hAnsi="Open Sans Light" w:cs="Open Sans Light"/>
          <w:b/>
          <w:bCs/>
          <w:color w:val="303AB2"/>
        </w:rPr>
      </w:pPr>
    </w:p>
    <w:p w14:paraId="12AD29BC" w14:textId="42AAD52A" w:rsidR="0069430B" w:rsidRDefault="00000000">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1826C30D" w14:textId="77777777" w:rsidR="0069430B"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22159494" w14:textId="77777777" w:rsidR="0069430B"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Bajo su marca paraguas, Fotocasa Group impulsa y da visibilidad a un ecosistema de marcas líderes —</w:t>
      </w:r>
      <w:hyperlink r:id="rId19">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0">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1">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2">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3">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4">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30F1B6DA" w14:textId="77777777" w:rsidR="0069430B"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44008ECE" w14:textId="77777777" w:rsidR="0069430B"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647344DC" w14:textId="77777777" w:rsidR="0069430B"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35258576" w14:textId="77777777" w:rsidR="0069430B" w:rsidRDefault="0069430B">
      <w:pPr>
        <w:spacing w:line="276" w:lineRule="auto"/>
        <w:ind w:right="-574"/>
        <w:jc w:val="right"/>
        <w:rPr>
          <w:rFonts w:ascii="Open Sans" w:eastAsia="Open Sans" w:hAnsi="Open Sans" w:cs="Open Sans"/>
        </w:rPr>
      </w:pPr>
    </w:p>
    <w:p w14:paraId="7B7DDC07" w14:textId="77777777" w:rsidR="0069430B" w:rsidRDefault="00000000">
      <w:pPr>
        <w:spacing w:line="276" w:lineRule="auto"/>
        <w:ind w:right="-574"/>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266EE26B" w14:textId="77777777" w:rsidR="0069430B" w:rsidRDefault="00000000">
      <w:pPr>
        <w:shd w:val="clear" w:color="auto" w:fill="FFFFFF"/>
        <w:spacing w:line="276" w:lineRule="auto"/>
        <w:ind w:right="-574"/>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06F0EFAD" w14:textId="77777777" w:rsidR="0069430B" w:rsidRDefault="00000000">
      <w:pPr>
        <w:shd w:val="clear" w:color="auto" w:fill="FFFFFF"/>
        <w:spacing w:line="276" w:lineRule="auto"/>
        <w:ind w:right="-574"/>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64277A4A" w14:textId="77777777" w:rsidR="0069430B" w:rsidRDefault="00000000">
      <w:pPr>
        <w:shd w:val="clear" w:color="auto" w:fill="FFFFFF"/>
        <w:spacing w:line="276" w:lineRule="auto"/>
        <w:ind w:right="-574"/>
        <w:rPr>
          <w:rFonts w:ascii="Open Sans" w:eastAsia="Open Sans" w:hAnsi="Open Sans" w:cs="Open Sans"/>
          <w:sz w:val="22"/>
          <w:szCs w:val="22"/>
        </w:rPr>
      </w:pPr>
      <w:r>
        <w:rPr>
          <w:rFonts w:ascii="Open Sans" w:eastAsia="Open Sans" w:hAnsi="Open Sans" w:cs="Open Sans"/>
          <w:color w:val="000000"/>
          <w:sz w:val="22"/>
          <w:szCs w:val="22"/>
        </w:rPr>
        <w:t>620 66 29 26</w:t>
      </w:r>
    </w:p>
    <w:p w14:paraId="598B5CCC" w14:textId="77777777" w:rsidR="0069430B" w:rsidRDefault="0069430B">
      <w:pPr>
        <w:shd w:val="clear" w:color="auto" w:fill="FFFFFF"/>
        <w:spacing w:line="276" w:lineRule="auto"/>
        <w:ind w:right="-574"/>
        <w:rPr>
          <w:rFonts w:ascii="Open Sans" w:eastAsia="Open Sans" w:hAnsi="Open Sans" w:cs="Open Sans"/>
          <w:sz w:val="22"/>
          <w:szCs w:val="22"/>
        </w:rPr>
      </w:pPr>
    </w:p>
    <w:sectPr w:rsidR="0069430B">
      <w:headerReference w:type="default" r:id="rId26"/>
      <w:footerReference w:type="default" r:id="rId27"/>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90702" w14:textId="77777777" w:rsidR="008C669F" w:rsidRDefault="008C669F">
      <w:r>
        <w:separator/>
      </w:r>
    </w:p>
  </w:endnote>
  <w:endnote w:type="continuationSeparator" w:id="0">
    <w:p w14:paraId="35A25CDB" w14:textId="77777777" w:rsidR="008C669F" w:rsidRDefault="008C6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136AF5F-07DA-4D66-851C-98E58DB1A5C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20C1A26-D1FC-4639-8A74-79F7452CBE3F}"/>
    <w:embedBold r:id="rId3" w:fontKey="{13EA242D-11B8-4EF6-8DCD-1F9CEA1D951D}"/>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25AD4AFD-8F14-4E7C-913A-3AB5842D250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411AF2C7-E35D-45AE-8794-BCF0D7D1546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FDC0A66E-A2D9-487E-BF6B-744C45E9E886}"/>
    <w:embedBold r:id="rId7" w:fontKey="{9AF2E642-B831-4D7A-A3CD-E4A7400716A4}"/>
    <w:embedItalic r:id="rId8" w:fontKey="{29B09813-1039-4C8D-99F5-B072E73C2A7C}"/>
    <w:embedBoldItalic r:id="rId9" w:fontKey="{BD899E37-BD7F-4C50-8EA2-FC345F1A573A}"/>
  </w:font>
  <w:font w:name="Open Sans Light">
    <w:charset w:val="00"/>
    <w:family w:val="swiss"/>
    <w:pitch w:val="variable"/>
    <w:sig w:usb0="E00002EF" w:usb1="4000205B" w:usb2="00000028" w:usb3="00000000" w:csb0="0000019F" w:csb1="00000000"/>
    <w:embedBold r:id="rId10" w:fontKey="{153F1A92-82B6-4519-91EE-AD60A59FC4E0}"/>
  </w:font>
  <w:font w:name="Calibri Light">
    <w:panose1 w:val="020F0302020204030204"/>
    <w:charset w:val="00"/>
    <w:family w:val="swiss"/>
    <w:pitch w:val="variable"/>
    <w:sig w:usb0="E4002EFF" w:usb1="C200247B" w:usb2="00000009" w:usb3="00000000" w:csb0="000001FF" w:csb1="00000000"/>
    <w:embedRegular r:id="rId11" w:fontKey="{F8DE917F-40B3-4017-BE7B-A43E966E74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14595" w14:textId="77777777" w:rsidR="0069430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60288" behindDoc="0" locked="0" layoutInCell="1" hidden="0" allowOverlap="1" wp14:anchorId="12655024" wp14:editId="53C020FC">
          <wp:simplePos x="0" y="0"/>
          <wp:positionH relativeFrom="column">
            <wp:posOffset>-1080130</wp:posOffset>
          </wp:positionH>
          <wp:positionV relativeFrom="paragraph">
            <wp:posOffset>294640</wp:posOffset>
          </wp:positionV>
          <wp:extent cx="7670550" cy="451315"/>
          <wp:effectExtent l="0" t="0" r="0" b="0"/>
          <wp:wrapSquare wrapText="bothSides" distT="0" distB="0" distL="0" distR="0"/>
          <wp:docPr id="14593243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A972F" w14:textId="77777777" w:rsidR="008C669F" w:rsidRDefault="008C669F">
      <w:r>
        <w:separator/>
      </w:r>
    </w:p>
  </w:footnote>
  <w:footnote w:type="continuationSeparator" w:id="0">
    <w:p w14:paraId="11D14592" w14:textId="77777777" w:rsidR="008C669F" w:rsidRDefault="008C66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345A1" w14:textId="77777777" w:rsidR="0069430B"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453041C2" wp14:editId="675782A5">
          <wp:simplePos x="0" y="0"/>
          <wp:positionH relativeFrom="column">
            <wp:posOffset>-1234435</wp:posOffset>
          </wp:positionH>
          <wp:positionV relativeFrom="paragraph">
            <wp:posOffset>-239389</wp:posOffset>
          </wp:positionV>
          <wp:extent cx="2939415" cy="1019175"/>
          <wp:effectExtent l="0" t="0" r="0" b="0"/>
          <wp:wrapNone/>
          <wp:docPr id="1459324387" name="image2.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Patrón de fondo&#10;&#10;El contenido generado por IA puede ser incorrecto."/>
                  <pic:cNvPicPr preferRelativeResize="0"/>
                </pic:nvPicPr>
                <pic:blipFill>
                  <a:blip r:embed="rId1"/>
                  <a:srcRect l="-1336" r="62565"/>
                  <a:stretch>
                    <a:fillRect/>
                  </a:stretch>
                </pic:blipFill>
                <pic:spPr>
                  <a:xfrm>
                    <a:off x="0" y="0"/>
                    <a:ext cx="2939415" cy="10191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33BE59C" wp14:editId="4BE45A34">
          <wp:simplePos x="0" y="0"/>
          <wp:positionH relativeFrom="column">
            <wp:posOffset>3903345</wp:posOffset>
          </wp:positionH>
          <wp:positionV relativeFrom="paragraph">
            <wp:posOffset>-33016</wp:posOffset>
          </wp:positionV>
          <wp:extent cx="2352040" cy="895350"/>
          <wp:effectExtent l="0" t="0" r="0" b="0"/>
          <wp:wrapSquare wrapText="bothSides" distT="0" distB="0" distL="114300" distR="114300"/>
          <wp:docPr id="1459324389" name="image3.png" descr="Un dibujo de una cara feliz&#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Un dibujo de una cara feliz&#10;&#10;El contenido generado por IA puede ser incorrecto."/>
                  <pic:cNvPicPr preferRelativeResize="0"/>
                </pic:nvPicPr>
                <pic:blipFill>
                  <a:blip r:embed="rId2"/>
                  <a:srcRect/>
                  <a:stretch>
                    <a:fillRect/>
                  </a:stretch>
                </pic:blipFill>
                <pic:spPr>
                  <a:xfrm>
                    <a:off x="0" y="0"/>
                    <a:ext cx="2352040" cy="895350"/>
                  </a:xfrm>
                  <a:prstGeom prst="rect">
                    <a:avLst/>
                  </a:prstGeom>
                  <a:ln/>
                </pic:spPr>
              </pic:pic>
            </a:graphicData>
          </a:graphic>
        </wp:anchor>
      </w:drawing>
    </w:r>
  </w:p>
  <w:p w14:paraId="34831BE3" w14:textId="77777777" w:rsidR="0069430B" w:rsidRDefault="0069430B">
    <w:pPr>
      <w:pBdr>
        <w:top w:val="nil"/>
        <w:left w:val="nil"/>
        <w:bottom w:val="nil"/>
        <w:right w:val="nil"/>
        <w:between w:val="nil"/>
      </w:pBdr>
      <w:tabs>
        <w:tab w:val="center" w:pos="4252"/>
        <w:tab w:val="right" w:pos="8504"/>
      </w:tabs>
      <w:rPr>
        <w:color w:val="000000"/>
      </w:rPr>
    </w:pPr>
  </w:p>
  <w:p w14:paraId="24D1AA9C" w14:textId="77777777" w:rsidR="0069430B" w:rsidRDefault="0069430B">
    <w:pPr>
      <w:pBdr>
        <w:top w:val="nil"/>
        <w:left w:val="nil"/>
        <w:bottom w:val="nil"/>
        <w:right w:val="nil"/>
        <w:between w:val="nil"/>
      </w:pBdr>
      <w:tabs>
        <w:tab w:val="center" w:pos="4252"/>
        <w:tab w:val="right" w:pos="8504"/>
      </w:tabs>
      <w:rPr>
        <w:color w:val="000000"/>
      </w:rPr>
    </w:pPr>
  </w:p>
  <w:p w14:paraId="1A8ADFAB" w14:textId="77777777" w:rsidR="0069430B" w:rsidRDefault="0069430B">
    <w:pPr>
      <w:pBdr>
        <w:top w:val="nil"/>
        <w:left w:val="nil"/>
        <w:bottom w:val="nil"/>
        <w:right w:val="nil"/>
        <w:between w:val="nil"/>
      </w:pBdr>
      <w:tabs>
        <w:tab w:val="center" w:pos="4252"/>
        <w:tab w:val="right" w:pos="8504"/>
      </w:tabs>
      <w:rPr>
        <w:color w:val="000000"/>
      </w:rPr>
    </w:pPr>
  </w:p>
  <w:p w14:paraId="5CB3510D" w14:textId="77777777" w:rsidR="0069430B" w:rsidRDefault="0069430B">
    <w:pPr>
      <w:pBdr>
        <w:top w:val="nil"/>
        <w:left w:val="nil"/>
        <w:bottom w:val="nil"/>
        <w:right w:val="nil"/>
        <w:between w:val="nil"/>
      </w:pBdr>
      <w:tabs>
        <w:tab w:val="center" w:pos="4252"/>
        <w:tab w:val="right" w:pos="8504"/>
      </w:tabs>
      <w:rPr>
        <w:color w:val="000000"/>
      </w:rPr>
    </w:pPr>
  </w:p>
  <w:p w14:paraId="663946D2" w14:textId="77777777" w:rsidR="0069430B" w:rsidRDefault="0069430B">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C97704"/>
    <w:multiLevelType w:val="multilevel"/>
    <w:tmpl w:val="310AA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7352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30B"/>
    <w:rsid w:val="003D1CE9"/>
    <w:rsid w:val="004E3717"/>
    <w:rsid w:val="00553C85"/>
    <w:rsid w:val="0069430B"/>
    <w:rsid w:val="008C66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F7368"/>
  <w15:docId w15:val="{0F7D439D-4E88-48ED-89B0-E798091FC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9807A2"/>
    <w:rPr>
      <w:color w:val="954F72" w:themeColor="followedHyperlink"/>
      <w:u w:val="single"/>
    </w:rPr>
  </w:style>
  <w:style w:type="table" w:customStyle="1" w:styleId="a">
    <w:basedOn w:val="TableNormalb"/>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sin">
    <w:name w:val="Revision"/>
    <w:hidden/>
    <w:uiPriority w:val="99"/>
    <w:semiHidden/>
    <w:rsid w:val="006A66C4"/>
  </w:style>
  <w:style w:type="paragraph" w:styleId="Asuntodelcomentario">
    <w:name w:val="annotation subject"/>
    <w:basedOn w:val="Textocomentario"/>
    <w:next w:val="Textocomentario"/>
    <w:link w:val="AsuntodelcomentarioCar"/>
    <w:uiPriority w:val="99"/>
    <w:semiHidden/>
    <w:unhideWhenUsed/>
    <w:rsid w:val="005018AE"/>
    <w:rPr>
      <w:b/>
      <w:bCs/>
    </w:rPr>
  </w:style>
  <w:style w:type="character" w:customStyle="1" w:styleId="AsuntodelcomentarioCar">
    <w:name w:val="Asunto del comentario Car"/>
    <w:basedOn w:val="TextocomentarioCar"/>
    <w:link w:val="Asuntodelcomentario"/>
    <w:uiPriority w:val="99"/>
    <w:semiHidden/>
    <w:rsid w:val="005018AE"/>
    <w:rPr>
      <w:b/>
      <w:bCs/>
      <w:sz w:val="20"/>
      <w:szCs w:val="20"/>
    </w:rPr>
  </w:style>
  <w:style w:type="table" w:customStyle="1" w:styleId="a0">
    <w:basedOn w:val="TableNormala"/>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9"/>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9"/>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
    <w:name w:val="Table Grid"/>
    <w:basedOn w:val="Tablanormal"/>
    <w:uiPriority w:val="39"/>
    <w:rsid w:val="006E2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6E2E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4"/>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styleId="Tabladecuadrcula4">
    <w:name w:val="Grid Table 4"/>
    <w:basedOn w:val="Tablanormal"/>
    <w:uiPriority w:val="49"/>
    <w:rsid w:val="009F5C8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6">
    <w:basedOn w:val="TableNormal3"/>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7">
    <w:basedOn w:val="TableNormal2"/>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8">
    <w:basedOn w:val="TableNormal1"/>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0"/>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atavenues.com/" TargetMode="External"/><Relationship Id="rId13" Type="http://schemas.openxmlformats.org/officeDocument/2006/relationships/chart" Target="charts/chart2.xml"/><Relationship Id="rId18" Type="http://schemas.openxmlformats.org/officeDocument/2006/relationships/hyperlink" Target="http://prensa.fotocasa.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profesionales.fotocasa.es/"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research.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www.inmoweb.es/" TargetMode="External"/><Relationship Id="rId5" Type="http://schemas.openxmlformats.org/officeDocument/2006/relationships/webSettings" Target="webSettings.xml"/><Relationship Id="rId15" Type="http://schemas.openxmlformats.org/officeDocument/2006/relationships/hyperlink" Target="https://datavenues.com/" TargetMode="External"/><Relationship Id="rId23" Type="http://schemas.openxmlformats.org/officeDocument/2006/relationships/hyperlink" Target="https://get.witei.com/en/" TargetMode="External"/><Relationship Id="rId28"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www.fotocas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datavenues.com/" TargetMode="External"/><Relationship Id="rId22" Type="http://schemas.openxmlformats.org/officeDocument/2006/relationships/hyperlink" Target="https://datavenues.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f733b000be7bd91/Documents/02.%20Projectes/2026/260108_&#205;ndice%20Predictivo/results_city_2025_decemb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5f733b000be7bd91/Documents/02.%20Projectes/2026/260108_&#205;ndice%20Predictivo/results_city_2025_decembe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84000">
                  <a:srgbClr val="002060"/>
                </a:gs>
                <a:gs pos="0">
                  <a:schemeClr val="bg1"/>
                </a:gs>
              </a:gsLst>
              <a:path path="circle">
                <a:fillToRect l="50000" t="130000" r="50000" b="-30000"/>
              </a:path>
            </a:gradFill>
            <a:ln>
              <a:noFill/>
            </a:ln>
            <a:effectLst/>
          </c:spPr>
          <c:invertIfNegative val="0"/>
          <c:cat>
            <c:strRef>
              <c:f>forecast!$G$21730:$G$21887</c:f>
              <c:strCache>
                <c:ptCount val="20"/>
                <c:pt idx="0">
                  <c:v>Palma </c:v>
                </c:pt>
                <c:pt idx="1">
                  <c:v>Soria </c:v>
                </c:pt>
                <c:pt idx="2">
                  <c:v>Salamanca </c:v>
                </c:pt>
                <c:pt idx="3">
                  <c:v>Santander</c:v>
                </c:pt>
                <c:pt idx="4">
                  <c:v>Burgos</c:v>
                </c:pt>
                <c:pt idx="5">
                  <c:v>Cuenca</c:v>
                </c:pt>
                <c:pt idx="6">
                  <c:v>León</c:v>
                </c:pt>
                <c:pt idx="7">
                  <c:v>Lleida</c:v>
                </c:pt>
                <c:pt idx="8">
                  <c:v>San Sebastián</c:v>
                </c:pt>
                <c:pt idx="9">
                  <c:v>Sevilla</c:v>
                </c:pt>
                <c:pt idx="10">
                  <c:v>Córdoba</c:v>
                </c:pt>
                <c:pt idx="11">
                  <c:v>Cáceres</c:v>
                </c:pt>
                <c:pt idx="12">
                  <c:v>Guadalajara</c:v>
                </c:pt>
                <c:pt idx="13">
                  <c:v>Granada</c:v>
                </c:pt>
                <c:pt idx="14">
                  <c:v>A Coruña</c:v>
                </c:pt>
                <c:pt idx="15">
                  <c:v>Badajoz</c:v>
                </c:pt>
                <c:pt idx="16">
                  <c:v>Pontevedra</c:v>
                </c:pt>
                <c:pt idx="17">
                  <c:v>Zaragoza</c:v>
                </c:pt>
                <c:pt idx="18">
                  <c:v>Jaén</c:v>
                </c:pt>
                <c:pt idx="19">
                  <c:v>Murcia</c:v>
                </c:pt>
              </c:strCache>
            </c:strRef>
          </c:cat>
          <c:val>
            <c:numRef>
              <c:f>forecast!$O$21730:$O$21887</c:f>
              <c:numCache>
                <c:formatCode>0.0</c:formatCode>
                <c:ptCount val="20"/>
                <c:pt idx="0">
                  <c:v>7.42</c:v>
                </c:pt>
                <c:pt idx="1">
                  <c:v>6.28</c:v>
                </c:pt>
                <c:pt idx="2">
                  <c:v>6.27</c:v>
                </c:pt>
                <c:pt idx="3">
                  <c:v>6.23</c:v>
                </c:pt>
                <c:pt idx="4">
                  <c:v>4.2699999999999996</c:v>
                </c:pt>
                <c:pt idx="5">
                  <c:v>3.78</c:v>
                </c:pt>
                <c:pt idx="6">
                  <c:v>2.79</c:v>
                </c:pt>
                <c:pt idx="7">
                  <c:v>2.2999999999999998</c:v>
                </c:pt>
                <c:pt idx="8">
                  <c:v>2.27</c:v>
                </c:pt>
                <c:pt idx="9">
                  <c:v>1.93</c:v>
                </c:pt>
                <c:pt idx="10">
                  <c:v>1.93</c:v>
                </c:pt>
                <c:pt idx="11">
                  <c:v>1.82</c:v>
                </c:pt>
                <c:pt idx="12">
                  <c:v>0.99</c:v>
                </c:pt>
                <c:pt idx="13">
                  <c:v>0.93</c:v>
                </c:pt>
                <c:pt idx="14">
                  <c:v>0.85</c:v>
                </c:pt>
                <c:pt idx="15">
                  <c:v>0.79</c:v>
                </c:pt>
                <c:pt idx="16">
                  <c:v>0.68</c:v>
                </c:pt>
                <c:pt idx="17">
                  <c:v>0.55000000000000004</c:v>
                </c:pt>
                <c:pt idx="18">
                  <c:v>0.35</c:v>
                </c:pt>
                <c:pt idx="19">
                  <c:v>0.11</c:v>
                </c:pt>
              </c:numCache>
            </c:numRef>
          </c:val>
          <c:extLst>
            <c:ext xmlns:c16="http://schemas.microsoft.com/office/drawing/2014/chart" uri="{C3380CC4-5D6E-409C-BE32-E72D297353CC}">
              <c16:uniqueId val="{00000000-291F-49DD-85A9-7DB1F2E77B4F}"/>
            </c:ext>
          </c:extLst>
        </c:ser>
        <c:dLbls>
          <c:showLegendKey val="0"/>
          <c:showVal val="0"/>
          <c:showCatName val="0"/>
          <c:showSerName val="0"/>
          <c:showPercent val="0"/>
          <c:showBubbleSize val="0"/>
        </c:dLbls>
        <c:gapWidth val="219"/>
        <c:overlap val="-27"/>
        <c:axId val="939452032"/>
        <c:axId val="939469312"/>
      </c:barChart>
      <c:catAx>
        <c:axId val="93945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ca-ES"/>
          </a:p>
        </c:txPr>
        <c:crossAx val="939469312"/>
        <c:crosses val="autoZero"/>
        <c:auto val="1"/>
        <c:lblAlgn val="ctr"/>
        <c:lblOffset val="100"/>
        <c:noMultiLvlLbl val="0"/>
      </c:catAx>
      <c:valAx>
        <c:axId val="939469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ca-ES"/>
          </a:p>
        </c:txPr>
        <c:crossAx val="9394520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27000">
                  <a:srgbClr val="EA1ECD"/>
                </a:gs>
                <a:gs pos="98000">
                  <a:schemeClr val="bg1"/>
                </a:gs>
              </a:gsLst>
              <a:path path="circle">
                <a:fillToRect l="50000" t="130000" r="50000" b="-30000"/>
              </a:path>
            </a:gradFill>
            <a:ln>
              <a:noFill/>
            </a:ln>
            <a:effectLst/>
          </c:spPr>
          <c:invertIfNegative val="0"/>
          <c:cat>
            <c:strRef>
              <c:f>forecast!$G$22003:$G$22095</c:f>
              <c:strCache>
                <c:ptCount val="16"/>
                <c:pt idx="0">
                  <c:v>Santa Cruz de T.</c:v>
                </c:pt>
                <c:pt idx="1">
                  <c:v>Vigo</c:v>
                </c:pt>
                <c:pt idx="2">
                  <c:v>Madrid</c:v>
                </c:pt>
                <c:pt idx="3">
                  <c:v>Málaga</c:v>
                </c:pt>
                <c:pt idx="4">
                  <c:v>Logroño</c:v>
                </c:pt>
                <c:pt idx="5">
                  <c:v>Oviedo</c:v>
                </c:pt>
                <c:pt idx="6">
                  <c:v>Teruel</c:v>
                </c:pt>
                <c:pt idx="7">
                  <c:v>Alicante</c:v>
                </c:pt>
                <c:pt idx="8">
                  <c:v>Cádiz</c:v>
                </c:pt>
                <c:pt idx="9">
                  <c:v>Valladolid</c:v>
                </c:pt>
                <c:pt idx="10">
                  <c:v>Huesca</c:v>
                </c:pt>
                <c:pt idx="11">
                  <c:v>Segovia</c:v>
                </c:pt>
                <c:pt idx="12">
                  <c:v>Huelva</c:v>
                </c:pt>
                <c:pt idx="13">
                  <c:v>Bilbao</c:v>
                </c:pt>
                <c:pt idx="14">
                  <c:v>Tarragona</c:v>
                </c:pt>
                <c:pt idx="15">
                  <c:v>Toledo</c:v>
                </c:pt>
              </c:strCache>
            </c:strRef>
          </c:cat>
          <c:val>
            <c:numRef>
              <c:f>forecast!$O$22003:$O$22095</c:f>
              <c:numCache>
                <c:formatCode>0.0</c:formatCode>
                <c:ptCount val="16"/>
                <c:pt idx="0">
                  <c:v>-0.16</c:v>
                </c:pt>
                <c:pt idx="1">
                  <c:v>-0.17</c:v>
                </c:pt>
                <c:pt idx="2">
                  <c:v>-0.24</c:v>
                </c:pt>
                <c:pt idx="3">
                  <c:v>-0.53</c:v>
                </c:pt>
                <c:pt idx="4">
                  <c:v>-0.56000000000000005</c:v>
                </c:pt>
                <c:pt idx="5">
                  <c:v>-0.64</c:v>
                </c:pt>
                <c:pt idx="6">
                  <c:v>-0.86</c:v>
                </c:pt>
                <c:pt idx="7">
                  <c:v>-1.05</c:v>
                </c:pt>
                <c:pt idx="8">
                  <c:v>-1.48</c:v>
                </c:pt>
                <c:pt idx="9">
                  <c:v>-2.27</c:v>
                </c:pt>
                <c:pt idx="10">
                  <c:v>-2.98</c:v>
                </c:pt>
                <c:pt idx="11">
                  <c:v>-3.44</c:v>
                </c:pt>
                <c:pt idx="12">
                  <c:v>-3.84</c:v>
                </c:pt>
                <c:pt idx="13">
                  <c:v>-4.26</c:v>
                </c:pt>
                <c:pt idx="14">
                  <c:v>-4.45</c:v>
                </c:pt>
                <c:pt idx="15">
                  <c:v>-6.96</c:v>
                </c:pt>
              </c:numCache>
            </c:numRef>
          </c:val>
          <c:extLst>
            <c:ext xmlns:c16="http://schemas.microsoft.com/office/drawing/2014/chart" uri="{C3380CC4-5D6E-409C-BE32-E72D297353CC}">
              <c16:uniqueId val="{00000000-7DF8-4DFD-90ED-F737ECE83D47}"/>
            </c:ext>
          </c:extLst>
        </c:ser>
        <c:dLbls>
          <c:showLegendKey val="0"/>
          <c:showVal val="0"/>
          <c:showCatName val="0"/>
          <c:showSerName val="0"/>
          <c:showPercent val="0"/>
          <c:showBubbleSize val="0"/>
        </c:dLbls>
        <c:gapWidth val="219"/>
        <c:overlap val="-27"/>
        <c:axId val="939452032"/>
        <c:axId val="939469312"/>
      </c:barChart>
      <c:catAx>
        <c:axId val="939452032"/>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ca-ES"/>
          </a:p>
        </c:txPr>
        <c:crossAx val="939469312"/>
        <c:crosses val="autoZero"/>
        <c:auto val="1"/>
        <c:lblAlgn val="ctr"/>
        <c:lblOffset val="100"/>
        <c:noMultiLvlLbl val="0"/>
      </c:catAx>
      <c:valAx>
        <c:axId val="939469312"/>
        <c:scaling>
          <c:orientation val="minMax"/>
          <c:min val="-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ca-ES"/>
          </a:p>
        </c:txPr>
        <c:crossAx val="9394520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yIxNMSY/bpBbc/Sb9wSb74dixw==">CgMxLjAyDmguOHcyejY4eWczdmM4Mg5oLnE3Z3J1c3U2NnNneTINaC5ybnBhazgyNzZlajIOaC45Z2RvbThndzRyem8yDmgucWptMjdmbHZsMHRzOAByITEzNGl1NXRsTTNzbEE0eHdRT09rUVBpUVR0OVJUZ0hhUw==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1527</Words>
  <Characters>8404</Characters>
  <Application>Microsoft Office Word</Application>
  <DocSecurity>0</DocSecurity>
  <Lines>70</Lines>
  <Paragraphs>19</Paragraphs>
  <ScaleCrop>false</ScaleCrop>
  <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Anais Garcia Lopez</cp:lastModifiedBy>
  <cp:revision>3</cp:revision>
  <dcterms:created xsi:type="dcterms:W3CDTF">2025-07-03T08:42:00Z</dcterms:created>
  <dcterms:modified xsi:type="dcterms:W3CDTF">2026-01-26T11:08:00Z</dcterms:modified>
</cp:coreProperties>
</file>