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8336A" w14:textId="77777777" w:rsidR="00B7685C" w:rsidRDefault="00000000">
      <w:pPr>
        <w:spacing w:line="276" w:lineRule="auto"/>
        <w:ind w:right="-560"/>
        <w:jc w:val="center"/>
        <w:rPr>
          <w:rFonts w:ascii="National" w:eastAsia="National" w:hAnsi="National" w:cs="National"/>
          <w:b/>
          <w:bCs/>
          <w:color w:val="1DBDC5"/>
          <w:sz w:val="44"/>
          <w:szCs w:val="44"/>
        </w:rPr>
      </w:pPr>
      <w:r>
        <w:rPr>
          <w:rFonts w:ascii="National" w:eastAsia="National" w:hAnsi="National" w:cs="National"/>
          <w:b/>
          <w:bCs/>
          <w:color w:val="1DBDC5"/>
          <w:sz w:val="34"/>
          <w:szCs w:val="34"/>
        </w:rPr>
        <w:t xml:space="preserve">ÍNDICE PREDICTIVO DE PRECIOS </w:t>
      </w:r>
    </w:p>
    <w:p w14:paraId="0ED933B1" w14:textId="0B77048B" w:rsidR="00B7685C" w:rsidRDefault="00000000">
      <w:pPr>
        <w:ind w:right="-560"/>
        <w:jc w:val="center"/>
        <w:rPr>
          <w:rFonts w:ascii="National" w:eastAsia="National" w:hAnsi="National" w:cs="National"/>
          <w:b/>
          <w:bCs/>
          <w:color w:val="002060"/>
          <w:sz w:val="46"/>
          <w:szCs w:val="46"/>
        </w:rPr>
      </w:pPr>
      <w:r>
        <w:rPr>
          <w:rFonts w:ascii="National" w:eastAsia="National" w:hAnsi="National" w:cs="National"/>
          <w:b/>
          <w:bCs/>
          <w:color w:val="002060"/>
          <w:sz w:val="46"/>
          <w:szCs w:val="46"/>
        </w:rPr>
        <w:t>La IA prevé que Guadalajara, Salamanca y Santa Cruz de Tenerife registren las mayores subidas de precios de compraventa al cierre del primer trimestre</w:t>
      </w:r>
      <w:r w:rsidR="00640F61">
        <w:rPr>
          <w:rFonts w:ascii="National" w:eastAsia="National" w:hAnsi="National" w:cs="National"/>
          <w:b/>
          <w:bCs/>
          <w:color w:val="002060"/>
          <w:sz w:val="46"/>
          <w:szCs w:val="46"/>
        </w:rPr>
        <w:t xml:space="preserve"> de 2026</w:t>
      </w:r>
    </w:p>
    <w:p w14:paraId="3DA0BA09" w14:textId="77777777" w:rsidR="00B7685C" w:rsidRDefault="00B7685C">
      <w:pPr>
        <w:spacing w:line="276" w:lineRule="auto"/>
        <w:ind w:right="-560"/>
        <w:jc w:val="both"/>
        <w:rPr>
          <w:rFonts w:ascii="Open Sans" w:eastAsia="Open Sans" w:hAnsi="Open Sans" w:cs="Open Sans"/>
          <w:color w:val="002060"/>
        </w:rPr>
      </w:pPr>
    </w:p>
    <w:p w14:paraId="5A0DAF9A" w14:textId="77777777" w:rsidR="00B7685C"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iCs/>
          <w:color w:val="002060"/>
        </w:rPr>
        <w:t>índice predictivo de compra DataVenues</w:t>
      </w:r>
      <w:r>
        <w:rPr>
          <w:rFonts w:ascii="Open Sans" w:eastAsia="Open Sans" w:hAnsi="Open Sans" w:cs="Open Sans"/>
          <w:color w:val="002060"/>
        </w:rPr>
        <w:t xml:space="preserve"> de Fotocasa prevé subidas de precio en 33 ciudades a final de marzo de 2026</w:t>
      </w:r>
    </w:p>
    <w:p w14:paraId="5A1699F5" w14:textId="77777777" w:rsidR="00B7685C" w:rsidRDefault="00000000">
      <w:pPr>
        <w:numPr>
          <w:ilvl w:val="0"/>
          <w:numId w:val="1"/>
        </w:numPr>
        <w:spacing w:line="276" w:lineRule="auto"/>
        <w:ind w:right="-560"/>
        <w:jc w:val="both"/>
        <w:rPr>
          <w:rFonts w:ascii="Open Sans" w:eastAsia="Open Sans" w:hAnsi="Open Sans" w:cs="Open Sans"/>
          <w:color w:val="002060"/>
        </w:rPr>
      </w:pPr>
      <w:bookmarkStart w:id="0" w:name="_heading=h.a1vx1f7iwclf" w:colFirst="0" w:colLast="0"/>
      <w:bookmarkEnd w:id="0"/>
      <w:r>
        <w:rPr>
          <w:rFonts w:ascii="Open Sans" w:eastAsia="Open Sans" w:hAnsi="Open Sans" w:cs="Open Sans"/>
          <w:color w:val="002060"/>
        </w:rPr>
        <w:t>El interior y centro peninsulares capitalizará los mayores incrementos trimestrales de las valoraciones de la vivienda en propiedad</w:t>
      </w:r>
    </w:p>
    <w:p w14:paraId="301D453D" w14:textId="77777777" w:rsidR="00B7685C"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Por el contrario, las ciudades de Santander (-4,6%), Córdoba (-3,8%), y Valencia (-3,0%) experimentarán los mayores descensos de precios</w:t>
      </w:r>
    </w:p>
    <w:p w14:paraId="6DF60AF3" w14:textId="77777777" w:rsidR="00B7685C" w:rsidRDefault="00B7685C">
      <w:pPr>
        <w:spacing w:line="276" w:lineRule="auto"/>
        <w:ind w:left="360" w:right="-560"/>
        <w:jc w:val="both"/>
        <w:rPr>
          <w:rFonts w:ascii="Open Sans" w:eastAsia="Open Sans" w:hAnsi="Open Sans" w:cs="Open Sans"/>
          <w:color w:val="002060"/>
        </w:rPr>
      </w:pPr>
    </w:p>
    <w:p w14:paraId="130F0BA9" w14:textId="77777777" w:rsidR="00B7685C" w:rsidRDefault="00000000">
      <w:pPr>
        <w:spacing w:line="276" w:lineRule="auto"/>
        <w:ind w:right="-560"/>
        <w:rPr>
          <w:rFonts w:ascii="Open Sans" w:eastAsia="Open Sans" w:hAnsi="Open Sans" w:cs="Open Sans"/>
          <w:b/>
          <w:bCs/>
          <w:color w:val="002060"/>
          <w:sz w:val="22"/>
          <w:szCs w:val="22"/>
        </w:rPr>
      </w:pPr>
      <w:r>
        <w:rPr>
          <w:rFonts w:ascii="Open Sans" w:eastAsia="Open Sans" w:hAnsi="Open Sans" w:cs="Open Sans"/>
          <w:b/>
          <w:bCs/>
          <w:color w:val="002060"/>
          <w:sz w:val="22"/>
          <w:szCs w:val="22"/>
        </w:rPr>
        <w:t>Madrid, 22 de enero de 2026</w:t>
      </w:r>
    </w:p>
    <w:p w14:paraId="433EFDC7" w14:textId="77777777" w:rsidR="00B7685C" w:rsidRDefault="00B7685C">
      <w:pPr>
        <w:spacing w:line="276" w:lineRule="auto"/>
        <w:ind w:right="-560"/>
        <w:jc w:val="both"/>
        <w:rPr>
          <w:rFonts w:ascii="Open Sans" w:eastAsia="Open Sans" w:hAnsi="Open Sans" w:cs="Open Sans"/>
          <w:sz w:val="22"/>
          <w:szCs w:val="22"/>
        </w:rPr>
      </w:pPr>
    </w:p>
    <w:p w14:paraId="629A9BA6" w14:textId="77777777" w:rsidR="00B7685C"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El Índice Predictivo de compra DataVenues de Fotocasa, correspondiente al cierre del primer trimestre de 2026, anticipa una evolución desigual de los precios de la vivienda en compraventa entre las capitales de provincia españolas. </w:t>
      </w:r>
      <w:r>
        <w:rPr>
          <w:rFonts w:ascii="Open Sans" w:eastAsia="Open Sans" w:hAnsi="Open Sans" w:cs="Open Sans"/>
          <w:b/>
          <w:bCs/>
          <w:color w:val="262626"/>
          <w:sz w:val="22"/>
          <w:szCs w:val="22"/>
        </w:rPr>
        <w:t>La previsión de la herramienta apunta a incrementos trimestrales destacados 33 capitales provinciales, especialmente en varias ciudades del centro e interior peninsulares</w:t>
      </w:r>
      <w:r>
        <w:rPr>
          <w:rFonts w:ascii="Open Sans" w:eastAsia="Open Sans" w:hAnsi="Open Sans" w:cs="Open Sans"/>
          <w:color w:val="262626"/>
          <w:sz w:val="22"/>
          <w:szCs w:val="22"/>
        </w:rPr>
        <w:t xml:space="preserve">. Las subidas más intensas previstas para el primer trimestre de 2026 (es decir, comparando la evolución estimada entre 1 de enero y el 31 de marzo de 2026) se localizan principalmente en Castilla-La Mancha y Castilla y León. Guadalajara encabeza el ranking nacional con un incremento trimestral estimado del 10,1%, seguida de Salamanca (+9,5%). </w:t>
      </w:r>
    </w:p>
    <w:p w14:paraId="60521FC5" w14:textId="77777777" w:rsidR="00B7685C" w:rsidRDefault="00B7685C">
      <w:pPr>
        <w:spacing w:line="276" w:lineRule="auto"/>
        <w:ind w:right="-560"/>
        <w:jc w:val="both"/>
        <w:rPr>
          <w:rFonts w:ascii="Open Sans" w:eastAsia="Open Sans" w:hAnsi="Open Sans" w:cs="Open Sans"/>
          <w:color w:val="262626"/>
          <w:sz w:val="22"/>
          <w:szCs w:val="22"/>
        </w:rPr>
      </w:pPr>
    </w:p>
    <w:p w14:paraId="4999BB0E" w14:textId="77777777" w:rsidR="00B7685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estas mismas comunidades destacan también Valladolid (+5,2%), Burgos (+5,1%), León (+5,1%), Segovia (+2,8%), Ávila (+2,2%), Cuenca (+2,2%), Zamora (+2,0%), Ciudad Real (+1,6%), y Palencia (+0,6%), lo que refuerza el protagonismo del interior en las previsiones alcistas. </w:t>
      </w:r>
      <w:r>
        <w:rPr>
          <w:rFonts w:ascii="Open Sans" w:eastAsia="Open Sans" w:hAnsi="Open Sans" w:cs="Open Sans"/>
          <w:b/>
          <w:bCs/>
          <w:color w:val="262626"/>
          <w:sz w:val="22"/>
          <w:szCs w:val="22"/>
        </w:rPr>
        <w:t xml:space="preserve">Estas son las principales estimaciones del </w:t>
      </w:r>
      <w:r>
        <w:rPr>
          <w:rFonts w:ascii="Open Sans" w:eastAsia="Open Sans" w:hAnsi="Open Sans" w:cs="Open Sans"/>
          <w:b/>
          <w:bCs/>
          <w:i/>
          <w:iCs/>
          <w:color w:val="262626"/>
          <w:sz w:val="22"/>
          <w:szCs w:val="22"/>
        </w:rPr>
        <w:t xml:space="preserve">Índice predictivo de compra </w:t>
      </w:r>
      <w:hyperlink r:id="rId8">
        <w:r>
          <w:rPr>
            <w:rFonts w:ascii="Open Sans" w:eastAsia="Open Sans" w:hAnsi="Open Sans" w:cs="Open Sans"/>
            <w:b/>
            <w:bCs/>
            <w:i/>
            <w:iCs/>
            <w:color w:val="0000FF"/>
            <w:sz w:val="22"/>
            <w:szCs w:val="22"/>
            <w:u w:val="single"/>
          </w:rPr>
          <w:t>DataVenues</w:t>
        </w:r>
      </w:hyperlink>
      <w:r>
        <w:rPr>
          <w:rFonts w:ascii="Open Sans" w:eastAsia="Open Sans" w:hAnsi="Open Sans" w:cs="Open Sans"/>
          <w:b/>
          <w:bCs/>
          <w:color w:val="262626"/>
          <w:sz w:val="22"/>
          <w:szCs w:val="22"/>
        </w:rPr>
        <w:t> de </w:t>
      </w:r>
      <w:hyperlink r:id="rId9">
        <w:r>
          <w:rPr>
            <w:rFonts w:ascii="Open Sans" w:eastAsia="Open Sans" w:hAnsi="Open Sans" w:cs="Open Sans"/>
            <w:b/>
            <w:bCs/>
            <w:color w:val="0000FF"/>
            <w:sz w:val="22"/>
            <w:szCs w:val="22"/>
            <w:u w:val="single"/>
          </w:rPr>
          <w:t>Fotocasa</w:t>
        </w:r>
      </w:hyperlink>
      <w:r>
        <w:rPr>
          <w:rFonts w:ascii="Open Sans" w:eastAsia="Open Sans" w:hAnsi="Open Sans" w:cs="Open Sans"/>
          <w:b/>
          <w:bCs/>
          <w:color w:val="262626"/>
          <w:sz w:val="22"/>
          <w:szCs w:val="22"/>
        </w:rPr>
        <w:t xml:space="preserve">, que permite adelantarse al comportamiento del mercado y prever la evolución de los precios de la vivienda de compra a nivel trimestral. </w:t>
      </w:r>
      <w:r>
        <w:rPr>
          <w:rFonts w:ascii="Open Sans" w:eastAsia="Open Sans" w:hAnsi="Open Sans" w:cs="Open Sans"/>
          <w:color w:val="262626"/>
          <w:sz w:val="22"/>
          <w:szCs w:val="22"/>
        </w:rPr>
        <w:t xml:space="preserve">Desde enero de 2025,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29A9F6E8" w14:textId="77777777" w:rsidR="00B7685C" w:rsidRDefault="00B7685C">
      <w:pPr>
        <w:spacing w:line="276" w:lineRule="auto"/>
        <w:ind w:right="-560"/>
        <w:jc w:val="both"/>
        <w:rPr>
          <w:rFonts w:ascii="Open Sans" w:eastAsia="Open Sans" w:hAnsi="Open Sans" w:cs="Open Sans"/>
          <w:color w:val="262626"/>
          <w:sz w:val="22"/>
          <w:szCs w:val="22"/>
        </w:rPr>
      </w:pPr>
    </w:p>
    <w:p w14:paraId="7871EE8E" w14:textId="77777777" w:rsidR="00B7685C" w:rsidRDefault="00000000">
      <w:pPr>
        <w:spacing w:line="276" w:lineRule="auto"/>
        <w:ind w:right="-560"/>
        <w:jc w:val="both"/>
        <w:rPr>
          <w:rFonts w:ascii="Open Sans" w:eastAsia="Open Sans" w:hAnsi="Open Sans" w:cs="Open Sans"/>
          <w:b/>
          <w:bCs/>
          <w:color w:val="000000"/>
          <w:sz w:val="22"/>
          <w:szCs w:val="22"/>
        </w:rPr>
      </w:pPr>
      <w:bookmarkStart w:id="2" w:name="_heading=h.gmepf24w3prf" w:colFirst="0" w:colLast="0"/>
      <w:bookmarkEnd w:id="2"/>
      <w:r>
        <w:rPr>
          <w:rFonts w:ascii="Open Sans" w:eastAsia="Open Sans" w:hAnsi="Open Sans" w:cs="Open Sans"/>
          <w:color w:val="262626"/>
          <w:sz w:val="22"/>
          <w:szCs w:val="22"/>
        </w:rPr>
        <w:t xml:space="preserve">“El Índice Predictivo muestra que el mayor dinamismo de precios se desplazará hacia capitales secundarias y ciudades del interior que aún cuentan con recorrido alcista. Son mercados que en los últimos trimestres han empezado a absorber parte de la demanda que ya no puede acceder a las grandes capitales, donde los precios y el esfuerzo de compra se han elevado de forma muy significativa. Aun así, las subidas previstas para el primer trimestre se enmarcan en un escenario de crecimiento moderado. No estamos ante un nuevo ciclo expansivo, sino ante un proceso de ajuste natural del mercado, con incrementos más contenidos”, </w:t>
      </w:r>
      <w:r>
        <w:rPr>
          <w:rFonts w:ascii="Open Sans" w:eastAsia="Open Sans" w:hAnsi="Open Sans" w:cs="Open Sans"/>
          <w:b/>
          <w:bCs/>
          <w:color w:val="262626"/>
          <w:sz w:val="22"/>
          <w:szCs w:val="22"/>
        </w:rPr>
        <w:t xml:space="preserve">explica María Matos, directora de Estudios de </w:t>
      </w:r>
      <w:hyperlink r:id="rId11">
        <w:r>
          <w:rPr>
            <w:rFonts w:ascii="Open Sans" w:eastAsia="Open Sans" w:hAnsi="Open Sans" w:cs="Open Sans"/>
            <w:b/>
            <w:bCs/>
            <w:color w:val="1155CC"/>
            <w:sz w:val="22"/>
            <w:szCs w:val="22"/>
            <w:u w:val="single"/>
          </w:rPr>
          <w:t>Fotocasa</w:t>
        </w:r>
      </w:hyperlink>
      <w:r>
        <w:rPr>
          <w:rFonts w:ascii="Open Sans" w:eastAsia="Open Sans" w:hAnsi="Open Sans" w:cs="Open Sans"/>
          <w:color w:val="262626"/>
          <w:sz w:val="22"/>
          <w:szCs w:val="22"/>
        </w:rPr>
        <w:t xml:space="preserve">. </w:t>
      </w:r>
    </w:p>
    <w:p w14:paraId="45D9BA57" w14:textId="77777777" w:rsidR="00B7685C" w:rsidRDefault="00B7685C">
      <w:pPr>
        <w:spacing w:line="276" w:lineRule="auto"/>
        <w:ind w:right="-560"/>
        <w:jc w:val="both"/>
        <w:rPr>
          <w:rFonts w:ascii="Open Sans" w:eastAsia="Open Sans" w:hAnsi="Open Sans" w:cs="Open Sans"/>
          <w:b/>
          <w:bCs/>
          <w:color w:val="000000"/>
          <w:sz w:val="22"/>
          <w:szCs w:val="22"/>
        </w:rPr>
      </w:pPr>
    </w:p>
    <w:p w14:paraId="4CCE8614" w14:textId="77777777" w:rsidR="00B7685C"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Subirán los precios en 33 ciudades al cierre del primer trimestre</w:t>
      </w:r>
    </w:p>
    <w:p w14:paraId="29FA8B61" w14:textId="77777777" w:rsidR="00B7685C" w:rsidRDefault="00B7685C">
      <w:pPr>
        <w:spacing w:line="276" w:lineRule="auto"/>
        <w:ind w:right="-560"/>
        <w:jc w:val="both"/>
        <w:rPr>
          <w:rFonts w:ascii="Open Sans" w:eastAsia="Open Sans" w:hAnsi="Open Sans" w:cs="Open Sans"/>
          <w:color w:val="262626"/>
          <w:sz w:val="22"/>
          <w:szCs w:val="22"/>
        </w:rPr>
      </w:pPr>
    </w:p>
    <w:p w14:paraId="0BC1C11D" w14:textId="77777777" w:rsidR="00B7685C" w:rsidRDefault="00000000">
      <w:pPr>
        <w:spacing w:line="276" w:lineRule="auto"/>
        <w:ind w:right="-560"/>
        <w:jc w:val="both"/>
        <w:rPr>
          <w:rFonts w:ascii="Open Sans" w:eastAsia="Open Sans" w:hAnsi="Open Sans" w:cs="Open Sans"/>
          <w:color w:val="262626"/>
          <w:sz w:val="22"/>
          <w:szCs w:val="22"/>
        </w:rPr>
      </w:pPr>
      <w:bookmarkStart w:id="3" w:name="_heading=h.z83tdqvwkczi" w:colFirst="0" w:colLast="0"/>
      <w:bookmarkEnd w:id="3"/>
      <w:r>
        <w:rPr>
          <w:rFonts w:ascii="Open Sans" w:eastAsia="Open Sans" w:hAnsi="Open Sans" w:cs="Open Sans"/>
          <w:color w:val="262626"/>
          <w:sz w:val="22"/>
          <w:szCs w:val="22"/>
        </w:rPr>
        <w:t xml:space="preserve">Según la previsión del índice, el número de capitales con valores de compraventa alcistas se mantendrá en marzo en 33 ciudades, igual que en la previsión para el cierre de 2025. Además de las localidades ya mencionadas en el centro peninsular, se registrarán incrementos destacados de precios en otras zonas como Santa Cruz de Tenerife (+6,2%) o Logroño (+6,1%). Asimismo, </w:t>
      </w:r>
      <w:r>
        <w:rPr>
          <w:rFonts w:ascii="Open Sans" w:eastAsia="Open Sans" w:hAnsi="Open Sans" w:cs="Open Sans"/>
          <w:b/>
          <w:bCs/>
          <w:color w:val="262626"/>
          <w:sz w:val="22"/>
          <w:szCs w:val="22"/>
        </w:rPr>
        <w:t>el avance de precios también se extiende a Galicia, con incrementos en Ourense (+4,9%), Pontevedra (+3,9%), Lugo (+1,2%) y Vigo (+0,3%)</w:t>
      </w:r>
      <w:r>
        <w:rPr>
          <w:rFonts w:ascii="Open Sans" w:eastAsia="Open Sans" w:hAnsi="Open Sans" w:cs="Open Sans"/>
          <w:color w:val="262626"/>
          <w:sz w:val="22"/>
          <w:szCs w:val="22"/>
        </w:rPr>
        <w:t>.</w:t>
      </w:r>
    </w:p>
    <w:p w14:paraId="231A23D8" w14:textId="77777777" w:rsidR="00B7685C" w:rsidRDefault="00B7685C">
      <w:pPr>
        <w:spacing w:line="276" w:lineRule="auto"/>
        <w:ind w:right="-560"/>
        <w:jc w:val="both"/>
        <w:rPr>
          <w:rFonts w:ascii="Open Sans" w:eastAsia="Open Sans" w:hAnsi="Open Sans" w:cs="Open Sans"/>
          <w:color w:val="262626"/>
          <w:sz w:val="22"/>
          <w:szCs w:val="22"/>
        </w:rPr>
      </w:pPr>
    </w:p>
    <w:p w14:paraId="3CDDD2B0" w14:textId="77777777" w:rsidR="00B7685C" w:rsidRPr="00640F61" w:rsidRDefault="00000000">
      <w:pPr>
        <w:spacing w:line="276" w:lineRule="auto"/>
        <w:ind w:right="-560"/>
        <w:jc w:val="center"/>
        <w:rPr>
          <w:rFonts w:ascii="Open Sans" w:eastAsia="Open Sans" w:hAnsi="Open Sans" w:cs="Open Sans"/>
          <w:b/>
          <w:bCs/>
          <w:color w:val="002060"/>
          <w:sz w:val="28"/>
          <w:szCs w:val="28"/>
        </w:rPr>
      </w:pPr>
      <w:r w:rsidRPr="00640F61">
        <w:rPr>
          <w:rFonts w:ascii="Open Sans" w:eastAsia="Open Sans" w:hAnsi="Open Sans" w:cs="Open Sans"/>
          <w:b/>
          <w:bCs/>
          <w:color w:val="002060"/>
          <w:sz w:val="28"/>
          <w:szCs w:val="28"/>
        </w:rPr>
        <w:t>Ciudades en las que más subirá el precio de la vivienda en venta</w:t>
      </w:r>
    </w:p>
    <w:p w14:paraId="24E86CC7" w14:textId="77777777" w:rsidR="00B7685C" w:rsidRDefault="00000000">
      <w:pPr>
        <w:spacing w:line="276" w:lineRule="auto"/>
        <w:ind w:right="-560" w:hanging="426"/>
        <w:jc w:val="both"/>
        <w:rPr>
          <w:rFonts w:ascii="Open Sans" w:eastAsia="Open Sans" w:hAnsi="Open Sans" w:cs="Open Sans"/>
          <w:color w:val="262626"/>
          <w:sz w:val="22"/>
          <w:szCs w:val="22"/>
        </w:rPr>
      </w:pPr>
      <w:r>
        <w:rPr>
          <w:noProof/>
        </w:rPr>
        <w:drawing>
          <wp:inline distT="0" distB="0" distL="0" distR="0" wp14:anchorId="7BCD1BB1" wp14:editId="06AC5BE0">
            <wp:extent cx="5981700" cy="3067050"/>
            <wp:effectExtent l="0" t="0" r="0" b="0"/>
            <wp:docPr id="1878852428" name="Gráfico 1878852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A1C2AC" w14:textId="77777777" w:rsidR="00B7685C" w:rsidRDefault="00B7685C">
      <w:pPr>
        <w:spacing w:line="276" w:lineRule="auto"/>
        <w:ind w:right="-560"/>
        <w:jc w:val="both"/>
        <w:rPr>
          <w:rFonts w:ascii="Open Sans" w:eastAsia="Open Sans" w:hAnsi="Open Sans" w:cs="Open Sans"/>
          <w:color w:val="262626"/>
          <w:sz w:val="22"/>
          <w:szCs w:val="22"/>
        </w:rPr>
      </w:pPr>
    </w:p>
    <w:p w14:paraId="6FB5F2AF" w14:textId="77777777" w:rsidR="00B7685C" w:rsidRDefault="00B7685C">
      <w:pPr>
        <w:spacing w:line="276" w:lineRule="auto"/>
        <w:ind w:right="-560"/>
        <w:jc w:val="both"/>
        <w:rPr>
          <w:rFonts w:ascii="Open Sans" w:eastAsia="Open Sans" w:hAnsi="Open Sans" w:cs="Open Sans"/>
          <w:color w:val="262626"/>
          <w:sz w:val="22"/>
          <w:szCs w:val="22"/>
        </w:rPr>
      </w:pPr>
    </w:p>
    <w:p w14:paraId="322C183D" w14:textId="77777777" w:rsidR="00B7685C" w:rsidRDefault="00B7685C">
      <w:pPr>
        <w:spacing w:line="276" w:lineRule="auto"/>
        <w:ind w:right="-560"/>
        <w:jc w:val="both"/>
        <w:rPr>
          <w:rFonts w:ascii="Open Sans" w:eastAsia="Open Sans" w:hAnsi="Open Sans" w:cs="Open Sans"/>
          <w:color w:val="262626"/>
          <w:sz w:val="22"/>
          <w:szCs w:val="22"/>
        </w:rPr>
      </w:pPr>
    </w:p>
    <w:p w14:paraId="60AAAEF4" w14:textId="77777777" w:rsidR="00B7685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b/>
          <w:bCs/>
          <w:color w:val="262626"/>
          <w:sz w:val="22"/>
          <w:szCs w:val="22"/>
        </w:rPr>
        <w:t>En Andalucía, la previsión anticipa subidas en Jaén (+4,6%), Sevilla (+4,0%), Huelva (+2,8%), Málaga (+2,2%) y Granada (+1,2%)</w:t>
      </w:r>
      <w:r>
        <w:rPr>
          <w:rFonts w:ascii="Open Sans" w:eastAsia="Open Sans" w:hAnsi="Open Sans" w:cs="Open Sans"/>
          <w:color w:val="262626"/>
          <w:sz w:val="22"/>
          <w:szCs w:val="22"/>
        </w:rPr>
        <w:t>. En el Principado de Asturias, Oviedo suma un 4,2%, mientras que Aragón presenta incrementos en Zaragoza (+4,1%) y Huesca (+2,6%). También se prevén avances en Extremadura, con Cáceres (+3,1%) y Badajoz (+2,4%) subiendo a nivel trimestral. En Baleares, Palma registrará un aumento del 3,1%, mientras que, en la Comunidad Valenciana, se estima un repunte de precios en Castellón de la Plana (+2,2%). Por su lado, Murcia capital registrará un aumento del 1,9%, y la ciudad de Madrid presentará igualmente una subida trimestral estimada del 1,9%. Por último, en el País Vasco, avanzan San Sebastián (+1,4%) y Vitoria (+0,6%).</w:t>
      </w:r>
    </w:p>
    <w:p w14:paraId="0F06BBD5" w14:textId="77777777" w:rsidR="00B7685C" w:rsidRDefault="00B7685C">
      <w:pPr>
        <w:spacing w:line="276" w:lineRule="auto"/>
        <w:ind w:right="-560"/>
        <w:jc w:val="both"/>
        <w:rPr>
          <w:rFonts w:ascii="Open Sans" w:eastAsia="Open Sans" w:hAnsi="Open Sans" w:cs="Open Sans"/>
          <w:b/>
          <w:bCs/>
          <w:color w:val="002060"/>
        </w:rPr>
      </w:pPr>
      <w:bookmarkStart w:id="4" w:name="_heading=h.smoqfr7jl9xh" w:colFirst="0" w:colLast="0"/>
      <w:bookmarkEnd w:id="4"/>
    </w:p>
    <w:p w14:paraId="10609128" w14:textId="77777777" w:rsidR="00B7685C"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Bajadas previstas en el norte y el arco mediterráneo</w:t>
      </w:r>
    </w:p>
    <w:p w14:paraId="63AD568A" w14:textId="77777777" w:rsidR="00B7685C" w:rsidRDefault="00B7685C">
      <w:pPr>
        <w:spacing w:line="276" w:lineRule="auto"/>
        <w:ind w:right="-560"/>
        <w:jc w:val="both"/>
        <w:rPr>
          <w:rFonts w:ascii="Open Sans" w:eastAsia="Open Sans" w:hAnsi="Open Sans" w:cs="Open Sans"/>
          <w:color w:val="262626"/>
          <w:sz w:val="22"/>
          <w:szCs w:val="22"/>
        </w:rPr>
      </w:pPr>
    </w:p>
    <w:p w14:paraId="0BDDD004" w14:textId="77777777" w:rsidR="00B7685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el extremo opuesto, </w:t>
      </w:r>
      <w:r>
        <w:rPr>
          <w:rFonts w:ascii="Open Sans" w:eastAsia="Open Sans" w:hAnsi="Open Sans" w:cs="Open Sans"/>
          <w:b/>
          <w:bCs/>
          <w:color w:val="262626"/>
          <w:sz w:val="22"/>
          <w:szCs w:val="22"/>
        </w:rPr>
        <w:t>el índice anticipa descensos trimestrales en varias capitales, con especial incidencia en el arco cantábrico, el litoral mediterráneo y parte de Andalucía</w:t>
      </w:r>
      <w:r>
        <w:rPr>
          <w:rFonts w:ascii="Open Sans" w:eastAsia="Open Sans" w:hAnsi="Open Sans" w:cs="Open Sans"/>
          <w:color w:val="262626"/>
          <w:sz w:val="22"/>
          <w:szCs w:val="22"/>
        </w:rPr>
        <w:t>. Así pues, Santander lidera las bajadas previstas con un 4,6%, seguida de Córdoba (-3,8%) y Valencia (-3,0%). En Galicia, A Coruña presenta una caída estimada del 2,5%, mientras que en Castilla-La Mancha, Albacete registra un descenso del 1,3%. En Cataluña, Barcelona muestra un ajuste a la baja del 1,1%, y en la Comunidad Valenciana, Alicante alcanza una disminución del 1,5%. Las previsiones también apuntan a descensos más moderados en Andalucía, como sería el caso de Cádiz (-0,8%), y en Navarra, con descensos en Pamplona (-0,4%). En Canarias, Las Palmas de Gran Canaria presenta una leve corrección del 0,1%.</w:t>
      </w:r>
    </w:p>
    <w:p w14:paraId="5781E1CC" w14:textId="77777777" w:rsidR="00B7685C" w:rsidRDefault="00B7685C">
      <w:pPr>
        <w:spacing w:line="276" w:lineRule="auto"/>
        <w:ind w:right="-560"/>
        <w:jc w:val="both"/>
        <w:rPr>
          <w:rFonts w:ascii="Open Sans" w:eastAsia="Open Sans" w:hAnsi="Open Sans" w:cs="Open Sans"/>
          <w:color w:val="262626"/>
          <w:sz w:val="22"/>
          <w:szCs w:val="22"/>
        </w:rPr>
      </w:pPr>
    </w:p>
    <w:p w14:paraId="2CC03FBA" w14:textId="77777777" w:rsidR="00B7685C" w:rsidRPr="00640F61" w:rsidRDefault="00000000">
      <w:pPr>
        <w:spacing w:line="276" w:lineRule="auto"/>
        <w:ind w:right="-560"/>
        <w:jc w:val="center"/>
        <w:rPr>
          <w:rFonts w:ascii="Open Sans" w:eastAsia="Open Sans" w:hAnsi="Open Sans" w:cs="Open Sans"/>
          <w:b/>
          <w:bCs/>
          <w:color w:val="002060"/>
          <w:sz w:val="28"/>
          <w:szCs w:val="28"/>
        </w:rPr>
      </w:pPr>
      <w:r w:rsidRPr="00640F61">
        <w:rPr>
          <w:rFonts w:ascii="Open Sans" w:eastAsia="Open Sans" w:hAnsi="Open Sans" w:cs="Open Sans"/>
          <w:b/>
          <w:bCs/>
          <w:color w:val="002060"/>
          <w:sz w:val="28"/>
          <w:szCs w:val="28"/>
        </w:rPr>
        <w:t>Ciudades en las que más bajará el precio de la vivienda en venta</w:t>
      </w:r>
    </w:p>
    <w:p w14:paraId="64D41DFC" w14:textId="6FF60EED" w:rsidR="00B7685C"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1D4D5C8B" wp14:editId="3BE414DE">
            <wp:extent cx="5686425" cy="2466975"/>
            <wp:effectExtent l="0" t="0" r="0" b="0"/>
            <wp:docPr id="1878852429" name="Gráfico 1878852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8F4243" w14:textId="77777777" w:rsidR="00B7685C" w:rsidRDefault="00B7685C">
      <w:pPr>
        <w:spacing w:line="276" w:lineRule="auto"/>
        <w:ind w:right="-560"/>
        <w:jc w:val="both"/>
        <w:rPr>
          <w:rFonts w:ascii="Open Sans" w:eastAsia="Open Sans" w:hAnsi="Open Sans" w:cs="Open Sans"/>
          <w:color w:val="262626"/>
          <w:sz w:val="22"/>
          <w:szCs w:val="22"/>
        </w:rPr>
      </w:pPr>
    </w:p>
    <w:p w14:paraId="6AEDC586" w14:textId="77777777" w:rsidR="00B7685C"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Igualmente, </w:t>
      </w:r>
      <w:r>
        <w:rPr>
          <w:rFonts w:ascii="Open Sans" w:eastAsia="Open Sans" w:hAnsi="Open Sans" w:cs="Open Sans"/>
          <w:b/>
          <w:bCs/>
          <w:color w:val="262626"/>
          <w:sz w:val="22"/>
          <w:szCs w:val="22"/>
        </w:rPr>
        <w:t>el modelo predictivo estima una variación trimestral nula en ocho capitales de provincia</w:t>
      </w:r>
      <w:r>
        <w:rPr>
          <w:rFonts w:ascii="Open Sans" w:eastAsia="Open Sans" w:hAnsi="Open Sans" w:cs="Open Sans"/>
          <w:color w:val="262626"/>
          <w:sz w:val="22"/>
          <w:szCs w:val="22"/>
        </w:rPr>
        <w:t>. En Cataluña, se mantendrían sin cambios Tarragona, Lleida y Girona, mientras que en Castilla-La Mancha ocurrirá lo mismo con Toledo. En Castilla y León, Soria; en Aragón, Teruel; y en Andalucía, Almería, no registrarán cambios en los precios de compraventa de viviendas. A estas se suma Bilbao, en el País Vasco, que también registra una previsión de estabilidad en el periodo.</w:t>
      </w:r>
    </w:p>
    <w:p w14:paraId="4D404FA9" w14:textId="77777777" w:rsidR="00B7685C" w:rsidRDefault="00B7685C">
      <w:pPr>
        <w:spacing w:line="276" w:lineRule="auto"/>
        <w:ind w:right="-560"/>
        <w:jc w:val="both"/>
        <w:rPr>
          <w:rFonts w:ascii="Open Sans" w:eastAsia="Open Sans" w:hAnsi="Open Sans" w:cs="Open Sans"/>
          <w:b/>
          <w:bCs/>
          <w:color w:val="262626"/>
          <w:sz w:val="22"/>
          <w:szCs w:val="22"/>
        </w:rPr>
      </w:pPr>
    </w:p>
    <w:p w14:paraId="373CD5BF" w14:textId="77777777" w:rsidR="00B7685C" w:rsidRDefault="00000000">
      <w:pPr>
        <w:spacing w:line="276" w:lineRule="auto"/>
        <w:ind w:right="-560"/>
        <w:rPr>
          <w:rFonts w:ascii="Open Sans" w:eastAsia="Open Sans" w:hAnsi="Open Sans" w:cs="Open Sans"/>
          <w:b/>
          <w:bCs/>
          <w:color w:val="002060"/>
        </w:rPr>
      </w:pPr>
      <w:r>
        <w:rPr>
          <w:rFonts w:ascii="Open Sans" w:eastAsia="Open Sans" w:hAnsi="Open Sans" w:cs="Open Sans"/>
          <w:b/>
          <w:bCs/>
          <w:color w:val="002060"/>
        </w:rPr>
        <w:t xml:space="preserve">                    Variación trimestral por capitales de provincia</w:t>
      </w:r>
    </w:p>
    <w:p w14:paraId="33E0C193" w14:textId="77777777" w:rsidR="00B7685C" w:rsidRDefault="00B7685C">
      <w:pPr>
        <w:spacing w:line="276" w:lineRule="auto"/>
        <w:ind w:right="-560"/>
        <w:jc w:val="both"/>
        <w:rPr>
          <w:rFonts w:ascii="Open Sans" w:eastAsia="Open Sans" w:hAnsi="Open Sans" w:cs="Open Sans"/>
          <w:b/>
          <w:bCs/>
          <w:color w:val="262626"/>
          <w:sz w:val="22"/>
          <w:szCs w:val="22"/>
        </w:rPr>
      </w:pPr>
    </w:p>
    <w:tbl>
      <w:tblPr>
        <w:tblStyle w:val="a8"/>
        <w:tblW w:w="694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3543"/>
      </w:tblGrid>
      <w:tr w:rsidR="00B7685C" w14:paraId="5CC9BC05" w14:textId="77777777" w:rsidTr="00B768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06EFF4A" w14:textId="77777777" w:rsidR="00B7685C"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3543" w:type="dxa"/>
          </w:tcPr>
          <w:p w14:paraId="4D44A062" w14:textId="77777777" w:rsidR="00B7685C"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1º trimestre</w:t>
            </w:r>
          </w:p>
        </w:tc>
      </w:tr>
      <w:tr w:rsidR="00B7685C" w14:paraId="588E8518"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23F05A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Guadalajara</w:t>
            </w:r>
          </w:p>
        </w:tc>
        <w:tc>
          <w:tcPr>
            <w:tcW w:w="3543" w:type="dxa"/>
            <w:vAlign w:val="bottom"/>
          </w:tcPr>
          <w:p w14:paraId="06C8987C"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10,1%</w:t>
            </w:r>
          </w:p>
        </w:tc>
      </w:tr>
      <w:tr w:rsidR="00B7685C" w14:paraId="64FF8ABC"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E94BE7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Salamanca</w:t>
            </w:r>
          </w:p>
        </w:tc>
        <w:tc>
          <w:tcPr>
            <w:tcW w:w="3543" w:type="dxa"/>
            <w:vAlign w:val="bottom"/>
          </w:tcPr>
          <w:p w14:paraId="5B5B9F6A"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9,5%</w:t>
            </w:r>
          </w:p>
        </w:tc>
      </w:tr>
      <w:tr w:rsidR="00B7685C" w14:paraId="0252DF2A"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A7A3759"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Santa Cruz de T.</w:t>
            </w:r>
          </w:p>
        </w:tc>
        <w:tc>
          <w:tcPr>
            <w:tcW w:w="3543" w:type="dxa"/>
            <w:vAlign w:val="bottom"/>
          </w:tcPr>
          <w:p w14:paraId="7DAA1E21"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6,2%</w:t>
            </w:r>
          </w:p>
        </w:tc>
      </w:tr>
      <w:tr w:rsidR="00B7685C" w14:paraId="49CDF66B"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047F572" w14:textId="77777777" w:rsidR="00B7685C" w:rsidRDefault="00000000">
            <w:pPr>
              <w:spacing w:line="276" w:lineRule="auto"/>
              <w:ind w:right="-560"/>
              <w:jc w:val="both"/>
              <w:rPr>
                <w:rFonts w:ascii="Open Sans" w:eastAsia="Open Sans" w:hAnsi="Open Sans" w:cs="Open Sans"/>
                <w:color w:val="262626"/>
              </w:rPr>
            </w:pPr>
            <w:r>
              <w:rPr>
                <w:b w:val="0"/>
                <w:bCs w:val="0"/>
                <w:color w:val="000000"/>
              </w:rPr>
              <w:t>Logroño</w:t>
            </w:r>
          </w:p>
        </w:tc>
        <w:tc>
          <w:tcPr>
            <w:tcW w:w="3543" w:type="dxa"/>
            <w:vAlign w:val="bottom"/>
          </w:tcPr>
          <w:p w14:paraId="239FF02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6,1%</w:t>
            </w:r>
          </w:p>
        </w:tc>
      </w:tr>
      <w:tr w:rsidR="00B7685C" w14:paraId="3E14F1CB"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D733B50" w14:textId="77777777" w:rsidR="00B7685C" w:rsidRDefault="00000000">
            <w:pPr>
              <w:spacing w:line="276" w:lineRule="auto"/>
              <w:ind w:right="-560"/>
              <w:jc w:val="both"/>
              <w:rPr>
                <w:rFonts w:ascii="Open Sans" w:eastAsia="Open Sans" w:hAnsi="Open Sans" w:cs="Open Sans"/>
                <w:color w:val="262626"/>
              </w:rPr>
            </w:pPr>
            <w:r>
              <w:rPr>
                <w:b w:val="0"/>
                <w:bCs w:val="0"/>
                <w:color w:val="000000"/>
              </w:rPr>
              <w:t>Valladolid</w:t>
            </w:r>
          </w:p>
        </w:tc>
        <w:tc>
          <w:tcPr>
            <w:tcW w:w="3543" w:type="dxa"/>
            <w:vAlign w:val="bottom"/>
          </w:tcPr>
          <w:p w14:paraId="48B7611A"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5,2%</w:t>
            </w:r>
          </w:p>
        </w:tc>
      </w:tr>
      <w:tr w:rsidR="00B7685C" w14:paraId="001E54A5"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48CE04C" w14:textId="77777777" w:rsidR="00B7685C" w:rsidRDefault="00000000">
            <w:pPr>
              <w:spacing w:line="276" w:lineRule="auto"/>
              <w:ind w:right="-560"/>
              <w:jc w:val="both"/>
              <w:rPr>
                <w:rFonts w:ascii="Open Sans" w:eastAsia="Open Sans" w:hAnsi="Open Sans" w:cs="Open Sans"/>
                <w:color w:val="262626"/>
              </w:rPr>
            </w:pPr>
            <w:r>
              <w:rPr>
                <w:b w:val="0"/>
                <w:bCs w:val="0"/>
                <w:color w:val="000000"/>
              </w:rPr>
              <w:t>Burgos</w:t>
            </w:r>
          </w:p>
        </w:tc>
        <w:tc>
          <w:tcPr>
            <w:tcW w:w="3543" w:type="dxa"/>
            <w:vAlign w:val="bottom"/>
          </w:tcPr>
          <w:p w14:paraId="6B859E7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5,1%</w:t>
            </w:r>
          </w:p>
        </w:tc>
      </w:tr>
      <w:tr w:rsidR="00B7685C" w14:paraId="376EF423"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A1DDA3" w14:textId="77777777" w:rsidR="00B7685C" w:rsidRDefault="00000000">
            <w:pPr>
              <w:spacing w:line="276" w:lineRule="auto"/>
              <w:ind w:right="-560"/>
              <w:jc w:val="both"/>
              <w:rPr>
                <w:rFonts w:ascii="Open Sans" w:eastAsia="Open Sans" w:hAnsi="Open Sans" w:cs="Open Sans"/>
                <w:color w:val="262626"/>
              </w:rPr>
            </w:pPr>
            <w:r>
              <w:rPr>
                <w:b w:val="0"/>
                <w:bCs w:val="0"/>
                <w:color w:val="000000"/>
              </w:rPr>
              <w:t>León</w:t>
            </w:r>
          </w:p>
        </w:tc>
        <w:tc>
          <w:tcPr>
            <w:tcW w:w="3543" w:type="dxa"/>
            <w:vAlign w:val="bottom"/>
          </w:tcPr>
          <w:p w14:paraId="2AC089B0"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5,1%</w:t>
            </w:r>
          </w:p>
        </w:tc>
      </w:tr>
      <w:tr w:rsidR="00B7685C" w14:paraId="201430B2"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698BC54" w14:textId="77777777" w:rsidR="00B7685C" w:rsidRDefault="00000000">
            <w:pPr>
              <w:spacing w:line="276" w:lineRule="auto"/>
              <w:ind w:right="-560"/>
              <w:jc w:val="both"/>
              <w:rPr>
                <w:rFonts w:ascii="Open Sans" w:eastAsia="Open Sans" w:hAnsi="Open Sans" w:cs="Open Sans"/>
                <w:color w:val="262626"/>
              </w:rPr>
            </w:pPr>
            <w:r>
              <w:rPr>
                <w:b w:val="0"/>
                <w:bCs w:val="0"/>
                <w:color w:val="000000"/>
              </w:rPr>
              <w:t>Ourense</w:t>
            </w:r>
          </w:p>
        </w:tc>
        <w:tc>
          <w:tcPr>
            <w:tcW w:w="3543" w:type="dxa"/>
            <w:vAlign w:val="bottom"/>
          </w:tcPr>
          <w:p w14:paraId="1C7DC5A6"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4,9%</w:t>
            </w:r>
          </w:p>
        </w:tc>
      </w:tr>
      <w:tr w:rsidR="00B7685C" w14:paraId="708C03BE"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19CE9C4" w14:textId="77777777" w:rsidR="00B7685C" w:rsidRDefault="00000000">
            <w:pPr>
              <w:spacing w:line="276" w:lineRule="auto"/>
              <w:ind w:right="-560"/>
              <w:jc w:val="both"/>
              <w:rPr>
                <w:rFonts w:ascii="Open Sans" w:eastAsia="Open Sans" w:hAnsi="Open Sans" w:cs="Open Sans"/>
                <w:color w:val="262626"/>
              </w:rPr>
            </w:pPr>
            <w:r>
              <w:rPr>
                <w:b w:val="0"/>
                <w:bCs w:val="0"/>
                <w:color w:val="000000"/>
              </w:rPr>
              <w:t>Jaén</w:t>
            </w:r>
          </w:p>
        </w:tc>
        <w:tc>
          <w:tcPr>
            <w:tcW w:w="3543" w:type="dxa"/>
            <w:vAlign w:val="bottom"/>
          </w:tcPr>
          <w:p w14:paraId="3BC0DA85"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4,6%</w:t>
            </w:r>
          </w:p>
        </w:tc>
      </w:tr>
      <w:tr w:rsidR="00B7685C" w14:paraId="197E3814"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67891A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Oviedo</w:t>
            </w:r>
          </w:p>
        </w:tc>
        <w:tc>
          <w:tcPr>
            <w:tcW w:w="3543" w:type="dxa"/>
            <w:vAlign w:val="bottom"/>
          </w:tcPr>
          <w:p w14:paraId="1A787070"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4,2%</w:t>
            </w:r>
          </w:p>
        </w:tc>
      </w:tr>
      <w:tr w:rsidR="00B7685C" w14:paraId="5328B8A9"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3A245F" w14:textId="77777777" w:rsidR="00B7685C" w:rsidRDefault="00000000">
            <w:pPr>
              <w:spacing w:line="276" w:lineRule="auto"/>
              <w:ind w:right="-560"/>
              <w:jc w:val="both"/>
              <w:rPr>
                <w:rFonts w:ascii="Open Sans" w:eastAsia="Open Sans" w:hAnsi="Open Sans" w:cs="Open Sans"/>
                <w:color w:val="262626"/>
              </w:rPr>
            </w:pPr>
            <w:r>
              <w:rPr>
                <w:b w:val="0"/>
                <w:bCs w:val="0"/>
                <w:color w:val="000000"/>
              </w:rPr>
              <w:t>Zaragoza</w:t>
            </w:r>
          </w:p>
        </w:tc>
        <w:tc>
          <w:tcPr>
            <w:tcW w:w="3543" w:type="dxa"/>
            <w:vAlign w:val="bottom"/>
          </w:tcPr>
          <w:p w14:paraId="43920077"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4,1%</w:t>
            </w:r>
          </w:p>
        </w:tc>
      </w:tr>
      <w:tr w:rsidR="00B7685C" w14:paraId="08BCD0E9"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4106A8"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Sevilla</w:t>
            </w:r>
          </w:p>
        </w:tc>
        <w:tc>
          <w:tcPr>
            <w:tcW w:w="3543" w:type="dxa"/>
            <w:vAlign w:val="bottom"/>
          </w:tcPr>
          <w:p w14:paraId="45A93E03"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4,0%</w:t>
            </w:r>
          </w:p>
        </w:tc>
      </w:tr>
      <w:tr w:rsidR="00B7685C" w14:paraId="2FC4D4C6"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EA729A0" w14:textId="77777777" w:rsidR="00B7685C" w:rsidRDefault="00000000">
            <w:pPr>
              <w:spacing w:line="276" w:lineRule="auto"/>
              <w:ind w:right="-560"/>
              <w:jc w:val="both"/>
              <w:rPr>
                <w:rFonts w:ascii="Open Sans" w:eastAsia="Open Sans" w:hAnsi="Open Sans" w:cs="Open Sans"/>
                <w:color w:val="262626"/>
              </w:rPr>
            </w:pPr>
            <w:r>
              <w:rPr>
                <w:b w:val="0"/>
                <w:bCs w:val="0"/>
                <w:color w:val="000000"/>
              </w:rPr>
              <w:t>Pontevedra</w:t>
            </w:r>
          </w:p>
        </w:tc>
        <w:tc>
          <w:tcPr>
            <w:tcW w:w="3543" w:type="dxa"/>
            <w:vAlign w:val="bottom"/>
          </w:tcPr>
          <w:p w14:paraId="7DF4B4B1"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3,9%</w:t>
            </w:r>
          </w:p>
        </w:tc>
      </w:tr>
      <w:tr w:rsidR="00B7685C" w14:paraId="22612736"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D238E1E" w14:textId="77777777" w:rsidR="00B7685C" w:rsidRDefault="00000000">
            <w:pPr>
              <w:spacing w:line="276" w:lineRule="auto"/>
              <w:ind w:right="-560"/>
              <w:jc w:val="both"/>
              <w:rPr>
                <w:rFonts w:ascii="Open Sans" w:eastAsia="Open Sans" w:hAnsi="Open Sans" w:cs="Open Sans"/>
                <w:color w:val="262626"/>
              </w:rPr>
            </w:pPr>
            <w:r>
              <w:rPr>
                <w:b w:val="0"/>
                <w:bCs w:val="0"/>
                <w:color w:val="000000"/>
              </w:rPr>
              <w:t>Cáceres</w:t>
            </w:r>
          </w:p>
        </w:tc>
        <w:tc>
          <w:tcPr>
            <w:tcW w:w="3543" w:type="dxa"/>
            <w:vAlign w:val="bottom"/>
          </w:tcPr>
          <w:p w14:paraId="480FD4BD"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3,1%</w:t>
            </w:r>
          </w:p>
        </w:tc>
      </w:tr>
      <w:tr w:rsidR="00B7685C" w14:paraId="508054F5"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42A003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Palma</w:t>
            </w:r>
          </w:p>
        </w:tc>
        <w:tc>
          <w:tcPr>
            <w:tcW w:w="3543" w:type="dxa"/>
            <w:vAlign w:val="bottom"/>
          </w:tcPr>
          <w:p w14:paraId="5A56D6EE"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3,1%</w:t>
            </w:r>
          </w:p>
        </w:tc>
      </w:tr>
      <w:tr w:rsidR="00B7685C" w14:paraId="132BB199"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6481571"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Segovia</w:t>
            </w:r>
          </w:p>
        </w:tc>
        <w:tc>
          <w:tcPr>
            <w:tcW w:w="3543" w:type="dxa"/>
            <w:vAlign w:val="bottom"/>
          </w:tcPr>
          <w:p w14:paraId="766B731A"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2,8%</w:t>
            </w:r>
          </w:p>
        </w:tc>
      </w:tr>
      <w:tr w:rsidR="00B7685C" w14:paraId="31AE621E"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48E585" w14:textId="77777777" w:rsidR="00B7685C" w:rsidRDefault="00000000">
            <w:pPr>
              <w:spacing w:line="276" w:lineRule="auto"/>
              <w:ind w:right="-560"/>
              <w:jc w:val="both"/>
              <w:rPr>
                <w:rFonts w:ascii="Open Sans" w:eastAsia="Open Sans" w:hAnsi="Open Sans" w:cs="Open Sans"/>
                <w:color w:val="262626"/>
              </w:rPr>
            </w:pPr>
            <w:r>
              <w:rPr>
                <w:b w:val="0"/>
                <w:bCs w:val="0"/>
                <w:color w:val="000000"/>
              </w:rPr>
              <w:t>Huelva</w:t>
            </w:r>
          </w:p>
        </w:tc>
        <w:tc>
          <w:tcPr>
            <w:tcW w:w="3543" w:type="dxa"/>
            <w:vAlign w:val="bottom"/>
          </w:tcPr>
          <w:p w14:paraId="1D99D5DE"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2,8%</w:t>
            </w:r>
          </w:p>
        </w:tc>
      </w:tr>
      <w:tr w:rsidR="00B7685C" w14:paraId="055B9190"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9F6E2C8" w14:textId="77777777" w:rsidR="00B7685C" w:rsidRDefault="00000000">
            <w:pPr>
              <w:spacing w:line="276" w:lineRule="auto"/>
              <w:ind w:right="-560"/>
              <w:jc w:val="both"/>
              <w:rPr>
                <w:rFonts w:ascii="Open Sans" w:eastAsia="Open Sans" w:hAnsi="Open Sans" w:cs="Open Sans"/>
                <w:color w:val="262626"/>
              </w:rPr>
            </w:pPr>
            <w:r>
              <w:rPr>
                <w:b w:val="0"/>
                <w:bCs w:val="0"/>
                <w:color w:val="000000"/>
              </w:rPr>
              <w:t>Huesca</w:t>
            </w:r>
          </w:p>
        </w:tc>
        <w:tc>
          <w:tcPr>
            <w:tcW w:w="3543" w:type="dxa"/>
            <w:vAlign w:val="bottom"/>
          </w:tcPr>
          <w:p w14:paraId="5F66C9E0"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2,6%</w:t>
            </w:r>
          </w:p>
        </w:tc>
      </w:tr>
      <w:tr w:rsidR="00B7685C" w14:paraId="2D9DCEE8"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4EBE61B" w14:textId="77777777" w:rsidR="00B7685C" w:rsidRDefault="00000000">
            <w:pPr>
              <w:spacing w:line="276" w:lineRule="auto"/>
              <w:ind w:right="-560"/>
              <w:jc w:val="both"/>
              <w:rPr>
                <w:rFonts w:ascii="Open Sans" w:eastAsia="Open Sans" w:hAnsi="Open Sans" w:cs="Open Sans"/>
                <w:color w:val="262626"/>
              </w:rPr>
            </w:pPr>
            <w:r>
              <w:rPr>
                <w:b w:val="0"/>
                <w:bCs w:val="0"/>
                <w:color w:val="000000"/>
              </w:rPr>
              <w:t>Badajoz</w:t>
            </w:r>
          </w:p>
        </w:tc>
        <w:tc>
          <w:tcPr>
            <w:tcW w:w="3543" w:type="dxa"/>
            <w:vAlign w:val="bottom"/>
          </w:tcPr>
          <w:p w14:paraId="08E75468"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2,4%</w:t>
            </w:r>
          </w:p>
        </w:tc>
      </w:tr>
      <w:tr w:rsidR="00B7685C" w14:paraId="1092B25A"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176BCE" w14:textId="77777777" w:rsidR="00B7685C" w:rsidRDefault="00000000">
            <w:pPr>
              <w:spacing w:line="276" w:lineRule="auto"/>
              <w:ind w:right="-560"/>
              <w:jc w:val="both"/>
              <w:rPr>
                <w:rFonts w:ascii="Open Sans" w:eastAsia="Open Sans" w:hAnsi="Open Sans" w:cs="Open Sans"/>
                <w:color w:val="262626"/>
              </w:rPr>
            </w:pPr>
            <w:r>
              <w:rPr>
                <w:b w:val="0"/>
                <w:bCs w:val="0"/>
                <w:color w:val="000000"/>
              </w:rPr>
              <w:t>Castellón</w:t>
            </w:r>
          </w:p>
        </w:tc>
        <w:tc>
          <w:tcPr>
            <w:tcW w:w="3543" w:type="dxa"/>
            <w:vAlign w:val="bottom"/>
          </w:tcPr>
          <w:p w14:paraId="0F8F894B"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2,2%</w:t>
            </w:r>
          </w:p>
        </w:tc>
      </w:tr>
      <w:tr w:rsidR="00B7685C" w14:paraId="26143717"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6D0F1B2" w14:textId="77777777" w:rsidR="00B7685C" w:rsidRDefault="00000000">
            <w:pPr>
              <w:spacing w:line="276" w:lineRule="auto"/>
              <w:ind w:right="-560"/>
              <w:jc w:val="both"/>
              <w:rPr>
                <w:rFonts w:ascii="Open Sans" w:eastAsia="Open Sans" w:hAnsi="Open Sans" w:cs="Open Sans"/>
                <w:color w:val="262626"/>
              </w:rPr>
            </w:pPr>
            <w:r>
              <w:rPr>
                <w:b w:val="0"/>
                <w:bCs w:val="0"/>
                <w:color w:val="000000"/>
              </w:rPr>
              <w:t>Málaga</w:t>
            </w:r>
          </w:p>
        </w:tc>
        <w:tc>
          <w:tcPr>
            <w:tcW w:w="3543" w:type="dxa"/>
            <w:vAlign w:val="bottom"/>
          </w:tcPr>
          <w:p w14:paraId="78D5330B"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2,2%</w:t>
            </w:r>
          </w:p>
        </w:tc>
      </w:tr>
      <w:tr w:rsidR="00B7685C" w14:paraId="1E8ABA67"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0923E33" w14:textId="77777777" w:rsidR="00B7685C" w:rsidRDefault="00000000">
            <w:pPr>
              <w:spacing w:line="276" w:lineRule="auto"/>
              <w:ind w:right="-560"/>
              <w:jc w:val="both"/>
              <w:rPr>
                <w:rFonts w:ascii="Open Sans" w:eastAsia="Open Sans" w:hAnsi="Open Sans" w:cs="Open Sans"/>
                <w:color w:val="262626"/>
              </w:rPr>
            </w:pPr>
            <w:r>
              <w:rPr>
                <w:b w:val="0"/>
                <w:bCs w:val="0"/>
                <w:color w:val="000000"/>
              </w:rPr>
              <w:t>Cuenca</w:t>
            </w:r>
          </w:p>
        </w:tc>
        <w:tc>
          <w:tcPr>
            <w:tcW w:w="3543" w:type="dxa"/>
            <w:vAlign w:val="bottom"/>
          </w:tcPr>
          <w:p w14:paraId="35692A5B"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2,2%</w:t>
            </w:r>
          </w:p>
        </w:tc>
      </w:tr>
      <w:tr w:rsidR="00B7685C" w14:paraId="2DB5D9EE"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B1DD6FC" w14:textId="77777777" w:rsidR="00B7685C" w:rsidRDefault="00000000">
            <w:pPr>
              <w:spacing w:line="276" w:lineRule="auto"/>
              <w:ind w:right="-560"/>
              <w:jc w:val="both"/>
              <w:rPr>
                <w:rFonts w:ascii="Open Sans" w:eastAsia="Open Sans" w:hAnsi="Open Sans" w:cs="Open Sans"/>
                <w:color w:val="262626"/>
              </w:rPr>
            </w:pPr>
            <w:r>
              <w:rPr>
                <w:b w:val="0"/>
                <w:bCs w:val="0"/>
                <w:color w:val="000000"/>
              </w:rPr>
              <w:t>Ávila</w:t>
            </w:r>
          </w:p>
        </w:tc>
        <w:tc>
          <w:tcPr>
            <w:tcW w:w="3543" w:type="dxa"/>
            <w:vAlign w:val="bottom"/>
          </w:tcPr>
          <w:p w14:paraId="52CD6C05"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2,2%</w:t>
            </w:r>
          </w:p>
        </w:tc>
      </w:tr>
      <w:tr w:rsidR="00B7685C" w14:paraId="7F1B8370"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4763855" w14:textId="77777777" w:rsidR="00B7685C" w:rsidRDefault="00000000">
            <w:pPr>
              <w:spacing w:line="276" w:lineRule="auto"/>
              <w:ind w:right="-560"/>
              <w:jc w:val="both"/>
              <w:rPr>
                <w:rFonts w:ascii="Open Sans" w:eastAsia="Open Sans" w:hAnsi="Open Sans" w:cs="Open Sans"/>
                <w:color w:val="262626"/>
              </w:rPr>
            </w:pPr>
            <w:r>
              <w:rPr>
                <w:b w:val="0"/>
                <w:bCs w:val="0"/>
                <w:color w:val="000000"/>
              </w:rPr>
              <w:t>Zamora</w:t>
            </w:r>
          </w:p>
        </w:tc>
        <w:tc>
          <w:tcPr>
            <w:tcW w:w="3543" w:type="dxa"/>
            <w:vAlign w:val="bottom"/>
          </w:tcPr>
          <w:p w14:paraId="365BE98C"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2,0%</w:t>
            </w:r>
          </w:p>
        </w:tc>
      </w:tr>
      <w:tr w:rsidR="00B7685C" w14:paraId="28142E75"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D8E48E3" w14:textId="77777777" w:rsidR="00B7685C" w:rsidRDefault="00000000">
            <w:pPr>
              <w:spacing w:line="276" w:lineRule="auto"/>
              <w:ind w:right="-560"/>
              <w:jc w:val="both"/>
              <w:rPr>
                <w:rFonts w:ascii="Open Sans" w:eastAsia="Open Sans" w:hAnsi="Open Sans" w:cs="Open Sans"/>
                <w:color w:val="262626"/>
              </w:rPr>
            </w:pPr>
            <w:r>
              <w:rPr>
                <w:b w:val="0"/>
                <w:bCs w:val="0"/>
                <w:color w:val="000000"/>
              </w:rPr>
              <w:t>Murcia</w:t>
            </w:r>
          </w:p>
        </w:tc>
        <w:tc>
          <w:tcPr>
            <w:tcW w:w="3543" w:type="dxa"/>
            <w:vAlign w:val="bottom"/>
          </w:tcPr>
          <w:p w14:paraId="368F0734"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1,9%</w:t>
            </w:r>
          </w:p>
        </w:tc>
      </w:tr>
      <w:tr w:rsidR="00B7685C" w14:paraId="46EBEECE"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9470CCE" w14:textId="77777777" w:rsidR="00B7685C" w:rsidRDefault="00000000">
            <w:pPr>
              <w:spacing w:line="276" w:lineRule="auto"/>
              <w:ind w:right="-560"/>
              <w:jc w:val="both"/>
              <w:rPr>
                <w:rFonts w:ascii="Open Sans" w:eastAsia="Open Sans" w:hAnsi="Open Sans" w:cs="Open Sans"/>
                <w:color w:val="262626"/>
              </w:rPr>
            </w:pPr>
            <w:r>
              <w:rPr>
                <w:b w:val="0"/>
                <w:bCs w:val="0"/>
                <w:color w:val="000000"/>
              </w:rPr>
              <w:t>Madrid</w:t>
            </w:r>
          </w:p>
        </w:tc>
        <w:tc>
          <w:tcPr>
            <w:tcW w:w="3543" w:type="dxa"/>
            <w:vAlign w:val="bottom"/>
          </w:tcPr>
          <w:p w14:paraId="25C30D8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1,9%</w:t>
            </w:r>
          </w:p>
        </w:tc>
      </w:tr>
      <w:tr w:rsidR="00B7685C" w14:paraId="2059DEE2"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353617" w14:textId="77777777" w:rsidR="00B7685C" w:rsidRDefault="00000000">
            <w:pPr>
              <w:spacing w:line="276" w:lineRule="auto"/>
              <w:ind w:right="-560"/>
              <w:jc w:val="both"/>
              <w:rPr>
                <w:rFonts w:ascii="Open Sans" w:eastAsia="Open Sans" w:hAnsi="Open Sans" w:cs="Open Sans"/>
                <w:color w:val="262626"/>
              </w:rPr>
            </w:pPr>
            <w:r>
              <w:rPr>
                <w:b w:val="0"/>
                <w:bCs w:val="0"/>
                <w:color w:val="000000"/>
              </w:rPr>
              <w:lastRenderedPageBreak/>
              <w:t>Ciudad Real</w:t>
            </w:r>
          </w:p>
        </w:tc>
        <w:tc>
          <w:tcPr>
            <w:tcW w:w="3543" w:type="dxa"/>
            <w:vAlign w:val="bottom"/>
          </w:tcPr>
          <w:p w14:paraId="686907B7"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1,6%</w:t>
            </w:r>
          </w:p>
        </w:tc>
      </w:tr>
      <w:tr w:rsidR="00B7685C" w14:paraId="570116E7"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2C8510E"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San Sebastián</w:t>
            </w:r>
          </w:p>
        </w:tc>
        <w:tc>
          <w:tcPr>
            <w:tcW w:w="3543" w:type="dxa"/>
            <w:vAlign w:val="bottom"/>
          </w:tcPr>
          <w:p w14:paraId="49DA4E77"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1,4%</w:t>
            </w:r>
          </w:p>
        </w:tc>
      </w:tr>
      <w:tr w:rsidR="00B7685C" w14:paraId="6BF0F535"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D8766E" w14:textId="77777777" w:rsidR="00B7685C" w:rsidRDefault="00000000">
            <w:pPr>
              <w:spacing w:line="276" w:lineRule="auto"/>
              <w:ind w:right="-560"/>
              <w:jc w:val="both"/>
              <w:rPr>
                <w:rFonts w:ascii="Open Sans" w:eastAsia="Open Sans" w:hAnsi="Open Sans" w:cs="Open Sans"/>
                <w:color w:val="262626"/>
              </w:rPr>
            </w:pPr>
            <w:r>
              <w:rPr>
                <w:b w:val="0"/>
                <w:bCs w:val="0"/>
                <w:color w:val="000000"/>
              </w:rPr>
              <w:t>Lugo</w:t>
            </w:r>
          </w:p>
        </w:tc>
        <w:tc>
          <w:tcPr>
            <w:tcW w:w="3543" w:type="dxa"/>
            <w:vAlign w:val="bottom"/>
          </w:tcPr>
          <w:p w14:paraId="0E4443FD"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1,2%</w:t>
            </w:r>
          </w:p>
        </w:tc>
      </w:tr>
      <w:tr w:rsidR="00B7685C" w14:paraId="66B2ABA2"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5FBEA38" w14:textId="77777777" w:rsidR="00B7685C" w:rsidRDefault="00000000">
            <w:pPr>
              <w:spacing w:line="276" w:lineRule="auto"/>
              <w:ind w:right="-560"/>
              <w:jc w:val="both"/>
              <w:rPr>
                <w:rFonts w:ascii="Open Sans" w:eastAsia="Open Sans" w:hAnsi="Open Sans" w:cs="Open Sans"/>
                <w:color w:val="262626"/>
              </w:rPr>
            </w:pPr>
            <w:r>
              <w:rPr>
                <w:b w:val="0"/>
                <w:bCs w:val="0"/>
                <w:color w:val="000000"/>
              </w:rPr>
              <w:t>Granada</w:t>
            </w:r>
          </w:p>
        </w:tc>
        <w:tc>
          <w:tcPr>
            <w:tcW w:w="3543" w:type="dxa"/>
            <w:vAlign w:val="bottom"/>
          </w:tcPr>
          <w:p w14:paraId="7C551279"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1,2%</w:t>
            </w:r>
          </w:p>
        </w:tc>
      </w:tr>
      <w:tr w:rsidR="00B7685C" w14:paraId="28DF6F22"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F6F5378" w14:textId="77777777" w:rsidR="00B7685C" w:rsidRDefault="00000000">
            <w:pPr>
              <w:spacing w:line="276" w:lineRule="auto"/>
              <w:ind w:right="-560"/>
              <w:jc w:val="both"/>
              <w:rPr>
                <w:rFonts w:ascii="Open Sans" w:eastAsia="Open Sans" w:hAnsi="Open Sans" w:cs="Open Sans"/>
                <w:color w:val="262626"/>
              </w:rPr>
            </w:pPr>
            <w:r>
              <w:rPr>
                <w:b w:val="0"/>
                <w:bCs w:val="0"/>
                <w:color w:val="000000"/>
              </w:rPr>
              <w:t>Palencia</w:t>
            </w:r>
          </w:p>
        </w:tc>
        <w:tc>
          <w:tcPr>
            <w:tcW w:w="3543" w:type="dxa"/>
            <w:vAlign w:val="bottom"/>
          </w:tcPr>
          <w:p w14:paraId="1CE218D5"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0,6%</w:t>
            </w:r>
          </w:p>
        </w:tc>
      </w:tr>
      <w:tr w:rsidR="00B7685C" w14:paraId="257B8793"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EB73755" w14:textId="77777777" w:rsidR="00B7685C" w:rsidRDefault="00000000">
            <w:pPr>
              <w:spacing w:line="276" w:lineRule="auto"/>
              <w:ind w:right="-560"/>
              <w:jc w:val="both"/>
              <w:rPr>
                <w:rFonts w:ascii="Open Sans" w:eastAsia="Open Sans" w:hAnsi="Open Sans" w:cs="Open Sans"/>
                <w:color w:val="262626"/>
              </w:rPr>
            </w:pPr>
            <w:r>
              <w:rPr>
                <w:b w:val="0"/>
                <w:bCs w:val="0"/>
                <w:color w:val="000000"/>
              </w:rPr>
              <w:t>Vitoria</w:t>
            </w:r>
          </w:p>
        </w:tc>
        <w:tc>
          <w:tcPr>
            <w:tcW w:w="3543" w:type="dxa"/>
            <w:vAlign w:val="bottom"/>
          </w:tcPr>
          <w:p w14:paraId="75D27265"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0,6%</w:t>
            </w:r>
          </w:p>
        </w:tc>
      </w:tr>
      <w:tr w:rsidR="00B7685C" w14:paraId="0A3EA5AE"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F0CE80C" w14:textId="77777777" w:rsidR="00B7685C" w:rsidRDefault="00000000">
            <w:pPr>
              <w:spacing w:line="276" w:lineRule="auto"/>
              <w:ind w:right="-560"/>
              <w:jc w:val="both"/>
              <w:rPr>
                <w:rFonts w:ascii="Open Sans" w:eastAsia="Open Sans" w:hAnsi="Open Sans" w:cs="Open Sans"/>
                <w:color w:val="262626"/>
              </w:rPr>
            </w:pPr>
            <w:r>
              <w:rPr>
                <w:b w:val="0"/>
                <w:bCs w:val="0"/>
                <w:color w:val="000000"/>
              </w:rPr>
              <w:t>Vigo</w:t>
            </w:r>
          </w:p>
        </w:tc>
        <w:tc>
          <w:tcPr>
            <w:tcW w:w="3543" w:type="dxa"/>
            <w:vAlign w:val="bottom"/>
          </w:tcPr>
          <w:p w14:paraId="7D2EDF6F"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0,3%</w:t>
            </w:r>
          </w:p>
        </w:tc>
      </w:tr>
      <w:tr w:rsidR="00B7685C" w14:paraId="31DBF989"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066BD89" w14:textId="77777777" w:rsidR="00B7685C" w:rsidRDefault="00000000">
            <w:pPr>
              <w:spacing w:line="276" w:lineRule="auto"/>
              <w:ind w:right="-560"/>
              <w:jc w:val="both"/>
              <w:rPr>
                <w:rFonts w:ascii="Open Sans" w:eastAsia="Open Sans" w:hAnsi="Open Sans" w:cs="Open Sans"/>
                <w:color w:val="262626"/>
              </w:rPr>
            </w:pPr>
            <w:r>
              <w:rPr>
                <w:b w:val="0"/>
                <w:bCs w:val="0"/>
                <w:color w:val="000000"/>
              </w:rPr>
              <w:t>Teruel Ciudad</w:t>
            </w:r>
          </w:p>
        </w:tc>
        <w:tc>
          <w:tcPr>
            <w:tcW w:w="3543" w:type="dxa"/>
            <w:vAlign w:val="bottom"/>
          </w:tcPr>
          <w:p w14:paraId="2081E286"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0,0%</w:t>
            </w:r>
          </w:p>
        </w:tc>
      </w:tr>
      <w:tr w:rsidR="00B7685C" w14:paraId="6421A5A5"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00C1DA" w14:textId="77777777" w:rsidR="00B7685C" w:rsidRDefault="00000000">
            <w:pPr>
              <w:spacing w:line="276" w:lineRule="auto"/>
              <w:ind w:right="-560"/>
              <w:jc w:val="both"/>
              <w:rPr>
                <w:rFonts w:ascii="Open Sans" w:eastAsia="Open Sans" w:hAnsi="Open Sans" w:cs="Open Sans"/>
                <w:color w:val="262626"/>
              </w:rPr>
            </w:pPr>
            <w:r>
              <w:rPr>
                <w:b w:val="0"/>
                <w:bCs w:val="0"/>
                <w:color w:val="000000"/>
              </w:rPr>
              <w:t>Tarragona Ciudad</w:t>
            </w:r>
          </w:p>
        </w:tc>
        <w:tc>
          <w:tcPr>
            <w:tcW w:w="3543" w:type="dxa"/>
            <w:vAlign w:val="bottom"/>
          </w:tcPr>
          <w:p w14:paraId="3B19B42B"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color w:val="000000"/>
              </w:rPr>
              <w:t>0,0%</w:t>
            </w:r>
          </w:p>
        </w:tc>
      </w:tr>
      <w:tr w:rsidR="00B7685C" w14:paraId="121ECE7F"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9DC847A" w14:textId="77777777" w:rsidR="00B7685C" w:rsidRDefault="00000000">
            <w:pPr>
              <w:spacing w:line="276" w:lineRule="auto"/>
              <w:ind w:right="-560"/>
              <w:jc w:val="both"/>
              <w:rPr>
                <w:rFonts w:ascii="Open Sans" w:eastAsia="Open Sans" w:hAnsi="Open Sans" w:cs="Open Sans"/>
                <w:color w:val="262626"/>
              </w:rPr>
            </w:pPr>
            <w:r>
              <w:rPr>
                <w:b w:val="0"/>
                <w:bCs w:val="0"/>
                <w:color w:val="000000"/>
              </w:rPr>
              <w:t>Lleida Ciudad</w:t>
            </w:r>
          </w:p>
        </w:tc>
        <w:tc>
          <w:tcPr>
            <w:tcW w:w="3543" w:type="dxa"/>
            <w:vAlign w:val="bottom"/>
          </w:tcPr>
          <w:p w14:paraId="1BD33ED9"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color w:val="000000"/>
              </w:rPr>
              <w:t>0,0%</w:t>
            </w:r>
          </w:p>
        </w:tc>
      </w:tr>
      <w:tr w:rsidR="00B7685C" w14:paraId="0CF556F2"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2E49270" w14:textId="77777777" w:rsidR="00B7685C" w:rsidRDefault="00000000">
            <w:pPr>
              <w:spacing w:line="276" w:lineRule="auto"/>
              <w:ind w:right="-560"/>
              <w:jc w:val="both"/>
              <w:rPr>
                <w:rFonts w:ascii="Open Sans" w:eastAsia="Open Sans" w:hAnsi="Open Sans" w:cs="Open Sans"/>
                <w:color w:val="262626"/>
              </w:rPr>
            </w:pPr>
            <w:r>
              <w:rPr>
                <w:b w:val="0"/>
                <w:bCs w:val="0"/>
                <w:color w:val="000000"/>
              </w:rPr>
              <w:t>Toledo Ciudad</w:t>
            </w:r>
          </w:p>
        </w:tc>
        <w:tc>
          <w:tcPr>
            <w:tcW w:w="3543" w:type="dxa"/>
            <w:vAlign w:val="bottom"/>
          </w:tcPr>
          <w:p w14:paraId="55D2A449"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000000"/>
              </w:rPr>
              <w:t>0,0%</w:t>
            </w:r>
          </w:p>
        </w:tc>
      </w:tr>
      <w:tr w:rsidR="00B7685C" w14:paraId="1800EF53"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B152DE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Soria Ciudad</w:t>
            </w:r>
          </w:p>
        </w:tc>
        <w:tc>
          <w:tcPr>
            <w:tcW w:w="3543" w:type="dxa"/>
            <w:vAlign w:val="bottom"/>
          </w:tcPr>
          <w:p w14:paraId="368E9BE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000000"/>
              </w:rPr>
              <w:t>0,0%</w:t>
            </w:r>
          </w:p>
        </w:tc>
      </w:tr>
      <w:tr w:rsidR="00B7685C" w14:paraId="0939B004"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6EA1246" w14:textId="77777777" w:rsidR="00B7685C" w:rsidRDefault="00000000">
            <w:pPr>
              <w:spacing w:line="276" w:lineRule="auto"/>
              <w:ind w:right="-560"/>
              <w:jc w:val="both"/>
              <w:rPr>
                <w:rFonts w:ascii="Open Sans" w:eastAsia="Open Sans" w:hAnsi="Open Sans" w:cs="Open Sans"/>
                <w:color w:val="262626"/>
              </w:rPr>
            </w:pPr>
            <w:r>
              <w:rPr>
                <w:b w:val="0"/>
                <w:bCs w:val="0"/>
                <w:color w:val="000000"/>
              </w:rPr>
              <w:t>Girona Ciudad</w:t>
            </w:r>
          </w:p>
        </w:tc>
        <w:tc>
          <w:tcPr>
            <w:tcW w:w="3543" w:type="dxa"/>
            <w:vAlign w:val="bottom"/>
          </w:tcPr>
          <w:p w14:paraId="0CCC0071"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000000"/>
              </w:rPr>
              <w:t>0,0%</w:t>
            </w:r>
          </w:p>
        </w:tc>
      </w:tr>
      <w:tr w:rsidR="00B7685C" w14:paraId="263444BD"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5224F71" w14:textId="77777777" w:rsidR="00B7685C" w:rsidRDefault="00000000">
            <w:pPr>
              <w:spacing w:line="276" w:lineRule="auto"/>
              <w:ind w:right="-560"/>
              <w:jc w:val="both"/>
              <w:rPr>
                <w:rFonts w:ascii="Open Sans" w:eastAsia="Open Sans" w:hAnsi="Open Sans" w:cs="Open Sans"/>
                <w:color w:val="262626"/>
              </w:rPr>
            </w:pPr>
            <w:r>
              <w:rPr>
                <w:b w:val="0"/>
                <w:bCs w:val="0"/>
                <w:color w:val="000000"/>
              </w:rPr>
              <w:t>Almería Ciudad</w:t>
            </w:r>
          </w:p>
        </w:tc>
        <w:tc>
          <w:tcPr>
            <w:tcW w:w="3543" w:type="dxa"/>
            <w:vAlign w:val="bottom"/>
          </w:tcPr>
          <w:p w14:paraId="104E4831"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000000"/>
              </w:rPr>
              <w:t>0,0%</w:t>
            </w:r>
          </w:p>
        </w:tc>
      </w:tr>
      <w:tr w:rsidR="00B7685C" w14:paraId="753BB33A"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E3DBE55" w14:textId="77777777" w:rsidR="00B7685C" w:rsidRDefault="00000000">
            <w:pPr>
              <w:spacing w:line="276" w:lineRule="auto"/>
              <w:ind w:right="-560"/>
              <w:jc w:val="both"/>
              <w:rPr>
                <w:rFonts w:ascii="Open Sans" w:eastAsia="Open Sans" w:hAnsi="Open Sans" w:cs="Open Sans"/>
                <w:color w:val="262626"/>
              </w:rPr>
            </w:pPr>
            <w:r>
              <w:rPr>
                <w:b w:val="0"/>
                <w:bCs w:val="0"/>
                <w:color w:val="000000"/>
              </w:rPr>
              <w:t>Bilbao Ciudad</w:t>
            </w:r>
          </w:p>
        </w:tc>
        <w:tc>
          <w:tcPr>
            <w:tcW w:w="3543" w:type="dxa"/>
            <w:vAlign w:val="bottom"/>
          </w:tcPr>
          <w:p w14:paraId="61BB9B25"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000000"/>
              </w:rPr>
              <w:t>0,0%</w:t>
            </w:r>
          </w:p>
        </w:tc>
      </w:tr>
      <w:tr w:rsidR="00B7685C" w14:paraId="0E5B9E2C"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57C1A4" w14:textId="77777777" w:rsidR="00B7685C" w:rsidRDefault="00000000">
            <w:pPr>
              <w:spacing w:line="276" w:lineRule="auto"/>
              <w:ind w:right="-560"/>
              <w:jc w:val="both"/>
              <w:rPr>
                <w:rFonts w:ascii="Open Sans" w:eastAsia="Open Sans" w:hAnsi="Open Sans" w:cs="Open Sans"/>
                <w:color w:val="262626"/>
              </w:rPr>
            </w:pPr>
            <w:r>
              <w:rPr>
                <w:b w:val="0"/>
                <w:bCs w:val="0"/>
                <w:color w:val="000000"/>
              </w:rPr>
              <w:t>Las Palmas</w:t>
            </w:r>
          </w:p>
        </w:tc>
        <w:tc>
          <w:tcPr>
            <w:tcW w:w="3543" w:type="dxa"/>
            <w:vAlign w:val="bottom"/>
          </w:tcPr>
          <w:p w14:paraId="57AC76E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-0,1%</w:t>
            </w:r>
          </w:p>
        </w:tc>
      </w:tr>
      <w:tr w:rsidR="00B7685C" w14:paraId="6F67A11D"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CFAE50" w14:textId="77777777" w:rsidR="00B7685C" w:rsidRDefault="00000000">
            <w:pPr>
              <w:spacing w:line="276" w:lineRule="auto"/>
              <w:ind w:right="-560"/>
              <w:jc w:val="both"/>
              <w:rPr>
                <w:rFonts w:ascii="Open Sans" w:eastAsia="Open Sans" w:hAnsi="Open Sans" w:cs="Open Sans"/>
                <w:color w:val="262626"/>
              </w:rPr>
            </w:pPr>
            <w:r>
              <w:rPr>
                <w:b w:val="0"/>
                <w:bCs w:val="0"/>
                <w:color w:val="000000"/>
              </w:rPr>
              <w:t>Pamplona</w:t>
            </w:r>
          </w:p>
        </w:tc>
        <w:tc>
          <w:tcPr>
            <w:tcW w:w="3543" w:type="dxa"/>
            <w:vAlign w:val="bottom"/>
          </w:tcPr>
          <w:p w14:paraId="195F12F9"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-0,4%</w:t>
            </w:r>
          </w:p>
        </w:tc>
      </w:tr>
      <w:tr w:rsidR="00B7685C" w14:paraId="6668ACFE"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59CBA63" w14:textId="77777777" w:rsidR="00B7685C" w:rsidRDefault="00000000">
            <w:pPr>
              <w:spacing w:line="276" w:lineRule="auto"/>
              <w:ind w:right="-560"/>
              <w:jc w:val="both"/>
              <w:rPr>
                <w:rFonts w:ascii="Open Sans" w:eastAsia="Open Sans" w:hAnsi="Open Sans" w:cs="Open Sans"/>
                <w:color w:val="262626"/>
              </w:rPr>
            </w:pPr>
            <w:r>
              <w:rPr>
                <w:b w:val="0"/>
                <w:bCs w:val="0"/>
                <w:color w:val="000000"/>
              </w:rPr>
              <w:t>Cádiz</w:t>
            </w:r>
          </w:p>
        </w:tc>
        <w:tc>
          <w:tcPr>
            <w:tcW w:w="3543" w:type="dxa"/>
            <w:vAlign w:val="bottom"/>
          </w:tcPr>
          <w:p w14:paraId="18A754B0"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-0,8%</w:t>
            </w:r>
          </w:p>
        </w:tc>
      </w:tr>
      <w:tr w:rsidR="00B7685C" w14:paraId="06BB3B12"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8C169EF" w14:textId="77777777" w:rsidR="00B7685C" w:rsidRDefault="00000000">
            <w:pPr>
              <w:spacing w:line="276" w:lineRule="auto"/>
              <w:ind w:right="-560"/>
              <w:jc w:val="both"/>
              <w:rPr>
                <w:rFonts w:ascii="Open Sans" w:eastAsia="Open Sans" w:hAnsi="Open Sans" w:cs="Open Sans"/>
                <w:color w:val="262626"/>
              </w:rPr>
            </w:pPr>
            <w:r>
              <w:rPr>
                <w:b w:val="0"/>
                <w:bCs w:val="0"/>
                <w:color w:val="000000"/>
              </w:rPr>
              <w:t>Barcelona</w:t>
            </w:r>
          </w:p>
        </w:tc>
        <w:tc>
          <w:tcPr>
            <w:tcW w:w="3543" w:type="dxa"/>
            <w:vAlign w:val="bottom"/>
          </w:tcPr>
          <w:p w14:paraId="0F09D19D"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-1,1%</w:t>
            </w:r>
          </w:p>
        </w:tc>
      </w:tr>
      <w:tr w:rsidR="00B7685C" w14:paraId="407A1E15"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7D5DC82" w14:textId="77777777" w:rsidR="00B7685C" w:rsidRDefault="00000000">
            <w:pPr>
              <w:spacing w:line="276" w:lineRule="auto"/>
              <w:ind w:right="-560"/>
              <w:jc w:val="both"/>
              <w:rPr>
                <w:rFonts w:ascii="Open Sans" w:eastAsia="Open Sans" w:hAnsi="Open Sans" w:cs="Open Sans"/>
                <w:color w:val="262626"/>
              </w:rPr>
            </w:pPr>
            <w:r>
              <w:rPr>
                <w:b w:val="0"/>
                <w:bCs w:val="0"/>
                <w:color w:val="000000"/>
              </w:rPr>
              <w:t>Albacete</w:t>
            </w:r>
          </w:p>
        </w:tc>
        <w:tc>
          <w:tcPr>
            <w:tcW w:w="3543" w:type="dxa"/>
            <w:vAlign w:val="bottom"/>
          </w:tcPr>
          <w:p w14:paraId="42793F31"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-1,3%</w:t>
            </w:r>
          </w:p>
        </w:tc>
      </w:tr>
      <w:tr w:rsidR="00B7685C" w14:paraId="4B6B3C5A"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7E0D8F5" w14:textId="77777777" w:rsidR="00B7685C" w:rsidRDefault="00000000">
            <w:pPr>
              <w:spacing w:line="276" w:lineRule="auto"/>
              <w:ind w:right="-560"/>
              <w:jc w:val="both"/>
              <w:rPr>
                <w:rFonts w:ascii="Open Sans" w:eastAsia="Open Sans" w:hAnsi="Open Sans" w:cs="Open Sans"/>
                <w:color w:val="262626"/>
              </w:rPr>
            </w:pPr>
            <w:r>
              <w:rPr>
                <w:b w:val="0"/>
                <w:bCs w:val="0"/>
                <w:color w:val="000000"/>
              </w:rPr>
              <w:t>Alicante</w:t>
            </w:r>
          </w:p>
        </w:tc>
        <w:tc>
          <w:tcPr>
            <w:tcW w:w="3543" w:type="dxa"/>
            <w:vAlign w:val="bottom"/>
          </w:tcPr>
          <w:p w14:paraId="77EFF3DC"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-1,5%</w:t>
            </w:r>
          </w:p>
        </w:tc>
      </w:tr>
      <w:tr w:rsidR="00B7685C" w14:paraId="027BB3A8"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BF7253B" w14:textId="77777777" w:rsidR="00B7685C" w:rsidRDefault="00000000">
            <w:pPr>
              <w:spacing w:line="276" w:lineRule="auto"/>
              <w:ind w:right="-560"/>
              <w:jc w:val="both"/>
              <w:rPr>
                <w:rFonts w:ascii="Open Sans" w:eastAsia="Open Sans" w:hAnsi="Open Sans" w:cs="Open Sans"/>
                <w:color w:val="262626"/>
              </w:rPr>
            </w:pPr>
            <w:r>
              <w:rPr>
                <w:b w:val="0"/>
                <w:bCs w:val="0"/>
                <w:color w:val="000000"/>
              </w:rPr>
              <w:t>A Coruña</w:t>
            </w:r>
          </w:p>
        </w:tc>
        <w:tc>
          <w:tcPr>
            <w:tcW w:w="3543" w:type="dxa"/>
            <w:vAlign w:val="bottom"/>
          </w:tcPr>
          <w:p w14:paraId="035C2ECA"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-2,5%</w:t>
            </w:r>
          </w:p>
        </w:tc>
      </w:tr>
      <w:tr w:rsidR="00B7685C" w14:paraId="459BA9E1"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EA7F751" w14:textId="77777777" w:rsidR="00B7685C" w:rsidRDefault="00000000">
            <w:pPr>
              <w:spacing w:line="276" w:lineRule="auto"/>
              <w:ind w:right="-560"/>
              <w:jc w:val="both"/>
              <w:rPr>
                <w:rFonts w:ascii="Open Sans" w:eastAsia="Open Sans" w:hAnsi="Open Sans" w:cs="Open Sans"/>
                <w:color w:val="262626"/>
              </w:rPr>
            </w:pPr>
            <w:r>
              <w:rPr>
                <w:b w:val="0"/>
                <w:bCs w:val="0"/>
                <w:color w:val="000000"/>
              </w:rPr>
              <w:t>Valencia</w:t>
            </w:r>
          </w:p>
        </w:tc>
        <w:tc>
          <w:tcPr>
            <w:tcW w:w="3543" w:type="dxa"/>
            <w:vAlign w:val="bottom"/>
          </w:tcPr>
          <w:p w14:paraId="6CC7BC9C"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-3,0%</w:t>
            </w:r>
          </w:p>
        </w:tc>
      </w:tr>
      <w:tr w:rsidR="00B7685C" w14:paraId="38407DE8" w14:textId="77777777" w:rsidTr="00B7685C">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FD0E44B" w14:textId="77777777" w:rsidR="00B7685C" w:rsidRDefault="00000000">
            <w:pPr>
              <w:spacing w:line="276" w:lineRule="auto"/>
              <w:ind w:right="-560"/>
              <w:jc w:val="both"/>
              <w:rPr>
                <w:rFonts w:ascii="Open Sans" w:eastAsia="Open Sans" w:hAnsi="Open Sans" w:cs="Open Sans"/>
                <w:color w:val="262626"/>
              </w:rPr>
            </w:pPr>
            <w:r>
              <w:rPr>
                <w:b w:val="0"/>
                <w:bCs w:val="0"/>
                <w:color w:val="000000"/>
              </w:rPr>
              <w:t>Córdoba</w:t>
            </w:r>
          </w:p>
        </w:tc>
        <w:tc>
          <w:tcPr>
            <w:tcW w:w="3543" w:type="dxa"/>
            <w:vAlign w:val="bottom"/>
          </w:tcPr>
          <w:p w14:paraId="0BD2FCFF" w14:textId="77777777" w:rsidR="00B7685C"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-3,8%</w:t>
            </w:r>
          </w:p>
        </w:tc>
      </w:tr>
      <w:tr w:rsidR="00B7685C" w14:paraId="589DC741" w14:textId="77777777" w:rsidTr="00B768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D2AFAC2" w14:textId="77777777" w:rsidR="00B7685C" w:rsidRDefault="00000000">
            <w:pPr>
              <w:spacing w:line="276" w:lineRule="auto"/>
              <w:ind w:right="-560"/>
              <w:jc w:val="both"/>
              <w:rPr>
                <w:rFonts w:ascii="Open Sans" w:eastAsia="Open Sans" w:hAnsi="Open Sans" w:cs="Open Sans"/>
                <w:color w:val="262626"/>
              </w:rPr>
            </w:pPr>
            <w:r>
              <w:rPr>
                <w:b w:val="0"/>
                <w:bCs w:val="0"/>
                <w:color w:val="000000"/>
              </w:rPr>
              <w:t>Santander</w:t>
            </w:r>
          </w:p>
        </w:tc>
        <w:tc>
          <w:tcPr>
            <w:tcW w:w="3543" w:type="dxa"/>
            <w:vAlign w:val="bottom"/>
          </w:tcPr>
          <w:p w14:paraId="14E2B746" w14:textId="77777777" w:rsidR="00B7685C"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-4,6%</w:t>
            </w:r>
          </w:p>
        </w:tc>
      </w:tr>
    </w:tbl>
    <w:p w14:paraId="37F1E5C0" w14:textId="77777777" w:rsidR="00B7685C" w:rsidRDefault="00B7685C">
      <w:pPr>
        <w:spacing w:line="276" w:lineRule="auto"/>
        <w:ind w:right="-560"/>
        <w:jc w:val="both"/>
        <w:rPr>
          <w:rFonts w:ascii="Open Sans" w:eastAsia="Open Sans" w:hAnsi="Open Sans" w:cs="Open Sans"/>
          <w:b/>
          <w:bCs/>
          <w:color w:val="262626"/>
          <w:sz w:val="22"/>
          <w:szCs w:val="22"/>
        </w:rPr>
      </w:pPr>
    </w:p>
    <w:p w14:paraId="5607C81F" w14:textId="77777777" w:rsidR="00B7685C" w:rsidRDefault="00B7685C">
      <w:pPr>
        <w:spacing w:line="276" w:lineRule="auto"/>
        <w:ind w:right="-433"/>
        <w:rPr>
          <w:rFonts w:ascii="Open Sans" w:eastAsia="Open Sans" w:hAnsi="Open Sans" w:cs="Open Sans"/>
          <w:b/>
          <w:bCs/>
          <w:color w:val="303AB2"/>
        </w:rPr>
      </w:pPr>
    </w:p>
    <w:p w14:paraId="03953125" w14:textId="77777777" w:rsidR="00B7685C" w:rsidRDefault="00000000" w:rsidP="00640F61">
      <w:pPr>
        <w:spacing w:line="276" w:lineRule="auto"/>
        <w:ind w:right="-426"/>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DataVenues</w:t>
      </w:r>
    </w:p>
    <w:p w14:paraId="0D8B10CA"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hyperlink r:id="rId14">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5">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DataVenues incluye datos propios del portal además de datos de catastro y Google Maps y permite realizar análisis de mercado de cada zona, con datos reales y actualizados de ofertas y demanda. </w:t>
      </w:r>
      <w:r>
        <w:rPr>
          <w:rFonts w:ascii="Open Sans" w:eastAsia="Open Sans" w:hAnsi="Open Sans" w:cs="Open Sans"/>
          <w:sz w:val="22"/>
          <w:szCs w:val="22"/>
        </w:rPr>
        <w:lastRenderedPageBreak/>
        <w:t xml:space="preserve">Es una herramienta imprescindible para captar y valorar la cartera inmobiliaria y pone el Big Data al alcance de los profesionales inmobiliarios. </w:t>
      </w:r>
    </w:p>
    <w:p w14:paraId="2B0FDFA3" w14:textId="77777777" w:rsidR="00B7685C" w:rsidRDefault="00B7685C" w:rsidP="00640F61">
      <w:pPr>
        <w:spacing w:line="276" w:lineRule="auto"/>
        <w:ind w:right="-426"/>
        <w:jc w:val="right"/>
        <w:rPr>
          <w:rFonts w:ascii="Open Sans" w:eastAsia="Open Sans" w:hAnsi="Open Sans" w:cs="Open Sans"/>
          <w:b/>
          <w:bCs/>
          <w:color w:val="303AB2"/>
        </w:rPr>
      </w:pPr>
    </w:p>
    <w:p w14:paraId="1B034A48" w14:textId="77777777" w:rsidR="00B7685C" w:rsidRDefault="00B7685C" w:rsidP="00640F61">
      <w:pPr>
        <w:spacing w:line="276" w:lineRule="auto"/>
        <w:ind w:right="-426"/>
        <w:jc w:val="right"/>
        <w:rPr>
          <w:rFonts w:ascii="Open Sans Light" w:eastAsia="Open Sans Light" w:hAnsi="Open Sans Light" w:cs="Open Sans Light"/>
          <w:b/>
          <w:bCs/>
          <w:color w:val="303AB2"/>
        </w:rPr>
      </w:pPr>
    </w:p>
    <w:p w14:paraId="68456C5E" w14:textId="77777777" w:rsidR="00B7685C" w:rsidRDefault="00000000" w:rsidP="00640F61">
      <w:pPr>
        <w:spacing w:line="276" w:lineRule="auto"/>
        <w:ind w:right="-426"/>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A5B458A"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A878E7C"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2D71EC3C"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068094B0"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0DD4E414" w14:textId="77777777" w:rsidR="00B7685C" w:rsidRDefault="00B7685C" w:rsidP="00640F61">
      <w:pPr>
        <w:spacing w:line="276" w:lineRule="auto"/>
        <w:ind w:right="-426"/>
        <w:rPr>
          <w:rFonts w:ascii="Open Sans Light" w:eastAsia="Open Sans Light" w:hAnsi="Open Sans Light" w:cs="Open Sans Light"/>
          <w:b/>
          <w:bCs/>
          <w:color w:val="303AB2"/>
        </w:rPr>
      </w:pPr>
    </w:p>
    <w:p w14:paraId="3B3E9953" w14:textId="77777777" w:rsidR="00B7685C" w:rsidRDefault="00B7685C" w:rsidP="00640F61">
      <w:pPr>
        <w:spacing w:line="276" w:lineRule="auto"/>
        <w:ind w:right="-426"/>
        <w:rPr>
          <w:rFonts w:ascii="Open Sans Light" w:eastAsia="Open Sans Light" w:hAnsi="Open Sans Light" w:cs="Open Sans Light"/>
          <w:b/>
          <w:bCs/>
          <w:color w:val="303AB2"/>
        </w:rPr>
      </w:pPr>
    </w:p>
    <w:p w14:paraId="6B8CD89F" w14:textId="77777777" w:rsidR="00B7685C" w:rsidRDefault="00B7685C" w:rsidP="00640F61">
      <w:pPr>
        <w:spacing w:line="276" w:lineRule="auto"/>
        <w:ind w:right="-426"/>
        <w:rPr>
          <w:rFonts w:ascii="Open Sans Light" w:eastAsia="Open Sans Light" w:hAnsi="Open Sans Light" w:cs="Open Sans Light"/>
          <w:b/>
          <w:bCs/>
          <w:color w:val="303AB2"/>
        </w:rPr>
      </w:pPr>
    </w:p>
    <w:p w14:paraId="155F32F1" w14:textId="77777777" w:rsidR="00B7685C" w:rsidRDefault="00000000" w:rsidP="00640F61">
      <w:pPr>
        <w:spacing w:line="276" w:lineRule="auto"/>
        <w:ind w:right="-426"/>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031FFAD"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92A4533"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4">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05AD7599"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xml:space="preserve">, ofreciendo la mayor oferta de viviendas de segunda mano, obra nueva, </w:t>
      </w:r>
      <w:r>
        <w:rPr>
          <w:rFonts w:ascii="Open Sans" w:eastAsia="Open Sans" w:hAnsi="Open Sans" w:cs="Open Sans"/>
          <w:sz w:val="22"/>
          <w:szCs w:val="22"/>
        </w:rPr>
        <w:lastRenderedPageBreak/>
        <w:t>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A8515AC"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0E9D687F" w14:textId="77777777" w:rsidR="00B7685C" w:rsidRDefault="00000000" w:rsidP="00640F61">
      <w:pPr>
        <w:shd w:val="clear" w:color="auto" w:fill="FFFFFF"/>
        <w:spacing w:before="280" w:after="280" w:line="276" w:lineRule="auto"/>
        <w:ind w:right="-426"/>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47BE833D" w14:textId="77777777" w:rsidR="00B7685C" w:rsidRDefault="00B7685C" w:rsidP="00640F61">
      <w:pPr>
        <w:spacing w:line="276" w:lineRule="auto"/>
        <w:ind w:right="-426"/>
        <w:jc w:val="right"/>
        <w:rPr>
          <w:rFonts w:ascii="Open Sans" w:eastAsia="Open Sans" w:hAnsi="Open Sans" w:cs="Open Sans"/>
        </w:rPr>
      </w:pPr>
    </w:p>
    <w:p w14:paraId="72BD905A" w14:textId="77777777" w:rsidR="00B7685C" w:rsidRDefault="00000000" w:rsidP="00640F61">
      <w:pPr>
        <w:spacing w:line="276" w:lineRule="auto"/>
        <w:ind w:right="-426"/>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D57BAB0" w14:textId="48ACF00C" w:rsidR="00B7685C" w:rsidRDefault="00000000" w:rsidP="00640F61">
      <w:pPr>
        <w:shd w:val="clear" w:color="auto" w:fill="FFFFFF"/>
        <w:spacing w:line="276" w:lineRule="auto"/>
        <w:ind w:right="-426"/>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Anaïs </w:t>
      </w:r>
      <w:r w:rsidR="00640F61">
        <w:rPr>
          <w:rFonts w:ascii="Open Sans" w:eastAsia="Open Sans" w:hAnsi="Open Sans" w:cs="Open Sans"/>
          <w:b/>
          <w:bCs/>
          <w:color w:val="000000"/>
          <w:sz w:val="22"/>
          <w:szCs w:val="22"/>
        </w:rPr>
        <w:t>García</w:t>
      </w:r>
    </w:p>
    <w:p w14:paraId="59A1E4A7" w14:textId="77777777" w:rsidR="00B7685C" w:rsidRDefault="00000000" w:rsidP="00640F61">
      <w:pPr>
        <w:shd w:val="clear" w:color="auto" w:fill="FFFFFF"/>
        <w:spacing w:line="276" w:lineRule="auto"/>
        <w:ind w:right="-42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32CDB81B" w14:textId="77777777" w:rsidR="00B7685C" w:rsidRDefault="00000000" w:rsidP="00640F61">
      <w:pPr>
        <w:shd w:val="clear" w:color="auto" w:fill="FFFFFF"/>
        <w:spacing w:line="276" w:lineRule="auto"/>
        <w:ind w:right="-426"/>
        <w:rPr>
          <w:rFonts w:ascii="Open Sans" w:eastAsia="Open Sans" w:hAnsi="Open Sans" w:cs="Open Sans"/>
          <w:sz w:val="22"/>
          <w:szCs w:val="22"/>
        </w:rPr>
      </w:pPr>
      <w:r>
        <w:rPr>
          <w:rFonts w:ascii="Open Sans" w:eastAsia="Open Sans" w:hAnsi="Open Sans" w:cs="Open Sans"/>
          <w:color w:val="000000"/>
          <w:sz w:val="22"/>
          <w:szCs w:val="22"/>
        </w:rPr>
        <w:t>620 66 29 26</w:t>
      </w:r>
    </w:p>
    <w:p w14:paraId="191CAAB2" w14:textId="77777777" w:rsidR="00B7685C" w:rsidRDefault="00B7685C" w:rsidP="00640F61">
      <w:pPr>
        <w:shd w:val="clear" w:color="auto" w:fill="FFFFFF"/>
        <w:spacing w:line="276" w:lineRule="auto"/>
        <w:ind w:right="-426"/>
        <w:rPr>
          <w:rFonts w:ascii="Open Sans" w:eastAsia="Open Sans" w:hAnsi="Open Sans" w:cs="Open Sans"/>
          <w:sz w:val="22"/>
          <w:szCs w:val="22"/>
        </w:rPr>
      </w:pPr>
    </w:p>
    <w:sectPr w:rsidR="00B7685C">
      <w:headerReference w:type="default" r:id="rId26"/>
      <w:footerReference w:type="default" r:id="rId27"/>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D7F68" w14:textId="77777777" w:rsidR="00FB0E78" w:rsidRDefault="00FB0E78">
      <w:r>
        <w:separator/>
      </w:r>
    </w:p>
  </w:endnote>
  <w:endnote w:type="continuationSeparator" w:id="0">
    <w:p w14:paraId="708C0FE0" w14:textId="77777777" w:rsidR="00FB0E78" w:rsidRDefault="00FB0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477BF7B-7228-44BE-B856-65A624EB63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A05B92-50E2-4A02-BA17-75B0FEF643C5}"/>
    <w:embedBold r:id="rId3" w:fontKey="{21C22F4A-DBF1-4C4F-8EF9-ADD1F9E5FCDA}"/>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CF9A533F-D294-40F2-98A7-166C5989F49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4CC9B80-92B9-4BD5-9EEE-CD6A81CBFC19}"/>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DF73A929-2827-4135-965E-49743312DF85}"/>
    <w:embedBold r:id="rId7" w:fontKey="{8829B350-3EEB-4986-BE9B-4EA24585158C}"/>
    <w:embedItalic r:id="rId8" w:fontKey="{9BF20D64-4D57-4105-AA03-EF2F8A14D339}"/>
    <w:embedBoldItalic r:id="rId9" w:fontKey="{6C574EF6-7BDA-4657-B28D-5AA9FBD3D715}"/>
  </w:font>
  <w:font w:name="Open Sans Light">
    <w:charset w:val="00"/>
    <w:family w:val="swiss"/>
    <w:pitch w:val="variable"/>
    <w:sig w:usb0="E00002EF" w:usb1="4000205B" w:usb2="00000028" w:usb3="00000000" w:csb0="0000019F" w:csb1="00000000"/>
    <w:embedBold r:id="rId10" w:fontKey="{EA7B7185-B911-4426-872E-21CBAEE10013}"/>
  </w:font>
  <w:font w:name="Calibri Light">
    <w:panose1 w:val="020F0302020204030204"/>
    <w:charset w:val="00"/>
    <w:family w:val="swiss"/>
    <w:pitch w:val="variable"/>
    <w:sig w:usb0="E4002EFF" w:usb1="C200247B" w:usb2="00000009" w:usb3="00000000" w:csb0="000001FF" w:csb1="00000000"/>
    <w:embedRegular r:id="rId11" w:fontKey="{DC221D6E-893C-46D2-A7F3-D3F8A4FEB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009B9" w14:textId="77777777" w:rsidR="00B7685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6875349F" wp14:editId="7370B6B0">
          <wp:simplePos x="0" y="0"/>
          <wp:positionH relativeFrom="column">
            <wp:posOffset>-1080131</wp:posOffset>
          </wp:positionH>
          <wp:positionV relativeFrom="paragraph">
            <wp:posOffset>294640</wp:posOffset>
          </wp:positionV>
          <wp:extent cx="7670550" cy="451315"/>
          <wp:effectExtent l="0" t="0" r="0" b="0"/>
          <wp:wrapSquare wrapText="bothSides" distT="0" distB="0" distL="0" distR="0"/>
          <wp:docPr id="18788524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3DF2C" w14:textId="77777777" w:rsidR="00FB0E78" w:rsidRDefault="00FB0E78">
      <w:r>
        <w:separator/>
      </w:r>
    </w:p>
  </w:footnote>
  <w:footnote w:type="continuationSeparator" w:id="0">
    <w:p w14:paraId="07F97D91" w14:textId="77777777" w:rsidR="00FB0E78" w:rsidRDefault="00FB0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72E0" w14:textId="77777777" w:rsidR="00B7685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A281602" wp14:editId="3EE0F908">
          <wp:simplePos x="0" y="0"/>
          <wp:positionH relativeFrom="column">
            <wp:posOffset>-1234437</wp:posOffset>
          </wp:positionH>
          <wp:positionV relativeFrom="paragraph">
            <wp:posOffset>-239391</wp:posOffset>
          </wp:positionV>
          <wp:extent cx="2939415" cy="1019175"/>
          <wp:effectExtent l="0" t="0" r="0" b="0"/>
          <wp:wrapNone/>
          <wp:docPr id="1878852430" name="image3.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Patrón de fondo&#10;&#10;El contenido generado por IA puede ser incorrecto."/>
                  <pic:cNvPicPr preferRelativeResize="0"/>
                </pic:nvPicPr>
                <pic:blipFill>
                  <a:blip r:embed="rId1"/>
                  <a:srcRect l="-1336" r="62566"/>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BE8B7C" wp14:editId="43F9FD3F">
          <wp:simplePos x="0" y="0"/>
          <wp:positionH relativeFrom="column">
            <wp:posOffset>3903345</wp:posOffset>
          </wp:positionH>
          <wp:positionV relativeFrom="paragraph">
            <wp:posOffset>-33017</wp:posOffset>
          </wp:positionV>
          <wp:extent cx="2352040" cy="895350"/>
          <wp:effectExtent l="0" t="0" r="0" b="0"/>
          <wp:wrapSquare wrapText="bothSides" distT="0" distB="0" distL="114300" distR="114300"/>
          <wp:docPr id="1878852432" name="image2.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459FD00B" w14:textId="77777777" w:rsidR="00B7685C" w:rsidRDefault="00B7685C">
    <w:pPr>
      <w:pBdr>
        <w:top w:val="nil"/>
        <w:left w:val="nil"/>
        <w:bottom w:val="nil"/>
        <w:right w:val="nil"/>
        <w:between w:val="nil"/>
      </w:pBdr>
      <w:tabs>
        <w:tab w:val="center" w:pos="4252"/>
        <w:tab w:val="right" w:pos="8504"/>
      </w:tabs>
      <w:rPr>
        <w:color w:val="000000"/>
      </w:rPr>
    </w:pPr>
  </w:p>
  <w:p w14:paraId="1EFD1994" w14:textId="77777777" w:rsidR="00B7685C" w:rsidRDefault="00B7685C">
    <w:pPr>
      <w:pBdr>
        <w:top w:val="nil"/>
        <w:left w:val="nil"/>
        <w:bottom w:val="nil"/>
        <w:right w:val="nil"/>
        <w:between w:val="nil"/>
      </w:pBdr>
      <w:tabs>
        <w:tab w:val="center" w:pos="4252"/>
        <w:tab w:val="right" w:pos="8504"/>
      </w:tabs>
      <w:rPr>
        <w:color w:val="000000"/>
      </w:rPr>
    </w:pPr>
  </w:p>
  <w:p w14:paraId="6ECB0599" w14:textId="77777777" w:rsidR="00B7685C" w:rsidRDefault="00B7685C">
    <w:pPr>
      <w:pBdr>
        <w:top w:val="nil"/>
        <w:left w:val="nil"/>
        <w:bottom w:val="nil"/>
        <w:right w:val="nil"/>
        <w:between w:val="nil"/>
      </w:pBdr>
      <w:tabs>
        <w:tab w:val="center" w:pos="4252"/>
        <w:tab w:val="right" w:pos="8504"/>
      </w:tabs>
      <w:rPr>
        <w:color w:val="000000"/>
      </w:rPr>
    </w:pPr>
  </w:p>
  <w:p w14:paraId="7DA2BFAE" w14:textId="77777777" w:rsidR="00B7685C" w:rsidRDefault="00B7685C">
    <w:pPr>
      <w:pBdr>
        <w:top w:val="nil"/>
        <w:left w:val="nil"/>
        <w:bottom w:val="nil"/>
        <w:right w:val="nil"/>
        <w:between w:val="nil"/>
      </w:pBdr>
      <w:tabs>
        <w:tab w:val="center" w:pos="4252"/>
        <w:tab w:val="right" w:pos="8504"/>
      </w:tabs>
      <w:rPr>
        <w:color w:val="000000"/>
      </w:rPr>
    </w:pPr>
  </w:p>
  <w:p w14:paraId="67A07536" w14:textId="77777777" w:rsidR="00B7685C" w:rsidRDefault="00B7685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15FD8"/>
    <w:multiLevelType w:val="multilevel"/>
    <w:tmpl w:val="7AE28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7554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85C"/>
    <w:rsid w:val="00640F61"/>
    <w:rsid w:val="0098421B"/>
    <w:rsid w:val="00B7685C"/>
    <w:rsid w:val="00FB0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50BD"/>
  <w15:docId w15:val="{E5948424-E8BC-4242-B8C0-CC678FF0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a"/>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9"/>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3"/>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6">
    <w:basedOn w:val="TableNormal2"/>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chart" Target="charts/chart2.xml"/><Relationship Id="rId18" Type="http://schemas.openxmlformats.org/officeDocument/2006/relationships/hyperlink" Target="http://prensa.fotocas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rofesionales.fotocasa.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inmoweb.es/" TargetMode="External"/><Relationship Id="rId5" Type="http://schemas.openxmlformats.org/officeDocument/2006/relationships/webSettings" Target="webSettings.xml"/><Relationship Id="rId15" Type="http://schemas.openxmlformats.org/officeDocument/2006/relationships/hyperlink" Target="https://datavenues.com/" TargetMode="External"/><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datavenues.com/"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108_&#205;ndice%20Predictivo/results_city_2025_decemb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02.%20Projectes/2026/260108_&#205;ndice%20Predictivo/results_city_2025_decemb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30000">
                  <a:schemeClr val="accent1">
                    <a:lumMod val="40000"/>
                    <a:lumOff val="60000"/>
                  </a:schemeClr>
                </a:gs>
                <a:gs pos="57000">
                  <a:schemeClr val="accent1">
                    <a:lumMod val="95000"/>
                    <a:lumOff val="5000"/>
                  </a:schemeClr>
                </a:gs>
                <a:gs pos="100000">
                  <a:srgbClr val="002060"/>
                </a:gs>
              </a:gsLst>
              <a:path path="circle">
                <a:fillToRect l="50000" t="130000" r="50000" b="-30000"/>
              </a:path>
              <a:tileRect/>
            </a:gradFill>
            <a:ln>
              <a:noFill/>
            </a:ln>
            <a:effectLst/>
          </c:spPr>
          <c:invertIfNegative val="0"/>
          <c:cat>
            <c:strRef>
              <c:f>forecast!$G$21721:$G$21992</c:f>
              <c:strCache>
                <c:ptCount val="33"/>
                <c:pt idx="0">
                  <c:v>Guadalajara</c:v>
                </c:pt>
                <c:pt idx="1">
                  <c:v>Salamanca</c:v>
                </c:pt>
                <c:pt idx="2">
                  <c:v>Santa Cruz de T.</c:v>
                </c:pt>
                <c:pt idx="3">
                  <c:v>Logroño</c:v>
                </c:pt>
                <c:pt idx="4">
                  <c:v>Valladolid</c:v>
                </c:pt>
                <c:pt idx="5">
                  <c:v>Burgos</c:v>
                </c:pt>
                <c:pt idx="6">
                  <c:v>León</c:v>
                </c:pt>
                <c:pt idx="7">
                  <c:v>Ourense</c:v>
                </c:pt>
                <c:pt idx="8">
                  <c:v>Jaén</c:v>
                </c:pt>
                <c:pt idx="9">
                  <c:v>Oviedo</c:v>
                </c:pt>
                <c:pt idx="10">
                  <c:v>Zaragoza</c:v>
                </c:pt>
                <c:pt idx="11">
                  <c:v>Sevilla</c:v>
                </c:pt>
                <c:pt idx="12">
                  <c:v>Pontevedra</c:v>
                </c:pt>
                <c:pt idx="13">
                  <c:v>Cáceres</c:v>
                </c:pt>
                <c:pt idx="14">
                  <c:v>Palma</c:v>
                </c:pt>
                <c:pt idx="15">
                  <c:v>Segovia</c:v>
                </c:pt>
                <c:pt idx="16">
                  <c:v>Huelva</c:v>
                </c:pt>
                <c:pt idx="17">
                  <c:v>Huesca</c:v>
                </c:pt>
                <c:pt idx="18">
                  <c:v>Badajoz</c:v>
                </c:pt>
                <c:pt idx="19">
                  <c:v>Castellón</c:v>
                </c:pt>
                <c:pt idx="20">
                  <c:v>Málaga</c:v>
                </c:pt>
                <c:pt idx="21">
                  <c:v>Cuenca</c:v>
                </c:pt>
                <c:pt idx="22">
                  <c:v>Ávila</c:v>
                </c:pt>
                <c:pt idx="23">
                  <c:v>Zamora</c:v>
                </c:pt>
                <c:pt idx="24">
                  <c:v>Murcia</c:v>
                </c:pt>
                <c:pt idx="25">
                  <c:v>Madrid</c:v>
                </c:pt>
                <c:pt idx="26">
                  <c:v>Ciudad Real</c:v>
                </c:pt>
                <c:pt idx="27">
                  <c:v>San Sebastián</c:v>
                </c:pt>
                <c:pt idx="28">
                  <c:v>Lugo</c:v>
                </c:pt>
                <c:pt idx="29">
                  <c:v>Granada</c:v>
                </c:pt>
                <c:pt idx="30">
                  <c:v>Palencia</c:v>
                </c:pt>
                <c:pt idx="31">
                  <c:v>Vitoria</c:v>
                </c:pt>
                <c:pt idx="32">
                  <c:v>Vigo</c:v>
                </c:pt>
              </c:strCache>
            </c:strRef>
          </c:cat>
          <c:val>
            <c:numRef>
              <c:f>forecast!$O$21721:$O$21992</c:f>
              <c:numCache>
                <c:formatCode>0.0</c:formatCode>
                <c:ptCount val="33"/>
                <c:pt idx="0">
                  <c:v>10.06</c:v>
                </c:pt>
                <c:pt idx="1">
                  <c:v>9.4700000000000006</c:v>
                </c:pt>
                <c:pt idx="2">
                  <c:v>6.15</c:v>
                </c:pt>
                <c:pt idx="3">
                  <c:v>6.1</c:v>
                </c:pt>
                <c:pt idx="4">
                  <c:v>5.16</c:v>
                </c:pt>
                <c:pt idx="5">
                  <c:v>5.12</c:v>
                </c:pt>
                <c:pt idx="6">
                  <c:v>5.0599999999999996</c:v>
                </c:pt>
                <c:pt idx="7">
                  <c:v>4.93</c:v>
                </c:pt>
                <c:pt idx="8">
                  <c:v>4.5599999999999996</c:v>
                </c:pt>
                <c:pt idx="9">
                  <c:v>4.16</c:v>
                </c:pt>
                <c:pt idx="10">
                  <c:v>4.09</c:v>
                </c:pt>
                <c:pt idx="11">
                  <c:v>4.0199999999999996</c:v>
                </c:pt>
                <c:pt idx="12">
                  <c:v>3.92</c:v>
                </c:pt>
                <c:pt idx="13">
                  <c:v>3.11</c:v>
                </c:pt>
                <c:pt idx="14">
                  <c:v>3.11</c:v>
                </c:pt>
                <c:pt idx="15">
                  <c:v>2.84</c:v>
                </c:pt>
                <c:pt idx="16">
                  <c:v>2.76</c:v>
                </c:pt>
                <c:pt idx="17">
                  <c:v>2.61</c:v>
                </c:pt>
                <c:pt idx="18">
                  <c:v>2.4300000000000002</c:v>
                </c:pt>
                <c:pt idx="19">
                  <c:v>2.2400000000000002</c:v>
                </c:pt>
                <c:pt idx="20">
                  <c:v>2.2200000000000002</c:v>
                </c:pt>
                <c:pt idx="21">
                  <c:v>2.2000000000000002</c:v>
                </c:pt>
                <c:pt idx="22">
                  <c:v>2.17</c:v>
                </c:pt>
                <c:pt idx="23">
                  <c:v>1.97</c:v>
                </c:pt>
                <c:pt idx="24">
                  <c:v>1.94</c:v>
                </c:pt>
                <c:pt idx="25">
                  <c:v>1.88</c:v>
                </c:pt>
                <c:pt idx="26">
                  <c:v>1.61</c:v>
                </c:pt>
                <c:pt idx="27">
                  <c:v>1.4</c:v>
                </c:pt>
                <c:pt idx="28">
                  <c:v>1.24</c:v>
                </c:pt>
                <c:pt idx="29">
                  <c:v>1.19</c:v>
                </c:pt>
                <c:pt idx="30">
                  <c:v>0.63</c:v>
                </c:pt>
                <c:pt idx="31">
                  <c:v>0.55000000000000004</c:v>
                </c:pt>
                <c:pt idx="32">
                  <c:v>0.25</c:v>
                </c:pt>
              </c:numCache>
            </c:numRef>
          </c:val>
          <c:extLst>
            <c:ext xmlns:c16="http://schemas.microsoft.com/office/drawing/2014/chart" uri="{C3380CC4-5D6E-409C-BE32-E72D297353CC}">
              <c16:uniqueId val="{00000000-096E-4B1E-B0A1-8E042EB0B414}"/>
            </c:ext>
          </c:extLst>
        </c:ser>
        <c:dLbls>
          <c:showLegendKey val="0"/>
          <c:showVal val="0"/>
          <c:showCatName val="0"/>
          <c:showSerName val="0"/>
          <c:showPercent val="0"/>
          <c:showBubbleSize val="0"/>
        </c:dLbls>
        <c:gapWidth val="219"/>
        <c:overlap val="-27"/>
        <c:axId val="502732575"/>
        <c:axId val="502733535"/>
      </c:barChart>
      <c:catAx>
        <c:axId val="50273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502733535"/>
        <c:crosses val="autoZero"/>
        <c:auto val="1"/>
        <c:lblAlgn val="ctr"/>
        <c:lblOffset val="100"/>
        <c:noMultiLvlLbl val="0"/>
      </c:catAx>
      <c:valAx>
        <c:axId val="502733535"/>
        <c:scaling>
          <c:orientation val="minMax"/>
          <c:max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502732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30000">
                  <a:srgbClr val="EA1ECD"/>
                </a:gs>
                <a:gs pos="100000">
                  <a:schemeClr val="bg1"/>
                </a:gs>
              </a:gsLst>
              <a:path path="circle">
                <a:fillToRect l="50000" t="130000" r="50000" b="-30000"/>
              </a:path>
              <a:tileRect/>
            </a:gradFill>
            <a:ln>
              <a:noFill/>
            </a:ln>
            <a:effectLst/>
          </c:spPr>
          <c:invertIfNegative val="0"/>
          <c:cat>
            <c:strRef>
              <c:f>forecast!$G$22034:$G$22112</c:f>
              <c:strCache>
                <c:ptCount val="10"/>
                <c:pt idx="0">
                  <c:v>Las Palmas</c:v>
                </c:pt>
                <c:pt idx="1">
                  <c:v>Pamplona</c:v>
                </c:pt>
                <c:pt idx="2">
                  <c:v>Cádiz</c:v>
                </c:pt>
                <c:pt idx="3">
                  <c:v>Barcelona</c:v>
                </c:pt>
                <c:pt idx="4">
                  <c:v>Albacete</c:v>
                </c:pt>
                <c:pt idx="5">
                  <c:v>Alicante</c:v>
                </c:pt>
                <c:pt idx="6">
                  <c:v>A Coruña</c:v>
                </c:pt>
                <c:pt idx="7">
                  <c:v>Valencia</c:v>
                </c:pt>
                <c:pt idx="8">
                  <c:v>Córdoba</c:v>
                </c:pt>
                <c:pt idx="9">
                  <c:v>Santander</c:v>
                </c:pt>
              </c:strCache>
            </c:strRef>
          </c:cat>
          <c:val>
            <c:numRef>
              <c:f>forecast!$O$22034:$O$22112</c:f>
              <c:numCache>
                <c:formatCode>0.0</c:formatCode>
                <c:ptCount val="10"/>
                <c:pt idx="0">
                  <c:v>-0.11</c:v>
                </c:pt>
                <c:pt idx="1">
                  <c:v>-0.43</c:v>
                </c:pt>
                <c:pt idx="2">
                  <c:v>-0.8</c:v>
                </c:pt>
                <c:pt idx="3">
                  <c:v>-1.1399999999999999</c:v>
                </c:pt>
                <c:pt idx="4">
                  <c:v>-1.28</c:v>
                </c:pt>
                <c:pt idx="5">
                  <c:v>-1.54</c:v>
                </c:pt>
                <c:pt idx="6">
                  <c:v>-2.54</c:v>
                </c:pt>
                <c:pt idx="7">
                  <c:v>-3.02</c:v>
                </c:pt>
                <c:pt idx="8">
                  <c:v>-3.77</c:v>
                </c:pt>
                <c:pt idx="9">
                  <c:v>-4.6100000000000003</c:v>
                </c:pt>
              </c:numCache>
            </c:numRef>
          </c:val>
          <c:extLst>
            <c:ext xmlns:c16="http://schemas.microsoft.com/office/drawing/2014/chart" uri="{C3380CC4-5D6E-409C-BE32-E72D297353CC}">
              <c16:uniqueId val="{00000000-0895-4226-9CDB-0E8478F066A9}"/>
            </c:ext>
          </c:extLst>
        </c:ser>
        <c:dLbls>
          <c:showLegendKey val="0"/>
          <c:showVal val="0"/>
          <c:showCatName val="0"/>
          <c:showSerName val="0"/>
          <c:showPercent val="0"/>
          <c:showBubbleSize val="0"/>
        </c:dLbls>
        <c:gapWidth val="219"/>
        <c:overlap val="-27"/>
        <c:axId val="502732575"/>
        <c:axId val="502733535"/>
      </c:barChart>
      <c:catAx>
        <c:axId val="502732575"/>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502733535"/>
        <c:crosses val="autoZero"/>
        <c:auto val="1"/>
        <c:lblAlgn val="ctr"/>
        <c:lblOffset val="100"/>
        <c:noMultiLvlLbl val="0"/>
      </c:catAx>
      <c:valAx>
        <c:axId val="50273353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ca-ES"/>
          </a:p>
        </c:txPr>
        <c:crossAx val="502732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Cn4EwkW5nZmmng0eZoE7BcRQ==">CgMxLjAyDmguYTF2eDFmN2l3Y2xmMgloLjMwajB6bGwyDmguZ21lcGYyNHczcHJmMg5oLno4M3RkcXZ3a2N6aTIOaC5zbW9xZnI3amw5eGg4AHIhMUlKTFAyb0s2dVdXN1VKN1I3X0RCQ0ZLampGTFpnaG9L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1527</Words>
  <Characters>8403</Characters>
  <Application>Microsoft Office Word</Application>
  <DocSecurity>0</DocSecurity>
  <Lines>70</Lines>
  <Paragraphs>19</Paragraphs>
  <ScaleCrop>false</ScaleCrop>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Anais Garcia Lopez</cp:lastModifiedBy>
  <cp:revision>2</cp:revision>
  <dcterms:created xsi:type="dcterms:W3CDTF">2025-07-03T08:42:00Z</dcterms:created>
  <dcterms:modified xsi:type="dcterms:W3CDTF">2026-01-19T21:20:00Z</dcterms:modified>
</cp:coreProperties>
</file>