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F21372" w14:textId="77777777" w:rsidR="00B87061" w:rsidRDefault="00000000">
      <w:r>
        <w:rPr>
          <w:noProof/>
        </w:rPr>
        <w:drawing>
          <wp:anchor distT="0" distB="0" distL="114300" distR="114300" simplePos="0" relativeHeight="251658240" behindDoc="0" locked="0" layoutInCell="1" hidden="0" allowOverlap="1" wp14:anchorId="16F7F8E2" wp14:editId="4213C0F5">
            <wp:simplePos x="0" y="0"/>
            <wp:positionH relativeFrom="column">
              <wp:posOffset>-1080118</wp:posOffset>
            </wp:positionH>
            <wp:positionV relativeFrom="paragraph">
              <wp:posOffset>-654667</wp:posOffset>
            </wp:positionV>
            <wp:extent cx="7581265" cy="1019175"/>
            <wp:effectExtent l="0" t="0" r="0" b="0"/>
            <wp:wrapNone/>
            <wp:docPr id="20668166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53E0B702" w14:textId="77777777" w:rsidR="00B87061" w:rsidRDefault="00B87061">
      <w:pPr>
        <w:jc w:val="right"/>
        <w:rPr>
          <w:rFonts w:ascii="National" w:eastAsia="National" w:hAnsi="National" w:cs="National"/>
          <w:color w:val="303AB2"/>
          <w:sz w:val="36"/>
          <w:szCs w:val="36"/>
        </w:rPr>
      </w:pPr>
    </w:p>
    <w:p w14:paraId="6ED9A336" w14:textId="77777777" w:rsidR="00B87061" w:rsidRDefault="00B87061">
      <w:pPr>
        <w:rPr>
          <w:rFonts w:ascii="National" w:eastAsia="National" w:hAnsi="National" w:cs="National"/>
          <w:color w:val="303AB2"/>
          <w:sz w:val="18"/>
          <w:szCs w:val="18"/>
        </w:rPr>
      </w:pPr>
    </w:p>
    <w:p w14:paraId="2E574681" w14:textId="77777777" w:rsidR="00B87061" w:rsidRDefault="00B87061">
      <w:pPr>
        <w:jc w:val="center"/>
        <w:rPr>
          <w:rFonts w:ascii="National" w:eastAsia="National" w:hAnsi="National" w:cs="National"/>
          <w:b/>
          <w:bCs/>
          <w:color w:val="1DBDC5"/>
          <w:sz w:val="34"/>
          <w:szCs w:val="34"/>
        </w:rPr>
      </w:pPr>
    </w:p>
    <w:p w14:paraId="65388E50" w14:textId="77777777" w:rsidR="00B87061" w:rsidRDefault="00000000">
      <w:pPr>
        <w:jc w:val="center"/>
        <w:rPr>
          <w:rFonts w:ascii="National" w:eastAsia="National" w:hAnsi="National" w:cs="National"/>
          <w:b/>
          <w:bCs/>
          <w:color w:val="1DBDC5"/>
          <w:sz w:val="34"/>
          <w:szCs w:val="34"/>
        </w:rPr>
      </w:pPr>
      <w:r>
        <w:rPr>
          <w:rFonts w:ascii="National" w:eastAsia="National" w:hAnsi="National" w:cs="National"/>
          <w:b/>
          <w:bCs/>
          <w:color w:val="1DBDC5"/>
          <w:sz w:val="34"/>
          <w:szCs w:val="34"/>
        </w:rPr>
        <w:t>INFORME “LA VIVIENDA EN ALQUILER EN ESPAÑA EN 2025”</w:t>
      </w:r>
    </w:p>
    <w:p w14:paraId="45B88FE5" w14:textId="77777777" w:rsidR="00B87061" w:rsidRDefault="00000000">
      <w:pPr>
        <w:jc w:val="center"/>
        <w:rPr>
          <w:rFonts w:ascii="National" w:eastAsia="National" w:hAnsi="National" w:cs="National"/>
          <w:b/>
          <w:bCs/>
          <w:color w:val="303AB2"/>
          <w:sz w:val="46"/>
          <w:szCs w:val="46"/>
        </w:rPr>
      </w:pPr>
      <w:r>
        <w:rPr>
          <w:rFonts w:ascii="National" w:eastAsia="National" w:hAnsi="National" w:cs="National"/>
          <w:b/>
          <w:bCs/>
          <w:color w:val="303AB2"/>
          <w:sz w:val="46"/>
          <w:szCs w:val="46"/>
        </w:rPr>
        <w:t>Cataluña, Baleares y Madrid concentran los municipios con los alquileres más altos de España a cierre de 2025</w:t>
      </w:r>
    </w:p>
    <w:p w14:paraId="54750F32" w14:textId="77777777" w:rsidR="00B87061" w:rsidRDefault="00B87061">
      <w:pPr>
        <w:jc w:val="center"/>
        <w:rPr>
          <w:rFonts w:ascii="Open Sans" w:eastAsia="Open Sans" w:hAnsi="Open Sans" w:cs="Open Sans"/>
          <w:color w:val="303AB2"/>
        </w:rPr>
      </w:pPr>
    </w:p>
    <w:p w14:paraId="29D4C430" w14:textId="77777777" w:rsidR="00B87061" w:rsidRDefault="00000000">
      <w:pPr>
        <w:numPr>
          <w:ilvl w:val="0"/>
          <w:numId w:val="1"/>
        </w:numPr>
        <w:pBdr>
          <w:top w:val="nil"/>
          <w:left w:val="nil"/>
          <w:bottom w:val="nil"/>
          <w:right w:val="nil"/>
          <w:between w:val="nil"/>
        </w:pBdr>
        <w:spacing w:line="276" w:lineRule="auto"/>
        <w:ind w:left="720"/>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Esplugues de Llobregat, Eivissa y Barcelona capital lideran el ranking de los municipios con el alquiler más caro del país</w:t>
      </w:r>
    </w:p>
    <w:p w14:paraId="627722CD" w14:textId="77777777" w:rsidR="00B87061" w:rsidRDefault="00000000">
      <w:pPr>
        <w:numPr>
          <w:ilvl w:val="0"/>
          <w:numId w:val="1"/>
        </w:numPr>
        <w:pBdr>
          <w:top w:val="nil"/>
          <w:left w:val="nil"/>
          <w:bottom w:val="nil"/>
          <w:right w:val="nil"/>
          <w:between w:val="nil"/>
        </w:pBdr>
        <w:spacing w:line="276" w:lineRule="auto"/>
        <w:ind w:left="720"/>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Barcelona, Madrid y Gipuzkoa encabezan la lista de las provincias con los precios del alquiler más elevados</w:t>
      </w:r>
    </w:p>
    <w:p w14:paraId="0F7F099D" w14:textId="77777777" w:rsidR="00B87061" w:rsidRDefault="00000000">
      <w:pPr>
        <w:numPr>
          <w:ilvl w:val="0"/>
          <w:numId w:val="1"/>
        </w:numPr>
        <w:pBdr>
          <w:top w:val="nil"/>
          <w:left w:val="nil"/>
          <w:bottom w:val="nil"/>
          <w:right w:val="nil"/>
          <w:between w:val="nil"/>
        </w:pBdr>
        <w:spacing w:line="276" w:lineRule="auto"/>
        <w:ind w:left="720"/>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El precio del alquiler en España sube un 7% en 2025 y se mantiene por encima de los 14 euros por metro cuadrado al mes</w:t>
      </w:r>
    </w:p>
    <w:p w14:paraId="17A0782C" w14:textId="77777777" w:rsidR="00B87061" w:rsidRDefault="00B87061">
      <w:pPr>
        <w:pBdr>
          <w:top w:val="nil"/>
          <w:left w:val="nil"/>
          <w:bottom w:val="nil"/>
          <w:right w:val="nil"/>
          <w:between w:val="nil"/>
        </w:pBdr>
        <w:spacing w:line="276" w:lineRule="auto"/>
        <w:ind w:left="720"/>
        <w:jc w:val="both"/>
        <w:rPr>
          <w:rFonts w:ascii="Open Sans Light" w:eastAsia="Open Sans Light" w:hAnsi="Open Sans Light" w:cs="Open Sans Light"/>
          <w:b/>
          <w:bCs/>
          <w:color w:val="303AB2"/>
        </w:rPr>
      </w:pPr>
    </w:p>
    <w:p w14:paraId="022EE2F1" w14:textId="77777777" w:rsidR="00B87061" w:rsidRDefault="00000000">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Madrid, 23 de enero de 2026</w:t>
      </w:r>
      <w:r>
        <w:rPr>
          <w:rFonts w:ascii="Open Sans Light" w:eastAsia="Open Sans Light" w:hAnsi="Open Sans Light" w:cs="Open Sans Light"/>
          <w:b/>
          <w:bCs/>
          <w:color w:val="303AB2"/>
        </w:rPr>
        <w:tab/>
      </w:r>
    </w:p>
    <w:p w14:paraId="5BC4D871" w14:textId="77777777" w:rsidR="00B87061" w:rsidRDefault="00B87061">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p>
    <w:p w14:paraId="29B05D4B" w14:textId="3ECB15AB" w:rsidR="00B87061" w:rsidRDefault="00000000">
      <w:pPr>
        <w:pBdr>
          <w:top w:val="nil"/>
          <w:left w:val="nil"/>
          <w:bottom w:val="nil"/>
          <w:right w:val="nil"/>
          <w:between w:val="nil"/>
        </w:pBdr>
        <w:spacing w:line="276" w:lineRule="auto"/>
        <w:jc w:val="both"/>
        <w:rPr>
          <w:rFonts w:ascii="Open Sans" w:eastAsia="Open Sans" w:hAnsi="Open Sans" w:cs="Open Sans"/>
          <w:b/>
          <w:bCs/>
        </w:rPr>
      </w:pPr>
      <w:r>
        <w:rPr>
          <w:rFonts w:ascii="Open Sans" w:eastAsia="Open Sans" w:hAnsi="Open Sans" w:cs="Open Sans"/>
        </w:rPr>
        <w:t xml:space="preserve">El mercado de la vivienda de alquiler en España ha cerrado el año 2025 con un escenario marcado por precios muy elevados, y con las rentas más altas concentradas en territorios con una fuerte presión de la demanda, especialmente en Cataluña, la Comunidad de Madrid, Baleares, el País Vasco y Canarias. En el análisis municipal, Cataluña vuelve a situarse como uno de los principales focos de precios elevados. La provincia de Barcelona concentra hasta cuatro de los diez municipios con el alquiler más caro de España. Esplugues de Llobregat encabeza el ranking nacional con un precio medio de 25,53 euros por metro cuadrado al mes, convirtiéndose en el municipio más caro para vivir de alquiler a cierre de 2025. </w:t>
      </w:r>
      <w:r>
        <w:rPr>
          <w:rFonts w:ascii="Open Sans" w:eastAsia="Open Sans" w:hAnsi="Open Sans" w:cs="Open Sans"/>
          <w:b/>
          <w:bCs/>
        </w:rPr>
        <w:t>Estas son algunas de las conclusiones que se extraen de los datos del “</w:t>
      </w:r>
      <w:hyperlink r:id="rId9" w:history="1">
        <w:r w:rsidRPr="001F7B57">
          <w:rPr>
            <w:rStyle w:val="Hipervnculo"/>
            <w:rFonts w:ascii="Open Sans" w:eastAsia="Open Sans" w:hAnsi="Open Sans" w:cs="Open Sans"/>
            <w:b/>
            <w:bCs/>
            <w:i/>
            <w:iCs/>
          </w:rPr>
          <w:t>La vivienda en alquiler en España en el año 2025</w:t>
        </w:r>
      </w:hyperlink>
      <w:r>
        <w:rPr>
          <w:rFonts w:ascii="Open Sans" w:eastAsia="Open Sans" w:hAnsi="Open Sans" w:cs="Open Sans"/>
          <w:b/>
          <w:bCs/>
        </w:rPr>
        <w:t>”, elaborado a partir del Índice Inmobiliario </w:t>
      </w:r>
      <w:hyperlink r:id="rId10">
        <w:r>
          <w:rPr>
            <w:rFonts w:ascii="Open Sans" w:eastAsia="Open Sans" w:hAnsi="Open Sans" w:cs="Open Sans"/>
            <w:b/>
            <w:bCs/>
            <w:color w:val="0000FF"/>
            <w:u w:val="single"/>
          </w:rPr>
          <w:t>Fotocasa</w:t>
        </w:r>
      </w:hyperlink>
      <w:r>
        <w:rPr>
          <w:rFonts w:ascii="Open Sans" w:eastAsia="Open Sans" w:hAnsi="Open Sans" w:cs="Open Sans"/>
          <w:b/>
          <w:bCs/>
        </w:rPr>
        <w:t>.</w:t>
      </w:r>
    </w:p>
    <w:p w14:paraId="6DF7C27C" w14:textId="77777777" w:rsidR="00B87061" w:rsidRDefault="00B87061">
      <w:pPr>
        <w:pBdr>
          <w:top w:val="nil"/>
          <w:left w:val="nil"/>
          <w:bottom w:val="nil"/>
          <w:right w:val="nil"/>
          <w:between w:val="nil"/>
        </w:pBdr>
        <w:spacing w:line="276" w:lineRule="auto"/>
        <w:jc w:val="both"/>
        <w:rPr>
          <w:rFonts w:ascii="Open Sans" w:eastAsia="Open Sans" w:hAnsi="Open Sans" w:cs="Open Sans"/>
          <w:b/>
          <w:bCs/>
        </w:rPr>
      </w:pPr>
    </w:p>
    <w:p w14:paraId="54ED10BF" w14:textId="04F343C1" w:rsidR="00B87061" w:rsidRDefault="00000000">
      <w:pPr>
        <w:pBdr>
          <w:top w:val="nil"/>
          <w:left w:val="nil"/>
          <w:bottom w:val="nil"/>
          <w:right w:val="nil"/>
          <w:between w:val="nil"/>
        </w:pBdr>
        <w:spacing w:line="276" w:lineRule="auto"/>
        <w:jc w:val="both"/>
        <w:rPr>
          <w:rFonts w:ascii="Open Sans" w:eastAsia="Open Sans" w:hAnsi="Open Sans" w:cs="Open Sans"/>
          <w:b/>
          <w:bCs/>
        </w:rPr>
      </w:pPr>
      <w:r>
        <w:rPr>
          <w:rFonts w:ascii="Open Sans" w:eastAsia="Open Sans" w:hAnsi="Open Sans" w:cs="Open Sans"/>
        </w:rPr>
        <w:t xml:space="preserve">“El encarecimiento del alquiler se concentra especialmente en aquellas zonas con mayor presión demográfica y económica, donde la creación de nuevo parque residencial no está siendo capaz de absorber la demanda existente. Esta falta de oferta estructural provoca que los precios se tensionen de forma persistente, incluso en momentos de menor crecimiento económico. Aunque el ritmo de </w:t>
      </w:r>
      <w:r>
        <w:rPr>
          <w:rFonts w:ascii="Open Sans" w:eastAsia="Open Sans" w:hAnsi="Open Sans" w:cs="Open Sans"/>
        </w:rPr>
        <w:lastRenderedPageBreak/>
        <w:t xml:space="preserve">crecimiento se ha moderado en algunos territorios, los precios se mantienen en niveles máximos, lo que evidencia que el ajuste no está viniendo por una relajación real del mercado, sino por los límites económicos de los hogares para asumir rentas cada vez más elevada”, </w:t>
      </w:r>
      <w:r>
        <w:rPr>
          <w:rFonts w:ascii="Open Sans" w:eastAsia="Open Sans" w:hAnsi="Open Sans" w:cs="Open Sans"/>
          <w:b/>
          <w:bCs/>
        </w:rPr>
        <w:t xml:space="preserve">explica María Matos, directora de Estudios y portavoz de </w:t>
      </w:r>
      <w:hyperlink r:id="rId11" w:history="1">
        <w:r w:rsidRPr="001F7B57">
          <w:rPr>
            <w:rStyle w:val="Hipervnculo"/>
            <w:rFonts w:ascii="Open Sans" w:eastAsia="Open Sans" w:hAnsi="Open Sans" w:cs="Open Sans"/>
            <w:b/>
            <w:bCs/>
          </w:rPr>
          <w:t>Fotocasa</w:t>
        </w:r>
      </w:hyperlink>
      <w:r>
        <w:rPr>
          <w:rFonts w:ascii="Open Sans" w:eastAsia="Open Sans" w:hAnsi="Open Sans" w:cs="Open Sans"/>
          <w:b/>
          <w:bCs/>
        </w:rPr>
        <w:t>.</w:t>
      </w:r>
    </w:p>
    <w:p w14:paraId="25A8596A" w14:textId="77777777" w:rsidR="00B87061" w:rsidRDefault="00B87061">
      <w:pPr>
        <w:pBdr>
          <w:top w:val="nil"/>
          <w:left w:val="nil"/>
          <w:bottom w:val="nil"/>
          <w:right w:val="nil"/>
          <w:between w:val="nil"/>
        </w:pBdr>
        <w:spacing w:line="276" w:lineRule="auto"/>
        <w:jc w:val="both"/>
        <w:rPr>
          <w:rFonts w:ascii="Open Sans" w:eastAsia="Open Sans" w:hAnsi="Open Sans" w:cs="Open Sans"/>
        </w:rPr>
      </w:pPr>
    </w:p>
    <w:p w14:paraId="467AEBCF" w14:textId="77777777" w:rsidR="00B87061" w:rsidRDefault="00000000">
      <w:pPr>
        <w:pBdr>
          <w:top w:val="nil"/>
          <w:left w:val="nil"/>
          <w:bottom w:val="nil"/>
          <w:right w:val="nil"/>
          <w:between w:val="nil"/>
        </w:pBdr>
        <w:spacing w:line="276" w:lineRule="auto"/>
        <w:jc w:val="center"/>
        <w:rPr>
          <w:rFonts w:ascii="National" w:eastAsia="National" w:hAnsi="National" w:cs="National"/>
          <w:b/>
          <w:bCs/>
          <w:color w:val="303AB2"/>
          <w:sz w:val="30"/>
          <w:szCs w:val="30"/>
        </w:rPr>
      </w:pPr>
      <w:r>
        <w:rPr>
          <w:rFonts w:ascii="National" w:eastAsia="National" w:hAnsi="National" w:cs="National"/>
          <w:b/>
          <w:bCs/>
          <w:color w:val="303AB2"/>
          <w:sz w:val="30"/>
          <w:szCs w:val="30"/>
        </w:rPr>
        <w:t>Los diez municipios con el precio más elevado</w:t>
      </w:r>
    </w:p>
    <w:p w14:paraId="74B535CB" w14:textId="77777777" w:rsidR="00B87061" w:rsidRDefault="00000000">
      <w:pPr>
        <w:pBdr>
          <w:top w:val="nil"/>
          <w:left w:val="nil"/>
          <w:bottom w:val="nil"/>
          <w:right w:val="nil"/>
          <w:between w:val="nil"/>
        </w:pBdr>
        <w:spacing w:line="276" w:lineRule="auto"/>
        <w:jc w:val="both"/>
        <w:rPr>
          <w:rFonts w:ascii="Open Sans" w:eastAsia="Open Sans" w:hAnsi="Open Sans" w:cs="Open Sans"/>
        </w:rPr>
      </w:pPr>
      <w:r>
        <w:rPr>
          <w:noProof/>
        </w:rPr>
        <w:drawing>
          <wp:inline distT="0" distB="0" distL="0" distR="0" wp14:anchorId="0ADE3C17" wp14:editId="0AB403F8">
            <wp:extent cx="5895975" cy="3295650"/>
            <wp:effectExtent l="0" t="0" r="0" b="0"/>
            <wp:docPr id="2066816615" name="Gráfico 20668166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6DDA587" w14:textId="77777777" w:rsidR="00B87061"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También en Cataluña, </w:t>
      </w:r>
      <w:r>
        <w:rPr>
          <w:rFonts w:ascii="Open Sans" w:eastAsia="Open Sans" w:hAnsi="Open Sans" w:cs="Open Sans"/>
          <w:b/>
          <w:bCs/>
        </w:rPr>
        <w:t>Barcelona capital registra un precio de 23,30 euros por metro cuadrado</w:t>
      </w:r>
      <w:r>
        <w:rPr>
          <w:rFonts w:ascii="Open Sans" w:eastAsia="Open Sans" w:hAnsi="Open Sans" w:cs="Open Sans"/>
        </w:rPr>
        <w:t>, mientras que L’Hospitalet de Llobregat alcanza los 21,07 euros. Sitges, también en la provincia de Barcelona, se sitúa entre los diez primeros con un precio medio de 20,33 euros por metro cuadrado, reflejando la elevada tensión del mercado en el entorno metropolitano y costero de la comunidad catalana.</w:t>
      </w:r>
    </w:p>
    <w:p w14:paraId="602424C0" w14:textId="77777777" w:rsidR="00B87061" w:rsidRDefault="00B87061">
      <w:pPr>
        <w:pBdr>
          <w:top w:val="nil"/>
          <w:left w:val="nil"/>
          <w:bottom w:val="nil"/>
          <w:right w:val="nil"/>
          <w:between w:val="nil"/>
        </w:pBdr>
        <w:spacing w:line="276" w:lineRule="auto"/>
        <w:jc w:val="both"/>
        <w:rPr>
          <w:rFonts w:ascii="Open Sans" w:eastAsia="Open Sans" w:hAnsi="Open Sans" w:cs="Open Sans"/>
        </w:rPr>
      </w:pPr>
    </w:p>
    <w:p w14:paraId="65A2CB7D" w14:textId="77777777" w:rsidR="00B87061" w:rsidRDefault="00000000">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National" w:eastAsia="National" w:hAnsi="National" w:cs="National"/>
          <w:b/>
          <w:bCs/>
          <w:color w:val="303AB2"/>
          <w:sz w:val="32"/>
          <w:szCs w:val="32"/>
        </w:rPr>
        <w:t>Municipios de Baleares y Madrid, entre los más caros</w:t>
      </w:r>
    </w:p>
    <w:p w14:paraId="31657046" w14:textId="77777777" w:rsidR="00B87061" w:rsidRDefault="00B87061">
      <w:pPr>
        <w:pBdr>
          <w:top w:val="nil"/>
          <w:left w:val="nil"/>
          <w:bottom w:val="nil"/>
          <w:right w:val="nil"/>
          <w:between w:val="nil"/>
        </w:pBdr>
        <w:spacing w:line="276" w:lineRule="auto"/>
        <w:jc w:val="both"/>
        <w:rPr>
          <w:rFonts w:ascii="Open Sans" w:eastAsia="Open Sans" w:hAnsi="Open Sans" w:cs="Open Sans"/>
        </w:rPr>
      </w:pPr>
    </w:p>
    <w:p w14:paraId="1B90FC8E" w14:textId="77777777" w:rsidR="00B87061"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Por su lado, Baleares consolida igualmente su posición entre los territorios con los alquileres más altos del país. </w:t>
      </w:r>
      <w:r>
        <w:rPr>
          <w:rFonts w:ascii="Open Sans" w:eastAsia="Open Sans" w:hAnsi="Open Sans" w:cs="Open Sans"/>
          <w:b/>
          <w:bCs/>
        </w:rPr>
        <w:t>Eivissa se sitúa como el segundo municipio más caro de España, con un precio de 23,34 euros por metro cuadrado</w:t>
      </w:r>
      <w:r>
        <w:rPr>
          <w:rFonts w:ascii="Open Sans" w:eastAsia="Open Sans" w:hAnsi="Open Sans" w:cs="Open Sans"/>
        </w:rPr>
        <w:t xml:space="preserve"> al mes, mientras que Calvià alcanza los 22,17 euros. Ambos municipios reflejan el peso de la demanda en zonas con una intensa actividad turística y una oferta residencial muy limitada.</w:t>
      </w:r>
    </w:p>
    <w:p w14:paraId="2435A63C" w14:textId="77777777" w:rsidR="00B87061" w:rsidRDefault="00B87061">
      <w:pPr>
        <w:pBdr>
          <w:top w:val="nil"/>
          <w:left w:val="nil"/>
          <w:bottom w:val="nil"/>
          <w:right w:val="nil"/>
          <w:between w:val="nil"/>
        </w:pBdr>
        <w:spacing w:line="276" w:lineRule="auto"/>
        <w:jc w:val="both"/>
        <w:rPr>
          <w:rFonts w:ascii="Open Sans" w:eastAsia="Open Sans" w:hAnsi="Open Sans" w:cs="Open Sans"/>
        </w:rPr>
      </w:pPr>
    </w:p>
    <w:p w14:paraId="39370CAF" w14:textId="77777777" w:rsidR="00B87061"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lastRenderedPageBreak/>
        <w:t xml:space="preserve">La Comunidad de Madrid mantiene una presencia destacada en el ranking de municipios con los precios más elevados. </w:t>
      </w:r>
      <w:r>
        <w:rPr>
          <w:rFonts w:ascii="Open Sans" w:eastAsia="Open Sans" w:hAnsi="Open Sans" w:cs="Open Sans"/>
          <w:b/>
          <w:bCs/>
        </w:rPr>
        <w:t>Madrid capital registra un precio medio de 21,69 euros por metro cuadrado</w:t>
      </w:r>
      <w:r>
        <w:rPr>
          <w:rFonts w:ascii="Open Sans" w:eastAsia="Open Sans" w:hAnsi="Open Sans" w:cs="Open Sans"/>
        </w:rPr>
        <w:t>, situándose entre los cinco municipios más caros de España. A su vez, La Moraleja alcanza los 20,41 euros por metro cuadrado, confirmando la elevada presión del mercado del alquiler en determinadas áreas del entorno madrileño.</w:t>
      </w:r>
    </w:p>
    <w:p w14:paraId="0FEE7AF5" w14:textId="77777777" w:rsidR="00B87061" w:rsidRDefault="00B87061">
      <w:pPr>
        <w:pBdr>
          <w:top w:val="nil"/>
          <w:left w:val="nil"/>
          <w:bottom w:val="nil"/>
          <w:right w:val="nil"/>
          <w:between w:val="nil"/>
        </w:pBdr>
        <w:spacing w:line="276" w:lineRule="auto"/>
        <w:jc w:val="both"/>
        <w:rPr>
          <w:rFonts w:ascii="Open Sans" w:eastAsia="Open Sans" w:hAnsi="Open Sans" w:cs="Open Sans"/>
        </w:rPr>
      </w:pPr>
    </w:p>
    <w:p w14:paraId="4AEFB343" w14:textId="77777777" w:rsidR="00B87061"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Fuera de estos grandes núcleos, también destacan municipios de otros territorios con mercados muy tensionados. </w:t>
      </w:r>
      <w:r>
        <w:rPr>
          <w:rFonts w:ascii="Open Sans" w:eastAsia="Open Sans" w:hAnsi="Open Sans" w:cs="Open Sans"/>
          <w:b/>
          <w:bCs/>
        </w:rPr>
        <w:t>La ciudad de San Sebastián, en la provincia de Gipuzkoa, registra un precio de 20,29 euros por metro cuadrado</w:t>
      </w:r>
      <w:r>
        <w:rPr>
          <w:rFonts w:ascii="Open Sans" w:eastAsia="Open Sans" w:hAnsi="Open Sans" w:cs="Open Sans"/>
        </w:rPr>
        <w:t>, situándose entre los diez municipios más caros de España. En Canarias, San Bartolomé de Tirajana, en la provincia de Las Palmas, alcanza los 20,95 euros por metro cuadrado, reflejando la elevada demanda en zonas turísticas del archipiélago.</w:t>
      </w:r>
    </w:p>
    <w:p w14:paraId="68BCFC43" w14:textId="77777777" w:rsidR="00B87061" w:rsidRDefault="00B87061">
      <w:pPr>
        <w:pBdr>
          <w:top w:val="nil"/>
          <w:left w:val="nil"/>
          <w:bottom w:val="nil"/>
          <w:right w:val="nil"/>
          <w:between w:val="nil"/>
        </w:pBdr>
        <w:spacing w:line="276" w:lineRule="auto"/>
        <w:jc w:val="both"/>
        <w:rPr>
          <w:rFonts w:ascii="Open Sans" w:eastAsia="Open Sans" w:hAnsi="Open Sans" w:cs="Open Sans"/>
        </w:rPr>
      </w:pPr>
    </w:p>
    <w:p w14:paraId="352677E6" w14:textId="77777777" w:rsidR="00B87061" w:rsidRDefault="00000000">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National" w:eastAsia="National" w:hAnsi="National" w:cs="National"/>
          <w:b/>
          <w:bCs/>
          <w:color w:val="303AB2"/>
          <w:sz w:val="32"/>
          <w:szCs w:val="32"/>
        </w:rPr>
        <w:t>Análisis por provincias</w:t>
      </w:r>
    </w:p>
    <w:p w14:paraId="1FD27911" w14:textId="77777777" w:rsidR="00B87061" w:rsidRDefault="00B87061">
      <w:pPr>
        <w:pBdr>
          <w:top w:val="nil"/>
          <w:left w:val="nil"/>
          <w:bottom w:val="nil"/>
          <w:right w:val="nil"/>
          <w:between w:val="nil"/>
        </w:pBdr>
        <w:spacing w:line="276" w:lineRule="auto"/>
        <w:jc w:val="both"/>
        <w:rPr>
          <w:rFonts w:ascii="Open Sans" w:eastAsia="Open Sans" w:hAnsi="Open Sans" w:cs="Open Sans"/>
        </w:rPr>
      </w:pPr>
    </w:p>
    <w:p w14:paraId="687B31BA" w14:textId="77777777" w:rsidR="00B87061"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Si se analiza el mercado desde una perspectiva provincial, </w:t>
      </w:r>
      <w:r>
        <w:rPr>
          <w:rFonts w:ascii="Open Sans" w:eastAsia="Open Sans" w:hAnsi="Open Sans" w:cs="Open Sans"/>
          <w:b/>
          <w:bCs/>
        </w:rPr>
        <w:t>Barcelona se sitúa como la provincia con el alquiler más caro de España, con un precio medio de 21,90 euros por metro cuadrado al mes</w:t>
      </w:r>
      <w:r>
        <w:rPr>
          <w:rFonts w:ascii="Open Sans" w:eastAsia="Open Sans" w:hAnsi="Open Sans" w:cs="Open Sans"/>
        </w:rPr>
        <w:t>. Le sigue Madrid, con 20,66 euros, confirmando el liderazgo de ambos territorios como los mercados con mayores precios del país. Gipuzkoa ocupa la tercera posición, con un precio medio de 19,02 euros por metro cuadrado, consolidando al País Vasco como una de las comunidades con mayor nivel de rentas de alquiler. Baleares se sitúa también entre las provincias más caras, con un precio medio de 18,60 euros por metro cuadrado, mientras que Bizkaia alcanza los 17,30 euros.</w:t>
      </w:r>
    </w:p>
    <w:p w14:paraId="592FA162" w14:textId="77777777" w:rsidR="00B87061" w:rsidRDefault="00B87061">
      <w:pPr>
        <w:pBdr>
          <w:top w:val="nil"/>
          <w:left w:val="nil"/>
          <w:bottom w:val="nil"/>
          <w:right w:val="nil"/>
          <w:between w:val="nil"/>
        </w:pBdr>
        <w:spacing w:line="276" w:lineRule="auto"/>
        <w:jc w:val="both"/>
        <w:rPr>
          <w:rFonts w:ascii="Open Sans" w:eastAsia="Open Sans" w:hAnsi="Open Sans" w:cs="Open Sans"/>
        </w:rPr>
      </w:pPr>
    </w:p>
    <w:p w14:paraId="134F0D43" w14:textId="77777777" w:rsidR="00B87061"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Volviendo </w:t>
      </w:r>
      <w:r>
        <w:rPr>
          <w:rFonts w:ascii="Open Sans" w:eastAsia="Open Sans" w:hAnsi="Open Sans" w:cs="Open Sans"/>
          <w:b/>
          <w:bCs/>
        </w:rPr>
        <w:t>al arco mediterráneo, Málaga se posiciona como una de las provincias con los alquileres más elevados, con un precio medio de 15,98 euros por metro cuadrado</w:t>
      </w:r>
      <w:r>
        <w:rPr>
          <w:rFonts w:ascii="Open Sans" w:eastAsia="Open Sans" w:hAnsi="Open Sans" w:cs="Open Sans"/>
        </w:rPr>
        <w:t>. Le sigue Las Palmas, con 15,80 euros, reforzando el peso de Canarias entre las provincias más caras. Girona registra un precio de 14,99 euros, mientras que Valencia alcanza los 14,93 euros por metro cuadrado al mes. Por último, Santa Cruz de Tenerife completa el listado de las diez provincias con los precios más altos, con un alquiler medio de 14,58 euros por metro cuadrado.</w:t>
      </w:r>
    </w:p>
    <w:p w14:paraId="1CA3CF70" w14:textId="77777777" w:rsidR="001F7B57" w:rsidRDefault="001F7B57">
      <w:pPr>
        <w:pBdr>
          <w:top w:val="nil"/>
          <w:left w:val="nil"/>
          <w:bottom w:val="nil"/>
          <w:right w:val="nil"/>
          <w:between w:val="nil"/>
        </w:pBdr>
        <w:spacing w:line="276" w:lineRule="auto"/>
        <w:jc w:val="both"/>
        <w:rPr>
          <w:rFonts w:ascii="Open Sans" w:eastAsia="Open Sans" w:hAnsi="Open Sans" w:cs="Open Sans"/>
        </w:rPr>
      </w:pPr>
    </w:p>
    <w:p w14:paraId="5ABC82F4" w14:textId="77777777" w:rsidR="00B87061" w:rsidRDefault="00B87061">
      <w:pPr>
        <w:pBdr>
          <w:top w:val="nil"/>
          <w:left w:val="nil"/>
          <w:bottom w:val="nil"/>
          <w:right w:val="nil"/>
          <w:between w:val="nil"/>
        </w:pBdr>
        <w:spacing w:line="276" w:lineRule="auto"/>
        <w:jc w:val="both"/>
        <w:rPr>
          <w:rFonts w:ascii="Open Sans" w:eastAsia="Open Sans" w:hAnsi="Open Sans" w:cs="Open Sans"/>
        </w:rPr>
      </w:pPr>
    </w:p>
    <w:p w14:paraId="0CF8ACA6" w14:textId="77777777" w:rsidR="00B87061"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lastRenderedPageBreak/>
        <w:t xml:space="preserve">En diciembre de 2025, </w:t>
      </w:r>
      <w:r>
        <w:rPr>
          <w:rFonts w:ascii="Open Sans" w:eastAsia="Open Sans" w:hAnsi="Open Sans" w:cs="Open Sans"/>
          <w:b/>
          <w:bCs/>
        </w:rPr>
        <w:t>el precio medio del alquiler en España se sitúa en 14,21 euros por metro cuadrado al mes</w:t>
      </w:r>
      <w:r>
        <w:rPr>
          <w:rFonts w:ascii="Open Sans" w:eastAsia="Open Sans" w:hAnsi="Open Sans" w:cs="Open Sans"/>
        </w:rPr>
        <w:t>, tras una subida del 7% a nivel interanual. Desde noviembre de 2024, el valor medio del alquiler no ha vuelto a situarse por debajo de los 13 euros por metro cuadrado, lo que evidencia la persistencia de precios elevados en el mercado. Además, el máximo histórico de la serie se alcanzó en junio de 2025, cuando el precio medio del alquiler llegó a los 14,38 euros por metro cuadrado al mes.</w:t>
      </w:r>
    </w:p>
    <w:p w14:paraId="3B042642" w14:textId="77777777" w:rsidR="00B87061" w:rsidRDefault="00B87061">
      <w:pPr>
        <w:pBdr>
          <w:top w:val="nil"/>
          <w:left w:val="nil"/>
          <w:bottom w:val="nil"/>
          <w:right w:val="nil"/>
          <w:between w:val="nil"/>
        </w:pBdr>
        <w:spacing w:line="276" w:lineRule="auto"/>
        <w:jc w:val="both"/>
        <w:rPr>
          <w:rFonts w:ascii="Open Sans" w:eastAsia="Open Sans" w:hAnsi="Open Sans" w:cs="Open Sans"/>
        </w:rPr>
      </w:pPr>
    </w:p>
    <w:p w14:paraId="1467B01B" w14:textId="77777777" w:rsidR="00B87061" w:rsidRDefault="00B87061">
      <w:pPr>
        <w:pBdr>
          <w:top w:val="nil"/>
          <w:left w:val="nil"/>
          <w:bottom w:val="nil"/>
          <w:right w:val="nil"/>
          <w:between w:val="nil"/>
        </w:pBdr>
        <w:spacing w:line="276" w:lineRule="auto"/>
        <w:jc w:val="both"/>
        <w:rPr>
          <w:rFonts w:ascii="Open Sans" w:eastAsia="Open Sans" w:hAnsi="Open Sans" w:cs="Open Sans"/>
        </w:rPr>
      </w:pPr>
    </w:p>
    <w:p w14:paraId="36702417" w14:textId="77777777" w:rsidR="001F7B57" w:rsidRDefault="001F7B57">
      <w:pPr>
        <w:spacing w:line="276" w:lineRule="auto"/>
        <w:jc w:val="right"/>
        <w:rPr>
          <w:rFonts w:ascii="Open Sans Light" w:eastAsia="Open Sans Light" w:hAnsi="Open Sans Light" w:cs="Open Sans Light"/>
          <w:b/>
          <w:bCs/>
          <w:color w:val="303AB2"/>
        </w:rPr>
      </w:pPr>
    </w:p>
    <w:p w14:paraId="68DBC756" w14:textId="5359C890" w:rsidR="00B87061" w:rsidRDefault="00000000">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w:t>
      </w:r>
    </w:p>
    <w:p w14:paraId="527B0BAD" w14:textId="77777777" w:rsidR="00B87061"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Fotocasa es uno de los principales portales inmobiliarios de España, con una amplia oferta de viviendas de segunda mano, promociones de obra nueva y alquileres que pertenece a </w:t>
      </w:r>
      <w:r>
        <w:rPr>
          <w:rFonts w:ascii="Open Sans" w:eastAsia="Open Sans" w:hAnsi="Open Sans" w:cs="Open Sans"/>
          <w:b/>
          <w:bCs/>
          <w:sz w:val="22"/>
          <w:szCs w:val="22"/>
        </w:rPr>
        <w:t>Fotocasa Group</w:t>
      </w:r>
      <w:r>
        <w:rPr>
          <w:rFonts w:ascii="Open Sans" w:eastAsia="Open Sans" w:hAnsi="Open Sans" w:cs="Open Sans"/>
          <w:sz w:val="22"/>
          <w:szCs w:val="22"/>
        </w:rPr>
        <w:t xml:space="preserve">. </w:t>
      </w:r>
    </w:p>
    <w:p w14:paraId="557BD918" w14:textId="77777777" w:rsidR="00B87061"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Mensualmente, elabora el </w:t>
      </w:r>
      <w:hyperlink r:id="rId13">
        <w:r>
          <w:rPr>
            <w:rFonts w:ascii="Open Sans" w:eastAsia="Open Sans" w:hAnsi="Open Sans" w:cs="Open Sans"/>
            <w:b/>
            <w:bCs/>
            <w:color w:val="0000FF"/>
            <w:sz w:val="22"/>
            <w:szCs w:val="22"/>
            <w:u w:val="single"/>
          </w:rPr>
          <w:t>Índice inmobiliario Fotocasa</w:t>
        </w:r>
      </w:hyperlink>
      <w:r>
        <w:rPr>
          <w:rFonts w:ascii="Open Sans" w:eastAsia="Open Sans" w:hAnsi="Open Sans" w:cs="Open Sans"/>
          <w:sz w:val="22"/>
          <w:szCs w:val="22"/>
        </w:rPr>
        <w:t>, un informe de referencia que analiza la evolución del precio medio de la vivienda en España, tanto en venta como en alquiler.</w:t>
      </w:r>
    </w:p>
    <w:p w14:paraId="0B44411E" w14:textId="77777777" w:rsidR="00B87061"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Desde 2017, desarrolla además estudios sociológicos bajo el sello </w:t>
      </w:r>
      <w:hyperlink r:id="rId14">
        <w:r>
          <w:rPr>
            <w:rFonts w:ascii="Open Sans" w:eastAsia="Open Sans" w:hAnsi="Open Sans" w:cs="Open Sans"/>
            <w:b/>
            <w:bCs/>
            <w:color w:val="0000FF"/>
            <w:sz w:val="22"/>
            <w:szCs w:val="22"/>
            <w:u w:val="single"/>
          </w:rPr>
          <w:t xml:space="preserve">Fotocasa </w:t>
        </w:r>
        <w:proofErr w:type="spellStart"/>
        <w:r>
          <w:rPr>
            <w:rFonts w:ascii="Open Sans" w:eastAsia="Open Sans" w:hAnsi="Open Sans" w:cs="Open Sans"/>
            <w:b/>
            <w:bCs/>
            <w:color w:val="0000FF"/>
            <w:sz w:val="22"/>
            <w:szCs w:val="22"/>
            <w:u w:val="single"/>
          </w:rPr>
          <w:t>Research</w:t>
        </w:r>
        <w:proofErr w:type="spellEnd"/>
      </w:hyperlink>
      <w:r>
        <w:rPr>
          <w:rFonts w:ascii="Open Sans" w:eastAsia="Open Sans" w:hAnsi="Open Sans" w:cs="Open Sans"/>
          <w:sz w:val="22"/>
          <w:szCs w:val="22"/>
        </w:rPr>
        <w:t>, con el objetivo de aportar conocimiento y análisis en profundidad sobre las tendencias del mercado y el comportamiento de los ciudadanos en relación con la vivienda.</w:t>
      </w:r>
    </w:p>
    <w:p w14:paraId="5482D5BE" w14:textId="77777777" w:rsidR="00B87061"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la información y los últimos comunicados están disponibles en su </w:t>
      </w:r>
      <w:hyperlink r:id="rId15">
        <w:r>
          <w:rPr>
            <w:rFonts w:ascii="Open Sans" w:eastAsia="Open Sans" w:hAnsi="Open Sans" w:cs="Open Sans"/>
            <w:b/>
            <w:bCs/>
            <w:color w:val="0000FF"/>
            <w:sz w:val="22"/>
            <w:szCs w:val="22"/>
            <w:u w:val="single"/>
          </w:rPr>
          <w:t>Sala de Prensa</w:t>
        </w:r>
      </w:hyperlink>
    </w:p>
    <w:p w14:paraId="3A4EBC8E" w14:textId="77777777" w:rsidR="00B87061" w:rsidRDefault="00B87061">
      <w:pPr>
        <w:spacing w:line="276" w:lineRule="auto"/>
        <w:rPr>
          <w:rFonts w:ascii="Open Sans Light" w:eastAsia="Open Sans Light" w:hAnsi="Open Sans Light" w:cs="Open Sans Light"/>
          <w:b/>
          <w:bCs/>
          <w:color w:val="303AB2"/>
        </w:rPr>
      </w:pPr>
    </w:p>
    <w:p w14:paraId="79A467F4" w14:textId="77777777" w:rsidR="00B87061" w:rsidRDefault="00B87061">
      <w:pPr>
        <w:spacing w:line="276" w:lineRule="auto"/>
        <w:rPr>
          <w:rFonts w:ascii="Open Sans Light" w:eastAsia="Open Sans Light" w:hAnsi="Open Sans Light" w:cs="Open Sans Light"/>
          <w:b/>
          <w:bCs/>
          <w:color w:val="303AB2"/>
        </w:rPr>
      </w:pPr>
    </w:p>
    <w:p w14:paraId="3334E9B6" w14:textId="77777777" w:rsidR="00B87061" w:rsidRDefault="00000000">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 Group</w:t>
      </w:r>
    </w:p>
    <w:p w14:paraId="0FF6BE84" w14:textId="77777777" w:rsidR="00B87061"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b/>
          <w:bCs/>
          <w:sz w:val="22"/>
          <w:szCs w:val="22"/>
        </w:rPr>
        <w:t>Fotocasa Group</w:t>
      </w:r>
      <w:r>
        <w:rPr>
          <w:rFonts w:ascii="Open Sans" w:eastAsia="Open Sans" w:hAnsi="Open Sans" w:cs="Open Sans"/>
          <w:sz w:val="22"/>
          <w:szCs w:val="22"/>
        </w:rPr>
        <w:t xml:space="preserve"> es un referente del sector inmobiliario en España, </w:t>
      </w:r>
      <w:r>
        <w:rPr>
          <w:rFonts w:ascii="Open Sans" w:eastAsia="Open Sans" w:hAnsi="Open Sans" w:cs="Open Sans"/>
          <w:b/>
          <w:bCs/>
          <w:sz w:val="22"/>
          <w:szCs w:val="22"/>
        </w:rPr>
        <w:t>con más de 25 años de experiencia</w:t>
      </w:r>
      <w:r>
        <w:rPr>
          <w:rFonts w:ascii="Open Sans" w:eastAsia="Open Sans" w:hAnsi="Open Sans" w:cs="Open Sans"/>
          <w:sz w:val="22"/>
          <w:szCs w:val="22"/>
        </w:rPr>
        <w:t> liderando la transformación del real estate a través de la innovación, los datos y la tecnología.</w:t>
      </w:r>
    </w:p>
    <w:p w14:paraId="07F787CD" w14:textId="77777777" w:rsidR="00B87061"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Bajo su marca paraguas, Fotocasa Group impulsa y da visibilidad a un ecosistema de marcas líderes —</w:t>
      </w:r>
      <w:hyperlink r:id="rId16">
        <w:r>
          <w:rPr>
            <w:rFonts w:ascii="Open Sans" w:eastAsia="Open Sans" w:hAnsi="Open Sans" w:cs="Open Sans"/>
            <w:b/>
            <w:bCs/>
            <w:color w:val="0000FF"/>
            <w:sz w:val="22"/>
            <w:szCs w:val="22"/>
            <w:u w:val="single"/>
          </w:rPr>
          <w:t>Fotocasa</w:t>
        </w:r>
      </w:hyperlink>
      <w:r>
        <w:rPr>
          <w:rFonts w:ascii="Open Sans" w:eastAsia="Open Sans" w:hAnsi="Open Sans" w:cs="Open Sans"/>
          <w:sz w:val="22"/>
          <w:szCs w:val="22"/>
        </w:rPr>
        <w:t xml:space="preserve">, </w:t>
      </w:r>
      <w:hyperlink r:id="rId17">
        <w:proofErr w:type="spellStart"/>
        <w:r>
          <w:rPr>
            <w:rFonts w:ascii="Open Sans" w:eastAsia="Open Sans" w:hAnsi="Open Sans" w:cs="Open Sans"/>
            <w:b/>
            <w:bCs/>
            <w:color w:val="0000FF"/>
            <w:sz w:val="22"/>
            <w:szCs w:val="22"/>
            <w:u w:val="single"/>
          </w:rPr>
          <w:t>habitaclia</w:t>
        </w:r>
        <w:proofErr w:type="spellEnd"/>
      </w:hyperlink>
      <w:r>
        <w:rPr>
          <w:rFonts w:ascii="Open Sans" w:eastAsia="Open Sans" w:hAnsi="Open Sans" w:cs="Open Sans"/>
          <w:sz w:val="22"/>
          <w:szCs w:val="22"/>
        </w:rPr>
        <w:t xml:space="preserve">, </w:t>
      </w:r>
      <w:hyperlink r:id="rId18">
        <w:r>
          <w:rPr>
            <w:rFonts w:ascii="Open Sans" w:eastAsia="Open Sans" w:hAnsi="Open Sans" w:cs="Open Sans"/>
            <w:b/>
            <w:bCs/>
            <w:color w:val="0000FF"/>
            <w:sz w:val="22"/>
            <w:szCs w:val="22"/>
            <w:u w:val="single"/>
          </w:rPr>
          <w:t>Fotocasa Pro</w:t>
        </w:r>
      </w:hyperlink>
      <w:r>
        <w:rPr>
          <w:rFonts w:ascii="Open Sans" w:eastAsia="Open Sans" w:hAnsi="Open Sans" w:cs="Open Sans"/>
          <w:sz w:val="22"/>
          <w:szCs w:val="22"/>
        </w:rPr>
        <w:t xml:space="preserve">, </w:t>
      </w:r>
      <w:hyperlink r:id="rId19">
        <w:proofErr w:type="spellStart"/>
        <w:r>
          <w:rPr>
            <w:rFonts w:ascii="Open Sans" w:eastAsia="Open Sans" w:hAnsi="Open Sans" w:cs="Open Sans"/>
            <w:b/>
            <w:bCs/>
            <w:color w:val="0000FF"/>
            <w:sz w:val="22"/>
            <w:szCs w:val="22"/>
            <w:u w:val="single"/>
          </w:rPr>
          <w:t>Datavenues</w:t>
        </w:r>
        <w:proofErr w:type="spellEnd"/>
      </w:hyperlink>
      <w:r>
        <w:rPr>
          <w:rFonts w:ascii="Open Sans" w:eastAsia="Open Sans" w:hAnsi="Open Sans" w:cs="Open Sans"/>
          <w:sz w:val="22"/>
          <w:szCs w:val="22"/>
        </w:rPr>
        <w:t xml:space="preserve">, </w:t>
      </w:r>
      <w:hyperlink r:id="rId20">
        <w:proofErr w:type="spellStart"/>
        <w:r>
          <w:rPr>
            <w:rFonts w:ascii="Open Sans" w:eastAsia="Open Sans" w:hAnsi="Open Sans" w:cs="Open Sans"/>
            <w:b/>
            <w:bCs/>
            <w:color w:val="0000FF"/>
            <w:sz w:val="22"/>
            <w:szCs w:val="22"/>
            <w:u w:val="single"/>
          </w:rPr>
          <w:t>Witei</w:t>
        </w:r>
        <w:proofErr w:type="spellEnd"/>
      </w:hyperlink>
      <w:r>
        <w:rPr>
          <w:rFonts w:ascii="Open Sans" w:eastAsia="Open Sans" w:hAnsi="Open Sans" w:cs="Open Sans"/>
          <w:sz w:val="22"/>
          <w:szCs w:val="22"/>
        </w:rPr>
        <w:t xml:space="preserve"> e </w:t>
      </w:r>
      <w:hyperlink r:id="rId21">
        <w:proofErr w:type="spellStart"/>
        <w:r>
          <w:rPr>
            <w:rFonts w:ascii="Open Sans" w:eastAsia="Open Sans" w:hAnsi="Open Sans" w:cs="Open Sans"/>
            <w:b/>
            <w:bCs/>
            <w:color w:val="0000FF"/>
            <w:sz w:val="22"/>
            <w:szCs w:val="22"/>
          </w:rPr>
          <w:t>Inmoweb</w:t>
        </w:r>
        <w:proofErr w:type="spellEnd"/>
      </w:hyperlink>
      <w:r>
        <w:rPr>
          <w:rFonts w:ascii="Open Sans" w:eastAsia="Open Sans" w:hAnsi="Open Sans" w:cs="Open Sans"/>
          <w:sz w:val="22"/>
          <w:szCs w:val="22"/>
        </w:rPr>
        <w:t xml:space="preserve">— que ofrecen soluciones integrales tanto </w:t>
      </w:r>
      <w:r>
        <w:rPr>
          <w:rFonts w:ascii="Open Sans" w:eastAsia="Open Sans" w:hAnsi="Open Sans" w:cs="Open Sans"/>
          <w:b/>
          <w:bCs/>
          <w:sz w:val="22"/>
          <w:szCs w:val="22"/>
        </w:rPr>
        <w:t>para particulares como para profesionales del sector</w:t>
      </w:r>
      <w:r>
        <w:rPr>
          <w:rFonts w:ascii="Open Sans" w:eastAsia="Open Sans" w:hAnsi="Open Sans" w:cs="Open Sans"/>
          <w:sz w:val="22"/>
          <w:szCs w:val="22"/>
        </w:rPr>
        <w:t>.</w:t>
      </w:r>
    </w:p>
    <w:p w14:paraId="3D72AC29" w14:textId="77777777" w:rsidR="001F7B57" w:rsidRDefault="001F7B57">
      <w:pPr>
        <w:shd w:val="clear" w:color="auto" w:fill="FFFFFF"/>
        <w:spacing w:before="280" w:after="280" w:line="276" w:lineRule="auto"/>
        <w:jc w:val="both"/>
        <w:rPr>
          <w:rFonts w:ascii="Open Sans" w:eastAsia="Open Sans" w:hAnsi="Open Sans" w:cs="Open Sans"/>
          <w:sz w:val="22"/>
          <w:szCs w:val="22"/>
        </w:rPr>
      </w:pPr>
    </w:p>
    <w:p w14:paraId="3E217FA4" w14:textId="77777777" w:rsidR="00B87061"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b/>
          <w:bCs/>
          <w:sz w:val="22"/>
          <w:szCs w:val="22"/>
        </w:rPr>
        <w:lastRenderedPageBreak/>
        <w:t>Fotocasa</w:t>
      </w:r>
      <w:r>
        <w:rPr>
          <w:rFonts w:ascii="Open Sans" w:eastAsia="Open Sans" w:hAnsi="Open Sans" w:cs="Open Sans"/>
          <w:sz w:val="22"/>
          <w:szCs w:val="22"/>
        </w:rPr>
        <w:t>, la marca insignia del grupo, conecta cada día a </w:t>
      </w:r>
      <w:r>
        <w:rPr>
          <w:rFonts w:ascii="Open Sans" w:eastAsia="Open Sans" w:hAnsi="Open Sans" w:cs="Open Sans"/>
          <w:b/>
          <w:bCs/>
          <w:sz w:val="22"/>
          <w:szCs w:val="22"/>
        </w:rPr>
        <w:t>millones de personas con su próximo hogar</w:t>
      </w:r>
      <w:r>
        <w:rPr>
          <w:rFonts w:ascii="Open Sans" w:eastAsia="Open Sans" w:hAnsi="Open Sans" w:cs="Open Sans"/>
          <w:sz w:val="22"/>
          <w:szCs w:val="22"/>
        </w:rPr>
        <w:t>, ofreciendo la mayor oferta de viviendas de segunda mano, obra nueva, alquiler y compraventa, junto con análisis y contenidos que la consolidan como un auténtico </w:t>
      </w:r>
      <w:r>
        <w:rPr>
          <w:rFonts w:ascii="Open Sans" w:eastAsia="Open Sans" w:hAnsi="Open Sans" w:cs="Open Sans"/>
          <w:b/>
          <w:bCs/>
          <w:sz w:val="22"/>
          <w:szCs w:val="22"/>
        </w:rPr>
        <w:t>referente del mercado inmobiliario</w:t>
      </w:r>
      <w:r>
        <w:rPr>
          <w:rFonts w:ascii="Open Sans" w:eastAsia="Open Sans" w:hAnsi="Open Sans" w:cs="Open Sans"/>
          <w:sz w:val="22"/>
          <w:szCs w:val="22"/>
        </w:rPr>
        <w:t>.</w:t>
      </w:r>
    </w:p>
    <w:p w14:paraId="262A8AF3" w14:textId="77777777" w:rsidR="00B87061"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En Fotocasa Group, </w:t>
      </w:r>
      <w:r>
        <w:rPr>
          <w:rFonts w:ascii="Open Sans" w:eastAsia="Open Sans" w:hAnsi="Open Sans" w:cs="Open Sans"/>
          <w:b/>
          <w:bCs/>
          <w:sz w:val="22"/>
          <w:szCs w:val="22"/>
        </w:rPr>
        <w:t>unimos personas y propiedades</w:t>
      </w:r>
      <w:r>
        <w:rPr>
          <w:rFonts w:ascii="Open Sans" w:eastAsia="Open Sans" w:hAnsi="Open Sans" w:cs="Open Sans"/>
          <w:sz w:val="22"/>
          <w:szCs w:val="22"/>
        </w:rPr>
        <w:t> a través de una plataforma inteligente, diseñada para hacer que </w:t>
      </w:r>
      <w:r>
        <w:rPr>
          <w:rFonts w:ascii="Open Sans" w:eastAsia="Open Sans" w:hAnsi="Open Sans" w:cs="Open Sans"/>
          <w:b/>
          <w:bCs/>
          <w:sz w:val="22"/>
          <w:szCs w:val="22"/>
        </w:rPr>
        <w:t>buscar, comprar o alquilar vivienda</w:t>
      </w:r>
      <w:r>
        <w:rPr>
          <w:rFonts w:ascii="Open Sans" w:eastAsia="Open Sans" w:hAnsi="Open Sans" w:cs="Open Sans"/>
          <w:sz w:val="22"/>
          <w:szCs w:val="22"/>
        </w:rPr>
        <w:t> sea una experiencia más fácil, transparente y eficiente.</w:t>
      </w:r>
    </w:p>
    <w:p w14:paraId="492153FC" w14:textId="77777777" w:rsidR="00B87061"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Nuestra visión es clara</w:t>
      </w:r>
      <w:r>
        <w:rPr>
          <w:rFonts w:ascii="Open Sans" w:eastAsia="Open Sans" w:hAnsi="Open Sans" w:cs="Open Sans"/>
          <w:b/>
          <w:bCs/>
          <w:sz w:val="22"/>
          <w:szCs w:val="22"/>
        </w:rPr>
        <w:t>: ser el lugar donde tu nuevo hogar te encuentra</w:t>
      </w:r>
      <w:r>
        <w:rPr>
          <w:rFonts w:ascii="Open Sans" w:eastAsia="Open Sans" w:hAnsi="Open Sans" w:cs="Open Sans"/>
          <w:sz w:val="22"/>
          <w:szCs w:val="22"/>
        </w:rPr>
        <w:t>.</w:t>
      </w:r>
    </w:p>
    <w:p w14:paraId="7143C6E3" w14:textId="77777777" w:rsidR="00B87061" w:rsidRDefault="00B87061">
      <w:pPr>
        <w:spacing w:line="276" w:lineRule="auto"/>
        <w:jc w:val="right"/>
        <w:rPr>
          <w:rFonts w:ascii="Open Sans" w:eastAsia="Open Sans" w:hAnsi="Open Sans" w:cs="Open Sans"/>
        </w:rPr>
      </w:pPr>
    </w:p>
    <w:p w14:paraId="5031D91E" w14:textId="77777777" w:rsidR="00B87061" w:rsidRDefault="00000000">
      <w:pPr>
        <w:spacing w:line="276" w:lineRule="auto"/>
        <w:rPr>
          <w:rFonts w:ascii="Open Sans Light" w:eastAsia="Open Sans Light" w:hAnsi="Open Sans Light" w:cs="Open Sans Light"/>
          <w:b/>
          <w:bCs/>
          <w:color w:val="303AB2"/>
          <w:sz w:val="22"/>
          <w:szCs w:val="22"/>
        </w:rPr>
      </w:pPr>
      <w:r>
        <w:rPr>
          <w:rFonts w:ascii="Open Sans Light" w:eastAsia="Open Sans Light" w:hAnsi="Open Sans Light" w:cs="Open Sans Light"/>
          <w:b/>
          <w:bCs/>
          <w:color w:val="303AB2"/>
          <w:sz w:val="22"/>
          <w:szCs w:val="22"/>
        </w:rPr>
        <w:t>Departamento Comunicación Fotocasa</w:t>
      </w:r>
    </w:p>
    <w:p w14:paraId="2363280C" w14:textId="77777777" w:rsidR="00B87061" w:rsidRDefault="00000000">
      <w:pPr>
        <w:shd w:val="clear" w:color="auto" w:fill="FFFFFF"/>
        <w:spacing w:line="276" w:lineRule="auto"/>
        <w:rPr>
          <w:rFonts w:ascii="Open Sans" w:eastAsia="Open Sans" w:hAnsi="Open Sans" w:cs="Open Sans"/>
          <w:b/>
          <w:bCs/>
          <w:color w:val="000000"/>
          <w:sz w:val="22"/>
          <w:szCs w:val="22"/>
        </w:rPr>
      </w:pPr>
      <w:r>
        <w:rPr>
          <w:rFonts w:ascii="Open Sans" w:eastAsia="Open Sans" w:hAnsi="Open Sans" w:cs="Open Sans"/>
          <w:b/>
          <w:bCs/>
          <w:color w:val="000000"/>
          <w:sz w:val="22"/>
          <w:szCs w:val="22"/>
        </w:rPr>
        <w:t xml:space="preserve">Anaïs </w:t>
      </w:r>
      <w:r>
        <w:rPr>
          <w:rFonts w:ascii="Open Sans" w:eastAsia="Open Sans" w:hAnsi="Open Sans" w:cs="Open Sans"/>
          <w:b/>
          <w:bCs/>
          <w:sz w:val="22"/>
          <w:szCs w:val="22"/>
        </w:rPr>
        <w:t>García</w:t>
      </w:r>
    </w:p>
    <w:p w14:paraId="2E04072A" w14:textId="77777777" w:rsidR="00B87061" w:rsidRDefault="00000000">
      <w:pPr>
        <w:shd w:val="clear" w:color="auto" w:fill="FFFFFF"/>
        <w:spacing w:line="276" w:lineRule="auto"/>
        <w:rPr>
          <w:rFonts w:ascii="Open Sans" w:eastAsia="Open Sans" w:hAnsi="Open Sans" w:cs="Open Sans"/>
          <w:color w:val="0000FF"/>
          <w:sz w:val="22"/>
          <w:szCs w:val="22"/>
          <w:u w:val="single"/>
        </w:rPr>
      </w:pPr>
      <w:hyperlink r:id="rId22">
        <w:r>
          <w:rPr>
            <w:rFonts w:ascii="Open Sans" w:eastAsia="Open Sans" w:hAnsi="Open Sans" w:cs="Open Sans"/>
            <w:color w:val="0000FF"/>
            <w:sz w:val="22"/>
            <w:szCs w:val="22"/>
            <w:u w:val="single"/>
          </w:rPr>
          <w:t>comunicacion@fotocasa.es</w:t>
        </w:r>
      </w:hyperlink>
    </w:p>
    <w:p w14:paraId="6B938F93" w14:textId="77777777" w:rsidR="00B87061"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sectPr w:rsidR="00B87061">
      <w:footerReference w:type="default" r:id="rId23"/>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2312C0" w14:textId="77777777" w:rsidR="00841B5F" w:rsidRDefault="00841B5F">
      <w:r>
        <w:separator/>
      </w:r>
    </w:p>
  </w:endnote>
  <w:endnote w:type="continuationSeparator" w:id="0">
    <w:p w14:paraId="1CCE4811" w14:textId="77777777" w:rsidR="00841B5F" w:rsidRDefault="00841B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9B5B13B-0ACE-4411-8B0D-93569421D07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2888D56-D59D-4E6D-82C3-8CDFD56CAEB3}"/>
    <w:embedBold r:id="rId3" w:fontKey="{F547E7E9-0D3E-43CE-8788-DCC97D7DD715}"/>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A344D725-7F1D-45D0-B035-504EE15FBDD7}"/>
  </w:font>
  <w:font w:name="Georgia">
    <w:panose1 w:val="02040502050405020303"/>
    <w:charset w:val="00"/>
    <w:family w:val="roman"/>
    <w:pitch w:val="variable"/>
    <w:sig w:usb0="00000287" w:usb1="00000000" w:usb2="00000000" w:usb3="00000000" w:csb0="0000009F" w:csb1="00000000"/>
    <w:embedItalic r:id="rId5" w:fontKey="{FA0A93FD-90BD-4827-B53A-1F6A6760349B}"/>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6" w:fontKey="{AFEF426C-5655-49EF-B36F-598024266A54}"/>
    <w:embedBold r:id="rId7" w:fontKey="{E44E9E82-CBB8-422A-B24F-809F09739449}"/>
    <w:embedBoldItalic r:id="rId8" w:fontKey="{9349F917-1364-4C4A-AD04-20016AD189BC}"/>
  </w:font>
  <w:font w:name="Open Sans Light">
    <w:charset w:val="00"/>
    <w:family w:val="swiss"/>
    <w:pitch w:val="variable"/>
    <w:sig w:usb0="E00002EF" w:usb1="4000205B" w:usb2="00000028" w:usb3="00000000" w:csb0="0000019F" w:csb1="00000000"/>
    <w:embedBold r:id="rId9" w:fontKey="{781565AC-1012-4106-B238-E33AAECD7D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CC65D" w14:textId="77777777" w:rsidR="00B87061"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12F17FC9" wp14:editId="55C001A2">
          <wp:simplePos x="0" y="0"/>
          <wp:positionH relativeFrom="column">
            <wp:posOffset>-1068043</wp:posOffset>
          </wp:positionH>
          <wp:positionV relativeFrom="paragraph">
            <wp:posOffset>174608</wp:posOffset>
          </wp:positionV>
          <wp:extent cx="7670550" cy="451315"/>
          <wp:effectExtent l="0" t="0" r="0" b="0"/>
          <wp:wrapNone/>
          <wp:docPr id="20668166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EC1623" w14:textId="77777777" w:rsidR="00841B5F" w:rsidRDefault="00841B5F">
      <w:r>
        <w:separator/>
      </w:r>
    </w:p>
  </w:footnote>
  <w:footnote w:type="continuationSeparator" w:id="0">
    <w:p w14:paraId="771C4907" w14:textId="77777777" w:rsidR="00841B5F" w:rsidRDefault="00841B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E244BE"/>
    <w:multiLevelType w:val="multilevel"/>
    <w:tmpl w:val="4CACE9E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8120173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7061"/>
    <w:rsid w:val="001F7B57"/>
    <w:rsid w:val="00841B5F"/>
    <w:rsid w:val="00B03FD6"/>
    <w:rsid w:val="00B8706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1B12E0"/>
  <w15:docId w15:val="{55846CF0-2DBE-47E6-A650-F3CB3152F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a">
    <w:basedOn w:val="TableNormalf6"/>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f6"/>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f3"/>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f3"/>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8"/>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5">
    <w:name w:val="Grid Table 5 Dark Accent 5"/>
    <w:basedOn w:val="Tablanormal"/>
    <w:uiPriority w:val="50"/>
    <w:rsid w:val="002827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tocasa.es/indice/" TargetMode="External"/><Relationship Id="rId18" Type="http://schemas.openxmlformats.org/officeDocument/2006/relationships/hyperlink" Target="https://profesionales.fotocasa.es/" TargetMode="External"/><Relationship Id="rId3" Type="http://schemas.openxmlformats.org/officeDocument/2006/relationships/styles" Target="styles.xml"/><Relationship Id="rId21" Type="http://schemas.openxmlformats.org/officeDocument/2006/relationships/hyperlink" Target="https://www.inmoweb.es/" TargetMode="Externa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https://www.habitaclia.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fotocasa.es" TargetMode="External"/><Relationship Id="rId20" Type="http://schemas.openxmlformats.org/officeDocument/2006/relationships/hyperlink" Target="https://get.witei.com/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prensa.fotocasa.es" TargetMode="External"/><Relationship Id="rId23" Type="http://schemas.openxmlformats.org/officeDocument/2006/relationships/footer" Target="footer1.xml"/><Relationship Id="rId10" Type="http://schemas.openxmlformats.org/officeDocument/2006/relationships/hyperlink" Target="https://www.fotocasa.es/" TargetMode="External"/><Relationship Id="rId19" Type="http://schemas.openxmlformats.org/officeDocument/2006/relationships/hyperlink" Target="https://datavenues.com/" TargetMode="External"/><Relationship Id="rId4" Type="http://schemas.openxmlformats.org/officeDocument/2006/relationships/settings" Target="settings.xml"/><Relationship Id="rId9" Type="http://schemas.openxmlformats.org/officeDocument/2006/relationships/hyperlink" Target="https://s36360.pcdn.co/wp-content/uploads/2026/01/Informe-La-vivienda-en-alquiler-en-2025.pdf" TargetMode="External"/><Relationship Id="rId14" Type="http://schemas.openxmlformats.org/officeDocument/2006/relationships/hyperlink" Target="https://www.research.fotocasa.es" TargetMode="External"/><Relationship Id="rId22" Type="http://schemas.openxmlformats.org/officeDocument/2006/relationships/hyperlink" Target="mailto:comunicacion@fotocasa.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5f733b000be7bd91/Documents/02.%20Projectes/2026/260107_Informe%20Anual%20Alquiler/Gr&#225;ficas%20informe%20alquiler%202025.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773169917704295E-2"/>
          <c:y val="9.937779979416575E-2"/>
          <c:w val="0.97686739076757767"/>
          <c:h val="0.6577943390159906"/>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Open Sans" panose="020B0606030504020204" pitchFamily="34" charset="0"/>
                    <a:ea typeface="Open Sans" panose="020B0606030504020204" pitchFamily="34" charset="0"/>
                    <a:cs typeface="Open Sans" panose="020B0606030504020204"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 6'!$B$3:$B$12</c:f>
              <c:strCache>
                <c:ptCount val="10"/>
                <c:pt idx="0">
                  <c:v>Esplugues de Llobregat</c:v>
                </c:pt>
                <c:pt idx="1">
                  <c:v>Eivissa</c:v>
                </c:pt>
                <c:pt idx="2">
                  <c:v>Barcelona capital</c:v>
                </c:pt>
                <c:pt idx="3">
                  <c:v>Calvià</c:v>
                </c:pt>
                <c:pt idx="4">
                  <c:v>Madrid capital</c:v>
                </c:pt>
                <c:pt idx="5">
                  <c:v>L'Hospitalet de Llobregat</c:v>
                </c:pt>
                <c:pt idx="6">
                  <c:v>San Bartolomé de Tirajana</c:v>
                </c:pt>
                <c:pt idx="7">
                  <c:v>La Moraleja</c:v>
                </c:pt>
                <c:pt idx="8">
                  <c:v>Sitges</c:v>
                </c:pt>
                <c:pt idx="9">
                  <c:v>Donostia - San Sebastián</c:v>
                </c:pt>
              </c:strCache>
            </c:strRef>
          </c:cat>
          <c:val>
            <c:numRef>
              <c:f>'Gráfico 6'!$C$3:$C$12</c:f>
              <c:numCache>
                <c:formatCode>_-* #,##0.00\ [$€-C0A]_-;\-* #,##0.00\ [$€-C0A]_-;_-* "-"??\ [$€-C0A]_-;_-@_-</c:formatCode>
                <c:ptCount val="10"/>
                <c:pt idx="0">
                  <c:v>25.53</c:v>
                </c:pt>
                <c:pt idx="1">
                  <c:v>23.34</c:v>
                </c:pt>
                <c:pt idx="2">
                  <c:v>23.3</c:v>
                </c:pt>
                <c:pt idx="3">
                  <c:v>22.17</c:v>
                </c:pt>
                <c:pt idx="4">
                  <c:v>21.69</c:v>
                </c:pt>
                <c:pt idx="5">
                  <c:v>21.07</c:v>
                </c:pt>
                <c:pt idx="6">
                  <c:v>20.95</c:v>
                </c:pt>
                <c:pt idx="7">
                  <c:v>20.41</c:v>
                </c:pt>
                <c:pt idx="8">
                  <c:v>20.329999999999998</c:v>
                </c:pt>
                <c:pt idx="9">
                  <c:v>20.29</c:v>
                </c:pt>
              </c:numCache>
            </c:numRef>
          </c:val>
          <c:extLst>
            <c:ext xmlns:c16="http://schemas.microsoft.com/office/drawing/2014/chart" uri="{C3380CC4-5D6E-409C-BE32-E72D297353CC}">
              <c16:uniqueId val="{00000000-7177-45B7-8F05-1D30C1029E8C}"/>
            </c:ext>
          </c:extLst>
        </c:ser>
        <c:dLbls>
          <c:showLegendKey val="0"/>
          <c:showVal val="0"/>
          <c:showCatName val="0"/>
          <c:showSerName val="0"/>
          <c:showPercent val="0"/>
          <c:showBubbleSize val="0"/>
        </c:dLbls>
        <c:gapWidth val="74"/>
        <c:overlap val="-27"/>
        <c:axId val="322821503"/>
        <c:axId val="205687551"/>
      </c:barChart>
      <c:catAx>
        <c:axId val="3228215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700" b="1"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es-ES"/>
          </a:p>
        </c:txPr>
        <c:crossAx val="205687551"/>
        <c:crosses val="autoZero"/>
        <c:auto val="1"/>
        <c:lblAlgn val="ctr"/>
        <c:lblOffset val="100"/>
        <c:noMultiLvlLbl val="0"/>
      </c:catAx>
      <c:valAx>
        <c:axId val="205687551"/>
        <c:scaling>
          <c:orientation val="minMax"/>
        </c:scaling>
        <c:delete val="1"/>
        <c:axPos val="l"/>
        <c:numFmt formatCode="_-* #,##0.00\ [$€-C0A]_-;\-* #,##0.00\ [$€-C0A]_-;_-* &quot;-&quot;??\ [$€-C0A]_-;_-@_-" sourceLinked="1"/>
        <c:majorTickMark val="none"/>
        <c:minorTickMark val="none"/>
        <c:tickLblPos val="nextTo"/>
        <c:crossAx val="32282150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vVLVcmFoigfFcOhSW5OrIQwnHw==">CgMxLjA4AHIhMUZNMGVjejhyYno3QkdXTnhYanB2VWtWTzM1bG9TVklD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1264</Words>
  <Characters>6958</Characters>
  <Application>Microsoft Office Word</Application>
  <DocSecurity>0</DocSecurity>
  <Lines>57</Lines>
  <Paragraphs>16</Paragraphs>
  <ScaleCrop>false</ScaleCrop>
  <Company/>
  <LinksUpToDate>false</LinksUpToDate>
  <CharactersWithSpaces>8206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Anais Garcia Lopez</cp:lastModifiedBy>
  <cp:revision>2</cp:revision>
  <dcterms:created xsi:type="dcterms:W3CDTF">2024-02-06T13:46:00Z</dcterms:created>
  <dcterms:modified xsi:type="dcterms:W3CDTF">2026-01-19T22:01:00Z</dcterms:modified>
</cp:coreProperties>
</file>