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079BFB" w14:textId="77777777" w:rsidR="00426D1D" w:rsidRDefault="00000000">
      <w:r>
        <w:t>2</w:t>
      </w:r>
      <w:r>
        <w:rPr>
          <w:noProof/>
        </w:rPr>
        <w:drawing>
          <wp:anchor distT="0" distB="0" distL="114300" distR="114300" simplePos="0" relativeHeight="251658240" behindDoc="0" locked="0" layoutInCell="1" hidden="0" allowOverlap="1" wp14:anchorId="7327B3AE" wp14:editId="5525055C">
            <wp:simplePos x="0" y="0"/>
            <wp:positionH relativeFrom="column">
              <wp:posOffset>-1080117</wp:posOffset>
            </wp:positionH>
            <wp:positionV relativeFrom="paragraph">
              <wp:posOffset>-654666</wp:posOffset>
            </wp:positionV>
            <wp:extent cx="7581265" cy="1019175"/>
            <wp:effectExtent l="0" t="0" r="0" b="0"/>
            <wp:wrapNone/>
            <wp:docPr id="211604386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77F7A354" w14:textId="77777777" w:rsidR="00426D1D" w:rsidRDefault="00426D1D">
      <w:pPr>
        <w:jc w:val="right"/>
        <w:rPr>
          <w:rFonts w:ascii="National" w:eastAsia="National" w:hAnsi="National" w:cs="National"/>
          <w:color w:val="303AB2"/>
          <w:sz w:val="36"/>
          <w:szCs w:val="36"/>
        </w:rPr>
      </w:pPr>
    </w:p>
    <w:p w14:paraId="7241C1BA" w14:textId="77777777" w:rsidR="00426D1D" w:rsidRDefault="00426D1D">
      <w:pPr>
        <w:rPr>
          <w:rFonts w:ascii="National" w:eastAsia="National" w:hAnsi="National" w:cs="National"/>
          <w:color w:val="303AB2"/>
          <w:sz w:val="18"/>
          <w:szCs w:val="18"/>
        </w:rPr>
      </w:pPr>
    </w:p>
    <w:p w14:paraId="5FB1F248" w14:textId="77777777" w:rsidR="00426D1D" w:rsidRDefault="00000000">
      <w:pPr>
        <w:jc w:val="center"/>
        <w:rPr>
          <w:rFonts w:ascii="National" w:eastAsia="National" w:hAnsi="National" w:cs="National"/>
          <w:b/>
          <w:bCs/>
          <w:color w:val="1DBDC5"/>
          <w:sz w:val="36"/>
          <w:szCs w:val="36"/>
        </w:rPr>
      </w:pPr>
      <w:r>
        <w:rPr>
          <w:rFonts w:ascii="National" w:eastAsia="National" w:hAnsi="National" w:cs="National"/>
          <w:b/>
          <w:bCs/>
          <w:color w:val="1DBDC5"/>
          <w:sz w:val="36"/>
          <w:szCs w:val="36"/>
        </w:rPr>
        <w:t>INFORME SOBRE LA OBRA NUEVA EN ESPAÑA</w:t>
      </w:r>
    </w:p>
    <w:p w14:paraId="48A89BC8" w14:textId="77777777" w:rsidR="00426D1D" w:rsidRDefault="00000000">
      <w:pPr>
        <w:jc w:val="center"/>
        <w:rPr>
          <w:rFonts w:ascii="National" w:eastAsia="National" w:hAnsi="National" w:cs="National"/>
          <w:b/>
          <w:bCs/>
          <w:color w:val="303AB2"/>
          <w:sz w:val="46"/>
          <w:szCs w:val="46"/>
        </w:rPr>
      </w:pPr>
      <w:r>
        <w:rPr>
          <w:rFonts w:ascii="National" w:eastAsia="National" w:hAnsi="National" w:cs="National"/>
          <w:b/>
          <w:bCs/>
          <w:color w:val="303AB2"/>
          <w:sz w:val="46"/>
          <w:szCs w:val="46"/>
        </w:rPr>
        <w:t>Se disparan hasta el 41% los demandantes que prefieren la obra nueva como una inversión a largo plazo</w:t>
      </w:r>
    </w:p>
    <w:p w14:paraId="076D2984" w14:textId="77777777" w:rsidR="00426D1D" w:rsidRDefault="00426D1D">
      <w:pPr>
        <w:jc w:val="center"/>
        <w:rPr>
          <w:rFonts w:ascii="Open Sans" w:eastAsia="Open Sans" w:hAnsi="Open Sans" w:cs="Open Sans"/>
          <w:color w:val="303AB2"/>
        </w:rPr>
      </w:pPr>
    </w:p>
    <w:p w14:paraId="01DE68FA" w14:textId="77777777" w:rsidR="00426D1D" w:rsidRPr="00501C40"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sidRPr="00501C40">
        <w:rPr>
          <w:rFonts w:ascii="Open Sans" w:eastAsia="Open Sans" w:hAnsi="Open Sans" w:cs="Open Sans"/>
          <w:color w:val="303AB2"/>
        </w:rPr>
        <w:t>Ahorrarse reformas y la eficiencia energética siguen siendo los factores decisivos en la preferencia por la obra nueva</w:t>
      </w:r>
    </w:p>
    <w:p w14:paraId="4C6DDEE4" w14:textId="77777777" w:rsidR="00426D1D" w:rsidRPr="00501C40"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sidRPr="00501C40">
        <w:rPr>
          <w:rFonts w:ascii="Open Sans" w:eastAsia="Open Sans" w:hAnsi="Open Sans" w:cs="Open Sans"/>
          <w:color w:val="303AB2"/>
        </w:rPr>
        <w:t>Entre los motivos personales, destacan la voluntad de mejorar la vivienda actual y la intención de vivir en pareja</w:t>
      </w:r>
    </w:p>
    <w:p w14:paraId="2E0CA0C8" w14:textId="77777777" w:rsidR="00426D1D" w:rsidRPr="00501C40"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sidRPr="00501C40">
        <w:rPr>
          <w:rFonts w:ascii="Open Sans" w:eastAsia="Open Sans" w:hAnsi="Open Sans" w:cs="Open Sans"/>
          <w:color w:val="303AB2"/>
        </w:rPr>
        <w:t>Por el contrario, en el 56% de los casos se apunta al precio como la razón decisiva para no comprar obra nueva</w:t>
      </w:r>
    </w:p>
    <w:p w14:paraId="3580DBDE" w14:textId="77777777" w:rsidR="00426D1D" w:rsidRPr="00501C40" w:rsidRDefault="00426D1D">
      <w:pPr>
        <w:pBdr>
          <w:top w:val="nil"/>
          <w:left w:val="nil"/>
          <w:bottom w:val="nil"/>
          <w:right w:val="nil"/>
          <w:between w:val="nil"/>
        </w:pBdr>
        <w:spacing w:line="276" w:lineRule="auto"/>
        <w:ind w:left="720"/>
        <w:jc w:val="both"/>
        <w:rPr>
          <w:rFonts w:ascii="Open Sans" w:eastAsia="Open Sans" w:hAnsi="Open Sans" w:cs="Open Sans"/>
          <w:color w:val="303AB2"/>
        </w:rPr>
      </w:pPr>
    </w:p>
    <w:p w14:paraId="2B7FAADE" w14:textId="77777777" w:rsidR="00426D1D" w:rsidRDefault="00000000">
      <w:pPr>
        <w:pBdr>
          <w:top w:val="nil"/>
          <w:left w:val="nil"/>
          <w:bottom w:val="nil"/>
          <w:right w:val="nil"/>
          <w:between w:val="nil"/>
        </w:pBdr>
        <w:tabs>
          <w:tab w:val="left" w:pos="6589"/>
        </w:tabs>
        <w:spacing w:line="276" w:lineRule="auto"/>
        <w:jc w:val="both"/>
        <w:rPr>
          <w:rFonts w:ascii="Open Sans" w:eastAsia="Open Sans" w:hAnsi="Open Sans" w:cs="Open Sans"/>
          <w:b/>
          <w:bCs/>
          <w:color w:val="303AB2"/>
        </w:rPr>
      </w:pPr>
      <w:r w:rsidRPr="00501C40">
        <w:rPr>
          <w:rFonts w:ascii="Open Sans" w:eastAsia="Open Sans" w:hAnsi="Open Sans" w:cs="Open Sans"/>
          <w:color w:val="303AB2"/>
        </w:rPr>
        <w:t>Madrid, 14 de enero de 2026</w:t>
      </w:r>
      <w:r>
        <w:rPr>
          <w:rFonts w:ascii="Open Sans" w:eastAsia="Open Sans" w:hAnsi="Open Sans" w:cs="Open Sans"/>
          <w:b/>
          <w:bCs/>
          <w:color w:val="303AB2"/>
        </w:rPr>
        <w:tab/>
      </w:r>
    </w:p>
    <w:p w14:paraId="5BCACA9B" w14:textId="77777777" w:rsidR="00426D1D" w:rsidRDefault="00426D1D">
      <w:pPr>
        <w:pBdr>
          <w:top w:val="nil"/>
          <w:left w:val="nil"/>
          <w:bottom w:val="nil"/>
          <w:right w:val="nil"/>
          <w:between w:val="nil"/>
        </w:pBdr>
        <w:tabs>
          <w:tab w:val="left" w:pos="6589"/>
        </w:tabs>
        <w:spacing w:line="276" w:lineRule="auto"/>
        <w:jc w:val="both"/>
        <w:rPr>
          <w:rFonts w:ascii="Open Sans" w:eastAsia="Open Sans" w:hAnsi="Open Sans" w:cs="Open Sans"/>
          <w:b/>
          <w:bCs/>
          <w:color w:val="303AB2"/>
        </w:rPr>
      </w:pPr>
    </w:p>
    <w:p w14:paraId="0DCB92D9" w14:textId="77777777" w:rsidR="00426D1D"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percepción de la vivienda de obra nueva como una inversión a largo plazo se ha reforzado con en el segundo semestre de 2025: el 41% de quienes consideran comprar vivienda a estrenar señalan este motivo como la razón principal para optar por comprar este tipo de inmuebles en lugar de alquilar. Este porcentaje de apoyo representa un avance respecto al 35% registrado en 2024 y al 37% de 2023, según el informe </w:t>
      </w:r>
      <w:r>
        <w:rPr>
          <w:rFonts w:ascii="Open Sans" w:eastAsia="Open Sans" w:hAnsi="Open Sans" w:cs="Open Sans"/>
          <w:b/>
          <w:bCs/>
        </w:rPr>
        <w:t>“</w:t>
      </w:r>
      <w:hyperlink r:id="rId9">
        <w:r>
          <w:rPr>
            <w:rFonts w:ascii="Open Sans" w:eastAsia="Open Sans" w:hAnsi="Open Sans" w:cs="Open Sans"/>
            <w:b/>
            <w:bCs/>
            <w:i/>
            <w:iCs/>
            <w:color w:val="0000FF"/>
            <w:u w:val="single"/>
          </w:rPr>
          <w:t>La vivienda de obra nueva en 2025</w:t>
        </w:r>
      </w:hyperlink>
      <w:r>
        <w:rPr>
          <w:rFonts w:ascii="Open Sans" w:eastAsia="Open Sans" w:hAnsi="Open Sans" w:cs="Open Sans"/>
          <w:b/>
          <w:bCs/>
        </w:rPr>
        <w:t xml:space="preserve">”, realizado por </w:t>
      </w:r>
      <w:hyperlink r:id="rId10">
        <w:r>
          <w:rPr>
            <w:rFonts w:ascii="Open Sans" w:eastAsia="Open Sans" w:hAnsi="Open Sans" w:cs="Open Sans"/>
            <w:b/>
            <w:bCs/>
            <w:color w:val="0000FF"/>
            <w:u w:val="single"/>
          </w:rPr>
          <w:t xml:space="preserve">Fotocasa </w:t>
        </w:r>
        <w:proofErr w:type="spellStart"/>
        <w:r>
          <w:rPr>
            <w:rFonts w:ascii="Open Sans" w:eastAsia="Open Sans" w:hAnsi="Open Sans" w:cs="Open Sans"/>
            <w:b/>
            <w:bCs/>
            <w:color w:val="0000FF"/>
            <w:u w:val="single"/>
          </w:rPr>
          <w:t>Research</w:t>
        </w:r>
        <w:proofErr w:type="spellEnd"/>
      </w:hyperlink>
      <w:r>
        <w:t xml:space="preserve">. </w:t>
      </w:r>
      <w:r>
        <w:rPr>
          <w:rFonts w:ascii="Open Sans" w:eastAsia="Open Sans" w:hAnsi="Open Sans" w:cs="Open Sans"/>
        </w:rPr>
        <w:t>También se refuerza la opinión de que esta adquisición, en comparación con el alquiler, sea un seguro de cara al futuro, puesto que se trata de una consideración que sube del 32 % al 35 % en doce meses.</w:t>
      </w:r>
    </w:p>
    <w:p w14:paraId="55CD4FF2" w14:textId="77777777" w:rsidR="00426D1D" w:rsidRDefault="00426D1D">
      <w:pPr>
        <w:pBdr>
          <w:top w:val="nil"/>
          <w:left w:val="nil"/>
          <w:bottom w:val="nil"/>
          <w:right w:val="nil"/>
          <w:between w:val="nil"/>
        </w:pBdr>
        <w:spacing w:line="276" w:lineRule="auto"/>
        <w:jc w:val="both"/>
        <w:rPr>
          <w:rFonts w:ascii="Open Sans" w:eastAsia="Open Sans" w:hAnsi="Open Sans" w:cs="Open Sans"/>
        </w:rPr>
      </w:pPr>
    </w:p>
    <w:p w14:paraId="4080CAD6" w14:textId="77777777" w:rsidR="00426D1D"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“En un contexto de tensión en el mercado del alquiler cada vez más compradores ven en la obra nueva una fórmula de protección patrimonial y de estabilidad, tanto para vivir como para alquilar. La elección de la vivienda a estrenar responde a una previsibilidad de costes y una mayor eficiencia energética, factores especialmente valorados por quienes piensan en el alquiler como una estrategia sostenida en el tiempo y no como una operación puntual. Además, el atractivo de la obra nueva reside en que no requiere reformas inmediatas, reduce gastos de mantenimiento y responde mejor a las nuevas demandas del inquilino, que busca viviendas </w:t>
      </w:r>
      <w:r>
        <w:rPr>
          <w:rFonts w:ascii="Open Sans" w:eastAsia="Open Sans" w:hAnsi="Open Sans" w:cs="Open Sans"/>
        </w:rPr>
        <w:lastRenderedPageBreak/>
        <w:t xml:space="preserve">eficientes, bien aisladas y con estándares de calidad más altos”, </w:t>
      </w:r>
      <w:r>
        <w:rPr>
          <w:rFonts w:ascii="Open Sans" w:eastAsia="Open Sans" w:hAnsi="Open Sans" w:cs="Open Sans"/>
          <w:b/>
          <w:bCs/>
        </w:rPr>
        <w:t xml:space="preserve">explica María Matos, directora de Estudios y portavoz de </w:t>
      </w:r>
      <w:hyperlink r:id="rId11">
        <w:r>
          <w:rPr>
            <w:rFonts w:ascii="Open Sans" w:eastAsia="Open Sans" w:hAnsi="Open Sans" w:cs="Open Sans"/>
            <w:b/>
            <w:bCs/>
            <w:color w:val="0000FF"/>
            <w:u w:val="single"/>
          </w:rPr>
          <w:t>Fotocasa</w:t>
        </w:r>
      </w:hyperlink>
      <w:r>
        <w:rPr>
          <w:rFonts w:ascii="Open Sans" w:eastAsia="Open Sans" w:hAnsi="Open Sans" w:cs="Open Sans"/>
          <w:b/>
          <w:bCs/>
        </w:rPr>
        <w:t>.</w:t>
      </w:r>
    </w:p>
    <w:p w14:paraId="27F23801" w14:textId="77777777" w:rsidR="00426D1D" w:rsidRDefault="00426D1D">
      <w:pPr>
        <w:pBdr>
          <w:top w:val="nil"/>
          <w:left w:val="nil"/>
          <w:bottom w:val="nil"/>
          <w:right w:val="nil"/>
          <w:between w:val="nil"/>
        </w:pBdr>
        <w:spacing w:line="276" w:lineRule="auto"/>
        <w:jc w:val="both"/>
        <w:rPr>
          <w:rFonts w:ascii="Open Sans" w:eastAsia="Open Sans" w:hAnsi="Open Sans" w:cs="Open Sans"/>
          <w:b/>
          <w:bCs/>
        </w:rPr>
      </w:pPr>
    </w:p>
    <w:p w14:paraId="125B440D" w14:textId="77777777" w:rsidR="00426D1D" w:rsidRDefault="00000000">
      <w:pPr>
        <w:pBdr>
          <w:top w:val="nil"/>
          <w:left w:val="nil"/>
          <w:bottom w:val="nil"/>
          <w:right w:val="nil"/>
          <w:between w:val="nil"/>
        </w:pBdr>
        <w:spacing w:line="276" w:lineRule="auto"/>
        <w:jc w:val="both"/>
        <w:rPr>
          <w:rFonts w:ascii="Open Sans" w:eastAsia="Open Sans" w:hAnsi="Open Sans" w:cs="Open Sans"/>
          <w:b/>
          <w:bCs/>
        </w:rPr>
      </w:pPr>
      <w:r>
        <w:rPr>
          <w:noProof/>
        </w:rPr>
        <w:drawing>
          <wp:inline distT="0" distB="0" distL="0" distR="0" wp14:anchorId="084B6AAC" wp14:editId="50481091">
            <wp:extent cx="5760720" cy="2677795"/>
            <wp:effectExtent l="0" t="0" r="0" b="0"/>
            <wp:docPr id="2116043872" name="image4.png" descr="Gráfico, Gráfico de bar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Gráfico, Gráfico de barras&#10;&#10;El contenido generado por IA puede ser incorrecto."/>
                    <pic:cNvPicPr preferRelativeResize="0"/>
                  </pic:nvPicPr>
                  <pic:blipFill>
                    <a:blip r:embed="rId12"/>
                    <a:srcRect/>
                    <a:stretch>
                      <a:fillRect/>
                    </a:stretch>
                  </pic:blipFill>
                  <pic:spPr>
                    <a:xfrm>
                      <a:off x="0" y="0"/>
                      <a:ext cx="5760720" cy="2677795"/>
                    </a:xfrm>
                    <a:prstGeom prst="rect">
                      <a:avLst/>
                    </a:prstGeom>
                    <a:ln/>
                  </pic:spPr>
                </pic:pic>
              </a:graphicData>
            </a:graphic>
          </wp:inline>
        </w:drawing>
      </w:r>
    </w:p>
    <w:p w14:paraId="524E575A" w14:textId="77777777" w:rsidR="00426D1D" w:rsidRDefault="00426D1D">
      <w:pPr>
        <w:pBdr>
          <w:top w:val="nil"/>
          <w:left w:val="nil"/>
          <w:bottom w:val="nil"/>
          <w:right w:val="nil"/>
          <w:between w:val="nil"/>
        </w:pBdr>
        <w:spacing w:line="276" w:lineRule="auto"/>
        <w:jc w:val="both"/>
        <w:rPr>
          <w:rFonts w:ascii="National" w:eastAsia="National" w:hAnsi="National" w:cs="National"/>
          <w:b/>
          <w:bCs/>
          <w:color w:val="303AB2"/>
          <w:sz w:val="32"/>
          <w:szCs w:val="32"/>
        </w:rPr>
      </w:pPr>
    </w:p>
    <w:p w14:paraId="2279ED1E" w14:textId="77777777" w:rsidR="00426D1D" w:rsidRDefault="00000000">
      <w:pPr>
        <w:pBdr>
          <w:top w:val="nil"/>
          <w:left w:val="nil"/>
          <w:bottom w:val="nil"/>
          <w:right w:val="nil"/>
          <w:between w:val="nil"/>
        </w:pBdr>
        <w:spacing w:line="276" w:lineRule="auto"/>
        <w:jc w:val="both"/>
        <w:rPr>
          <w:rFonts w:ascii="Open Sans" w:eastAsia="Open Sans" w:hAnsi="Open Sans" w:cs="Open Sans"/>
          <w:b/>
          <w:bCs/>
        </w:rPr>
      </w:pPr>
      <w:r>
        <w:rPr>
          <w:rFonts w:ascii="National" w:eastAsia="National" w:hAnsi="National" w:cs="National"/>
          <w:b/>
          <w:bCs/>
          <w:color w:val="303AB2"/>
          <w:sz w:val="32"/>
          <w:szCs w:val="32"/>
        </w:rPr>
        <w:t>Ahorro en reformas y eficiencia energética</w:t>
      </w:r>
    </w:p>
    <w:p w14:paraId="3A8A4E12" w14:textId="77777777" w:rsidR="00426D1D" w:rsidRDefault="00426D1D">
      <w:pPr>
        <w:pBdr>
          <w:top w:val="nil"/>
          <w:left w:val="nil"/>
          <w:bottom w:val="nil"/>
          <w:right w:val="nil"/>
          <w:between w:val="nil"/>
        </w:pBdr>
        <w:spacing w:line="276" w:lineRule="auto"/>
        <w:jc w:val="both"/>
        <w:rPr>
          <w:rFonts w:ascii="Open Sans" w:eastAsia="Open Sans" w:hAnsi="Open Sans" w:cs="Open Sans"/>
          <w:b/>
          <w:bCs/>
        </w:rPr>
      </w:pPr>
    </w:p>
    <w:p w14:paraId="66E1EEE4" w14:textId="77777777" w:rsidR="00426D1D"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Al margen de la comparativa con el alquiler, los motivos de quienes se decantan por la obra nueva siguen siendo principalmente prácticos y económicos. </w:t>
      </w:r>
      <w:r>
        <w:rPr>
          <w:rFonts w:ascii="Open Sans" w:eastAsia="Open Sans" w:hAnsi="Open Sans" w:cs="Open Sans"/>
          <w:b/>
          <w:bCs/>
        </w:rPr>
        <w:t>El principal argumento de este colectivo para elegir una vivienda de obra nueva continúa siendo no tener que afrontar reformas</w:t>
      </w:r>
      <w:r>
        <w:rPr>
          <w:rFonts w:ascii="Open Sans" w:eastAsia="Open Sans" w:hAnsi="Open Sans" w:cs="Open Sans"/>
        </w:rPr>
        <w:t>: lo indica el 47% de los consultados, un punto más que en el estudio precedente (46%). Le sigue la eficiencia energética, que gana presencia, con un 37% (frente al 35% de 2024), y se sitúa cada vez más cerca del 39% alcanzado en 2023. Como tercer motivo, aparece la mejor calidad de los acabados y materiales de la obra nueva: lo señalan el 26% de quienes consideran esta opción.</w:t>
      </w:r>
    </w:p>
    <w:p w14:paraId="04967F51" w14:textId="77777777" w:rsidR="00426D1D" w:rsidRDefault="00426D1D">
      <w:pPr>
        <w:pBdr>
          <w:top w:val="nil"/>
          <w:left w:val="nil"/>
          <w:bottom w:val="nil"/>
          <w:right w:val="nil"/>
          <w:between w:val="nil"/>
        </w:pBdr>
        <w:spacing w:line="276" w:lineRule="auto"/>
        <w:jc w:val="both"/>
        <w:rPr>
          <w:rFonts w:ascii="Open Sans" w:eastAsia="Open Sans" w:hAnsi="Open Sans" w:cs="Open Sans"/>
        </w:rPr>
      </w:pPr>
    </w:p>
    <w:p w14:paraId="1C9EFBC7" w14:textId="77777777" w:rsidR="00426D1D"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otro lado, entre los motivos estrictamente personales que impulsan la compra de obra nueva, </w:t>
      </w:r>
      <w:r>
        <w:rPr>
          <w:rFonts w:ascii="Open Sans" w:eastAsia="Open Sans" w:hAnsi="Open Sans" w:cs="Open Sans"/>
          <w:b/>
          <w:bCs/>
        </w:rPr>
        <w:t>el informe destaca que el deseo de mejorar la vivienda actual es citado por el 47%</w:t>
      </w:r>
      <w:r>
        <w:rPr>
          <w:rFonts w:ascii="Open Sans" w:eastAsia="Open Sans" w:hAnsi="Open Sans" w:cs="Open Sans"/>
        </w:rPr>
        <w:t xml:space="preserve"> (un punto más que en 2024) de los encuestados. Por otro lado, la intención de vivir en pareja sube del 22% al 25%, situándose como la segunda razón personal más frecuente. La idea de que invertir en vivienda ofrece una rentabilidad que no ofrece ningún otro producto financiero se mantiene en un porcentaje del 23%.</w:t>
      </w:r>
    </w:p>
    <w:p w14:paraId="1A2DC15C" w14:textId="77777777" w:rsidR="00426D1D" w:rsidRDefault="00426D1D">
      <w:pPr>
        <w:pBdr>
          <w:top w:val="nil"/>
          <w:left w:val="nil"/>
          <w:bottom w:val="nil"/>
          <w:right w:val="nil"/>
          <w:between w:val="nil"/>
        </w:pBdr>
        <w:spacing w:line="276" w:lineRule="auto"/>
        <w:jc w:val="both"/>
        <w:rPr>
          <w:rFonts w:ascii="Open Sans" w:eastAsia="Open Sans" w:hAnsi="Open Sans" w:cs="Open Sans"/>
        </w:rPr>
      </w:pPr>
    </w:p>
    <w:p w14:paraId="685FA582" w14:textId="77777777" w:rsidR="00426D1D" w:rsidRDefault="00426D1D">
      <w:pPr>
        <w:pBdr>
          <w:top w:val="nil"/>
          <w:left w:val="nil"/>
          <w:bottom w:val="nil"/>
          <w:right w:val="nil"/>
          <w:between w:val="nil"/>
        </w:pBdr>
        <w:spacing w:line="276" w:lineRule="auto"/>
        <w:jc w:val="both"/>
        <w:rPr>
          <w:rFonts w:ascii="Open Sans" w:eastAsia="Open Sans" w:hAnsi="Open Sans" w:cs="Open Sans"/>
        </w:rPr>
      </w:pPr>
    </w:p>
    <w:p w14:paraId="72BF4D83" w14:textId="77777777" w:rsidR="00426D1D"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lastRenderedPageBreak/>
        <w:t>El precio sigue siendo el principal freno a la compra de obra nueva</w:t>
      </w:r>
    </w:p>
    <w:p w14:paraId="300D7C86" w14:textId="77777777" w:rsidR="00426D1D" w:rsidRDefault="00426D1D">
      <w:pPr>
        <w:pBdr>
          <w:top w:val="nil"/>
          <w:left w:val="nil"/>
          <w:bottom w:val="nil"/>
          <w:right w:val="nil"/>
          <w:between w:val="nil"/>
        </w:pBdr>
        <w:spacing w:line="276" w:lineRule="auto"/>
        <w:jc w:val="both"/>
        <w:rPr>
          <w:rFonts w:ascii="Open Sans" w:eastAsia="Open Sans" w:hAnsi="Open Sans" w:cs="Open Sans"/>
        </w:rPr>
      </w:pPr>
    </w:p>
    <w:p w14:paraId="106EE3BE" w14:textId="77777777" w:rsidR="00426D1D"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Aunque el 63% de los particulares que han comprado una vivienda en los últimos doce meses consideró en algún momento la obra nueva, </w:t>
      </w:r>
      <w:r>
        <w:rPr>
          <w:rFonts w:ascii="Open Sans" w:eastAsia="Open Sans" w:hAnsi="Open Sans" w:cs="Open Sans"/>
          <w:b/>
          <w:bCs/>
        </w:rPr>
        <w:t>sólo el 41% de esos demandantes materializó finalmente la compra de una vivienda a estrenar, y el 59% restante optó por vivienda de segunda mano</w:t>
      </w:r>
      <w:r>
        <w:rPr>
          <w:rFonts w:ascii="Open Sans" w:eastAsia="Open Sans" w:hAnsi="Open Sans" w:cs="Open Sans"/>
        </w:rPr>
        <w:t>. El principal freno que alejó a los interesados de la obra nueva fue el precio: el 56% de los casos apuntan al coste como la razón decisiva para no comprar obra nueva, ligeramente por debajo del 59% del año anterior. La segunda causa es la falta de oferta en la zona buscada (36%) y, a distancia, aparecen otras barreras como las condiciones de pago y los gastos de entrada (17%).</w:t>
      </w:r>
    </w:p>
    <w:p w14:paraId="0923B94F" w14:textId="77777777" w:rsidR="00426D1D" w:rsidRDefault="00426D1D">
      <w:pPr>
        <w:pBdr>
          <w:top w:val="nil"/>
          <w:left w:val="nil"/>
          <w:bottom w:val="nil"/>
          <w:right w:val="nil"/>
          <w:between w:val="nil"/>
        </w:pBdr>
        <w:spacing w:line="276" w:lineRule="auto"/>
        <w:jc w:val="both"/>
        <w:rPr>
          <w:rFonts w:ascii="Open Sans" w:eastAsia="Open Sans" w:hAnsi="Open Sans" w:cs="Open Sans"/>
        </w:rPr>
      </w:pPr>
    </w:p>
    <w:p w14:paraId="3A88B18A" w14:textId="77777777" w:rsidR="00426D1D" w:rsidRDefault="00000000">
      <w:pPr>
        <w:pBdr>
          <w:top w:val="nil"/>
          <w:left w:val="nil"/>
          <w:bottom w:val="nil"/>
          <w:right w:val="nil"/>
          <w:between w:val="nil"/>
        </w:pBdr>
        <w:spacing w:line="276" w:lineRule="auto"/>
        <w:jc w:val="both"/>
        <w:rPr>
          <w:rFonts w:ascii="Open Sans" w:eastAsia="Open Sans" w:hAnsi="Open Sans" w:cs="Open Sans"/>
        </w:rPr>
      </w:pPr>
      <w:r>
        <w:rPr>
          <w:noProof/>
        </w:rPr>
        <w:drawing>
          <wp:inline distT="0" distB="0" distL="0" distR="0" wp14:anchorId="77B05A79" wp14:editId="438BBEF4">
            <wp:extent cx="5760720" cy="3205480"/>
            <wp:effectExtent l="0" t="0" r="0" b="0"/>
            <wp:docPr id="2116043870" name="image2.png" descr="Interfaz de usuario gráfica,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 Aplicación&#10;&#10;El contenido generado por IA puede ser incorrecto."/>
                    <pic:cNvPicPr preferRelativeResize="0"/>
                  </pic:nvPicPr>
                  <pic:blipFill>
                    <a:blip r:embed="rId13"/>
                    <a:srcRect/>
                    <a:stretch>
                      <a:fillRect/>
                    </a:stretch>
                  </pic:blipFill>
                  <pic:spPr>
                    <a:xfrm>
                      <a:off x="0" y="0"/>
                      <a:ext cx="5760720" cy="3205480"/>
                    </a:xfrm>
                    <a:prstGeom prst="rect">
                      <a:avLst/>
                    </a:prstGeom>
                    <a:ln/>
                  </pic:spPr>
                </pic:pic>
              </a:graphicData>
            </a:graphic>
          </wp:inline>
        </w:drawing>
      </w:r>
    </w:p>
    <w:p w14:paraId="290FCA8F" w14:textId="77777777" w:rsidR="00426D1D" w:rsidRDefault="00426D1D">
      <w:pPr>
        <w:pBdr>
          <w:top w:val="nil"/>
          <w:left w:val="nil"/>
          <w:bottom w:val="nil"/>
          <w:right w:val="nil"/>
          <w:between w:val="nil"/>
        </w:pBdr>
        <w:spacing w:line="276" w:lineRule="auto"/>
        <w:jc w:val="both"/>
        <w:rPr>
          <w:rFonts w:ascii="Open Sans" w:eastAsia="Open Sans" w:hAnsi="Open Sans" w:cs="Open Sans"/>
        </w:rPr>
      </w:pPr>
    </w:p>
    <w:p w14:paraId="5DDA981B" w14:textId="77777777" w:rsidR="00426D1D" w:rsidRDefault="00426D1D">
      <w:pPr>
        <w:spacing w:line="276" w:lineRule="auto"/>
        <w:jc w:val="right"/>
        <w:rPr>
          <w:rFonts w:ascii="Open Sans" w:eastAsia="Open Sans" w:hAnsi="Open Sans" w:cs="Open Sans"/>
          <w:b/>
          <w:bCs/>
          <w:color w:val="303AB2"/>
        </w:rPr>
      </w:pPr>
    </w:p>
    <w:p w14:paraId="5F3C6CB1" w14:textId="77777777" w:rsidR="00426D1D" w:rsidRDefault="00000000">
      <w:pPr>
        <w:spacing w:line="276" w:lineRule="auto"/>
        <w:jc w:val="right"/>
        <w:rPr>
          <w:rFonts w:ascii="Open Sans" w:eastAsia="Open Sans" w:hAnsi="Open Sans" w:cs="Open Sans"/>
          <w:b/>
          <w:bCs/>
          <w:color w:val="303AB2"/>
        </w:rPr>
      </w:pPr>
      <w:r>
        <w:rPr>
          <w:rFonts w:ascii="Open Sans" w:eastAsia="Open Sans" w:hAnsi="Open Sans" w:cs="Open Sans"/>
          <w:b/>
          <w:bCs/>
          <w:color w:val="303AB2"/>
        </w:rPr>
        <w:t>Sobre Fotocasa</w:t>
      </w:r>
    </w:p>
    <w:p w14:paraId="2C22A788" w14:textId="77777777" w:rsidR="00426D1D"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4881CF18" w14:textId="77777777" w:rsidR="00426D1D"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4">
        <w:r>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un informe de referencia que analiza la evolución del precio medio de la vivienda en España, tanto en venta como en alquiler.</w:t>
      </w:r>
    </w:p>
    <w:p w14:paraId="36F29885" w14:textId="77777777" w:rsidR="00426D1D"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lastRenderedPageBreak/>
        <w:t xml:space="preserve">Desde 2017, desarrolla además estudios sociológicos bajo el sello </w:t>
      </w:r>
      <w:hyperlink r:id="rId15">
        <w:r>
          <w:rPr>
            <w:rFonts w:ascii="Open Sans" w:eastAsia="Open Sans" w:hAnsi="Open Sans" w:cs="Open Sans"/>
            <w:b/>
            <w:bCs/>
            <w:color w:val="0000FF"/>
            <w:sz w:val="22"/>
            <w:szCs w:val="22"/>
            <w:u w:val="single"/>
          </w:rPr>
          <w:t xml:space="preserve">Fotocasa </w:t>
        </w:r>
        <w:proofErr w:type="spellStart"/>
        <w:r>
          <w:rPr>
            <w:rFonts w:ascii="Open Sans" w:eastAsia="Open Sans" w:hAnsi="Open Sans" w:cs="Open Sans"/>
            <w:b/>
            <w:bCs/>
            <w:color w:val="0000FF"/>
            <w:sz w:val="22"/>
            <w:szCs w:val="22"/>
            <w:u w:val="single"/>
          </w:rPr>
          <w:t>Research</w:t>
        </w:r>
        <w:proofErr w:type="spellEnd"/>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13D20720" w14:textId="77777777" w:rsidR="00426D1D"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6">
        <w:r>
          <w:rPr>
            <w:rFonts w:ascii="Open Sans" w:eastAsia="Open Sans" w:hAnsi="Open Sans" w:cs="Open Sans"/>
            <w:b/>
            <w:bCs/>
            <w:color w:val="0000FF"/>
            <w:sz w:val="22"/>
            <w:szCs w:val="22"/>
            <w:u w:val="single"/>
          </w:rPr>
          <w:t>Sala de Prensa</w:t>
        </w:r>
      </w:hyperlink>
    </w:p>
    <w:p w14:paraId="7B68242C" w14:textId="77777777" w:rsidR="00426D1D" w:rsidRDefault="00426D1D">
      <w:pPr>
        <w:spacing w:line="276" w:lineRule="auto"/>
        <w:rPr>
          <w:rFonts w:ascii="Open Sans" w:eastAsia="Open Sans" w:hAnsi="Open Sans" w:cs="Open Sans"/>
          <w:b/>
          <w:bCs/>
          <w:color w:val="303AB2"/>
        </w:rPr>
      </w:pPr>
    </w:p>
    <w:p w14:paraId="6540AC1C" w14:textId="77777777" w:rsidR="00426D1D" w:rsidRDefault="00426D1D">
      <w:pPr>
        <w:spacing w:line="276" w:lineRule="auto"/>
        <w:rPr>
          <w:rFonts w:ascii="Open Sans" w:eastAsia="Open Sans" w:hAnsi="Open Sans" w:cs="Open Sans"/>
          <w:b/>
          <w:bCs/>
          <w:color w:val="303AB2"/>
        </w:rPr>
      </w:pPr>
    </w:p>
    <w:p w14:paraId="7D179F63" w14:textId="77777777" w:rsidR="00426D1D" w:rsidRDefault="00000000">
      <w:pPr>
        <w:spacing w:line="276" w:lineRule="auto"/>
        <w:jc w:val="right"/>
        <w:rPr>
          <w:rFonts w:ascii="Open Sans" w:eastAsia="Open Sans" w:hAnsi="Open Sans" w:cs="Open Sans"/>
          <w:b/>
          <w:bCs/>
          <w:color w:val="303AB2"/>
        </w:rPr>
      </w:pPr>
      <w:r>
        <w:rPr>
          <w:rFonts w:ascii="Open Sans" w:eastAsia="Open Sans" w:hAnsi="Open Sans" w:cs="Open Sans"/>
          <w:b/>
          <w:bCs/>
          <w:color w:val="303AB2"/>
        </w:rPr>
        <w:t>Sobre Fotocasa Group</w:t>
      </w:r>
    </w:p>
    <w:p w14:paraId="0E4A846A" w14:textId="77777777" w:rsidR="00426D1D"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5BC69C44" w14:textId="77777777" w:rsidR="00426D1D"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7">
        <w:r>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8">
        <w:proofErr w:type="spellStart"/>
        <w:r>
          <w:rPr>
            <w:rFonts w:ascii="Open Sans" w:eastAsia="Open Sans" w:hAnsi="Open Sans" w:cs="Open Sans"/>
            <w:b/>
            <w:bCs/>
            <w:color w:val="0000FF"/>
            <w:sz w:val="22"/>
            <w:szCs w:val="22"/>
            <w:u w:val="single"/>
          </w:rPr>
          <w:t>habitaclia</w:t>
        </w:r>
        <w:proofErr w:type="spellEnd"/>
      </w:hyperlink>
      <w:r>
        <w:rPr>
          <w:rFonts w:ascii="Open Sans" w:eastAsia="Open Sans" w:hAnsi="Open Sans" w:cs="Open Sans"/>
          <w:sz w:val="22"/>
          <w:szCs w:val="22"/>
        </w:rPr>
        <w:t xml:space="preserve">, </w:t>
      </w:r>
      <w:hyperlink r:id="rId19">
        <w:r>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0">
        <w:proofErr w:type="spellStart"/>
        <w:r>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w:t>
      </w:r>
      <w:hyperlink r:id="rId21">
        <w:proofErr w:type="spellStart"/>
        <w:r>
          <w:rPr>
            <w:rFonts w:ascii="Open Sans" w:eastAsia="Open Sans" w:hAnsi="Open Sans" w:cs="Open Sans"/>
            <w:b/>
            <w:bCs/>
            <w:color w:val="0000FF"/>
            <w:sz w:val="22"/>
            <w:szCs w:val="22"/>
            <w:u w:val="single"/>
          </w:rPr>
          <w:t>Witei</w:t>
        </w:r>
        <w:proofErr w:type="spellEnd"/>
      </w:hyperlink>
      <w:r>
        <w:rPr>
          <w:rFonts w:ascii="Open Sans" w:eastAsia="Open Sans" w:hAnsi="Open Sans" w:cs="Open Sans"/>
          <w:sz w:val="22"/>
          <w:szCs w:val="22"/>
        </w:rPr>
        <w:t xml:space="preserve"> e </w:t>
      </w:r>
      <w:hyperlink r:id="rId22">
        <w:proofErr w:type="spellStart"/>
        <w:r>
          <w:rPr>
            <w:rFonts w:ascii="Open Sans" w:eastAsia="Open Sans" w:hAnsi="Open Sans" w:cs="Open Sans"/>
            <w:b/>
            <w:bCs/>
            <w:color w:val="0000FF"/>
            <w:sz w:val="22"/>
            <w:szCs w:val="22"/>
          </w:rPr>
          <w:t>Inmoweb</w:t>
        </w:r>
        <w:proofErr w:type="spellEnd"/>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6D65BAA9" w14:textId="77777777" w:rsidR="00426D1D"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72B6DD0D" w14:textId="77777777" w:rsidR="00426D1D"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En Fotocasa Group, </w:t>
      </w:r>
      <w:r>
        <w:rPr>
          <w:rFonts w:ascii="Open Sans" w:eastAsia="Open Sans" w:hAnsi="Open Sans" w:cs="Open Sans"/>
          <w:b/>
          <w:bCs/>
          <w:sz w:val="22"/>
          <w:szCs w:val="22"/>
        </w:rPr>
        <w:t>unimos personas y propiedades</w:t>
      </w:r>
      <w:r>
        <w:rPr>
          <w:rFonts w:ascii="Open Sans" w:eastAsia="Open Sans" w:hAnsi="Open Sans" w:cs="Open Sans"/>
          <w:sz w:val="22"/>
          <w:szCs w:val="22"/>
        </w:rPr>
        <w:t> a través de una plataforma inteligente, diseñada para hacer que </w:t>
      </w:r>
      <w:r>
        <w:rPr>
          <w:rFonts w:ascii="Open Sans" w:eastAsia="Open Sans" w:hAnsi="Open Sans" w:cs="Open Sans"/>
          <w:b/>
          <w:bCs/>
          <w:sz w:val="22"/>
          <w:szCs w:val="22"/>
        </w:rPr>
        <w:t>buscar, comprar o alquilar vivienda</w:t>
      </w:r>
      <w:r>
        <w:rPr>
          <w:rFonts w:ascii="Open Sans" w:eastAsia="Open Sans" w:hAnsi="Open Sans" w:cs="Open Sans"/>
          <w:sz w:val="22"/>
          <w:szCs w:val="22"/>
        </w:rPr>
        <w:t> sea una experiencia más fácil, transparente y eficiente.</w:t>
      </w:r>
    </w:p>
    <w:p w14:paraId="6C4B3F12" w14:textId="77777777" w:rsidR="00426D1D"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Nuestra visión es clara</w:t>
      </w:r>
      <w:r>
        <w:rPr>
          <w:rFonts w:ascii="Open Sans" w:eastAsia="Open Sans" w:hAnsi="Open Sans" w:cs="Open Sans"/>
          <w:b/>
          <w:bCs/>
          <w:sz w:val="22"/>
          <w:szCs w:val="22"/>
        </w:rPr>
        <w:t>: ser el lugar donde tu nuevo hogar te encuentra</w:t>
      </w:r>
      <w:r>
        <w:rPr>
          <w:rFonts w:ascii="Open Sans" w:eastAsia="Open Sans" w:hAnsi="Open Sans" w:cs="Open Sans"/>
          <w:sz w:val="22"/>
          <w:szCs w:val="22"/>
        </w:rPr>
        <w:t>.</w:t>
      </w:r>
    </w:p>
    <w:p w14:paraId="5687D24F" w14:textId="77777777" w:rsidR="00426D1D" w:rsidRDefault="00426D1D">
      <w:pPr>
        <w:spacing w:line="276" w:lineRule="auto"/>
        <w:jc w:val="right"/>
        <w:rPr>
          <w:rFonts w:ascii="Open Sans" w:eastAsia="Open Sans" w:hAnsi="Open Sans" w:cs="Open Sans"/>
        </w:rPr>
      </w:pPr>
    </w:p>
    <w:p w14:paraId="339C0182" w14:textId="77777777" w:rsidR="00426D1D" w:rsidRDefault="00000000">
      <w:pPr>
        <w:spacing w:line="276" w:lineRule="auto"/>
        <w:rPr>
          <w:rFonts w:ascii="Open Sans" w:eastAsia="Open Sans" w:hAnsi="Open Sans" w:cs="Open Sans"/>
          <w:b/>
          <w:bCs/>
          <w:color w:val="303AB2"/>
          <w:sz w:val="22"/>
          <w:szCs w:val="22"/>
        </w:rPr>
      </w:pPr>
      <w:r>
        <w:rPr>
          <w:rFonts w:ascii="Open Sans" w:eastAsia="Open Sans" w:hAnsi="Open Sans" w:cs="Open Sans"/>
          <w:b/>
          <w:bCs/>
          <w:color w:val="303AB2"/>
          <w:sz w:val="22"/>
          <w:szCs w:val="22"/>
        </w:rPr>
        <w:t>Departamento Comunicación Fotocasa</w:t>
      </w:r>
    </w:p>
    <w:p w14:paraId="02F2A5C8" w14:textId="3A86B884" w:rsidR="00426D1D" w:rsidRDefault="00000000">
      <w:pPr>
        <w:shd w:val="clear" w:color="auto" w:fill="FFFFFF"/>
        <w:spacing w:line="276" w:lineRule="auto"/>
        <w:rPr>
          <w:rFonts w:ascii="Open Sans" w:eastAsia="Open Sans" w:hAnsi="Open Sans" w:cs="Open Sans"/>
          <w:b/>
          <w:bCs/>
          <w:color w:val="000000"/>
          <w:sz w:val="22"/>
          <w:szCs w:val="22"/>
        </w:rPr>
      </w:pPr>
      <w:r>
        <w:rPr>
          <w:rFonts w:ascii="Open Sans" w:eastAsia="Open Sans" w:hAnsi="Open Sans" w:cs="Open Sans"/>
          <w:b/>
          <w:bCs/>
          <w:color w:val="000000"/>
          <w:sz w:val="22"/>
          <w:szCs w:val="22"/>
        </w:rPr>
        <w:t xml:space="preserve">Anaïs </w:t>
      </w:r>
      <w:r w:rsidR="00A22CE5">
        <w:rPr>
          <w:rFonts w:ascii="Open Sans" w:eastAsia="Open Sans" w:hAnsi="Open Sans" w:cs="Open Sans"/>
          <w:b/>
          <w:bCs/>
          <w:color w:val="000000"/>
          <w:sz w:val="22"/>
          <w:szCs w:val="22"/>
        </w:rPr>
        <w:t>García</w:t>
      </w:r>
    </w:p>
    <w:p w14:paraId="31CE9D0F" w14:textId="77777777" w:rsidR="00426D1D" w:rsidRDefault="00000000">
      <w:pPr>
        <w:shd w:val="clear" w:color="auto" w:fill="FFFFFF"/>
        <w:spacing w:line="276" w:lineRule="auto"/>
        <w:rPr>
          <w:rFonts w:ascii="Open Sans" w:eastAsia="Open Sans" w:hAnsi="Open Sans" w:cs="Open Sans"/>
          <w:color w:val="0000FF"/>
          <w:sz w:val="22"/>
          <w:szCs w:val="22"/>
          <w:u w:val="single"/>
        </w:rPr>
      </w:pPr>
      <w:hyperlink r:id="rId23">
        <w:r>
          <w:rPr>
            <w:rFonts w:ascii="Open Sans" w:eastAsia="Open Sans" w:hAnsi="Open Sans" w:cs="Open Sans"/>
            <w:color w:val="0000FF"/>
            <w:sz w:val="22"/>
            <w:szCs w:val="22"/>
            <w:u w:val="single"/>
          </w:rPr>
          <w:t>comunicacion@fotocasa.es</w:t>
        </w:r>
      </w:hyperlink>
    </w:p>
    <w:p w14:paraId="5E6C1327" w14:textId="77777777" w:rsidR="00426D1D"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426D1D">
      <w:footerReference w:type="default" r:id="rId24"/>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8085DD" w14:textId="77777777" w:rsidR="0067043B" w:rsidRDefault="0067043B">
      <w:r>
        <w:separator/>
      </w:r>
    </w:p>
  </w:endnote>
  <w:endnote w:type="continuationSeparator" w:id="0">
    <w:p w14:paraId="3389C90A" w14:textId="77777777" w:rsidR="0067043B" w:rsidRDefault="00670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1DBD16B-0610-4E8D-8FD3-2269C21012F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5443281-AD53-498F-946A-79DF4DAE9863}"/>
    <w:embedBold r:id="rId3" w:fontKey="{A96B1652-933E-4966-AE0A-C858EDBCB304}"/>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987A9AA9-96ED-4EEE-968B-E128BC88E6E8}"/>
  </w:font>
  <w:font w:name="Georgia">
    <w:panose1 w:val="02040502050405020303"/>
    <w:charset w:val="00"/>
    <w:family w:val="roman"/>
    <w:pitch w:val="variable"/>
    <w:sig w:usb0="00000287" w:usb1="00000000" w:usb2="00000000" w:usb3="00000000" w:csb0="0000009F" w:csb1="00000000"/>
    <w:embedItalic r:id="rId5" w:fontKey="{F8904458-9FDB-4AC1-91E0-BA34647E02B0}"/>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5F43E443-380E-4DAE-8244-055F52D0EB1D}"/>
    <w:embedBold r:id="rId7" w:fontKey="{3C3DEE68-A2E4-4244-8A3E-F4E18FBB61F7}"/>
    <w:embedBoldItalic r:id="rId8" w:fontKey="{28D57987-53D0-47AC-94F7-F3F216BCCB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4D5EA" w14:textId="77777777" w:rsidR="00426D1D"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79FB8019" wp14:editId="406E3385">
          <wp:simplePos x="0" y="0"/>
          <wp:positionH relativeFrom="column">
            <wp:posOffset>-1068041</wp:posOffset>
          </wp:positionH>
          <wp:positionV relativeFrom="paragraph">
            <wp:posOffset>174608</wp:posOffset>
          </wp:positionV>
          <wp:extent cx="7670550" cy="451315"/>
          <wp:effectExtent l="0" t="0" r="0" b="0"/>
          <wp:wrapNone/>
          <wp:docPr id="21160438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EDBD9" w14:textId="77777777" w:rsidR="0067043B" w:rsidRDefault="0067043B">
      <w:r>
        <w:separator/>
      </w:r>
    </w:p>
  </w:footnote>
  <w:footnote w:type="continuationSeparator" w:id="0">
    <w:p w14:paraId="1B134E89" w14:textId="77777777" w:rsidR="0067043B" w:rsidRDefault="006704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9A3696"/>
    <w:multiLevelType w:val="multilevel"/>
    <w:tmpl w:val="AC607B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516697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D1D"/>
    <w:rsid w:val="00426D1D"/>
    <w:rsid w:val="00501C40"/>
    <w:rsid w:val="0067043B"/>
    <w:rsid w:val="00A22CE5"/>
    <w:rsid w:val="00D4791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AF119"/>
  <w15:docId w15:val="{71FFB898-6E1C-4600-9E9D-D75A9BB2B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a">
    <w:basedOn w:val="TableNormalf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9"/>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habitaclia.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get.witei.com/en/"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fotocasa.e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rensa.fotocasa.es" TargetMode="External"/><Relationship Id="rId20" Type="http://schemas.openxmlformats.org/officeDocument/2006/relationships/hyperlink" Target="https://datavenue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research.fotocasa.es" TargetMode="External"/><Relationship Id="rId23" Type="http://schemas.openxmlformats.org/officeDocument/2006/relationships/hyperlink" Target="mailto:comunicacion@fotocasa.es" TargetMode="External"/><Relationship Id="rId10" Type="http://schemas.openxmlformats.org/officeDocument/2006/relationships/hyperlink" Target="https://research.fotocasa.es/" TargetMode="External"/><Relationship Id="rId19" Type="http://schemas.openxmlformats.org/officeDocument/2006/relationships/hyperlink" Target="https://profesionales.fotocasa.es/" TargetMode="External"/><Relationship Id="rId4" Type="http://schemas.openxmlformats.org/officeDocument/2006/relationships/settings" Target="settings.xml"/><Relationship Id="rId9" Type="http://schemas.openxmlformats.org/officeDocument/2006/relationships/hyperlink" Target="https://s36360.pcdn.co/wp-content/uploads/2025/11/Informe-La-vivienda-de-obra-nueva-en-2025.pdf" TargetMode="External"/><Relationship Id="rId14" Type="http://schemas.openxmlformats.org/officeDocument/2006/relationships/hyperlink" Target="https://www.fotocasa.es/indice/" TargetMode="External"/><Relationship Id="rId22" Type="http://schemas.openxmlformats.org/officeDocument/2006/relationships/hyperlink" Target="https://www.inmoweb.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BPau27J0smBvfIah0jg2flSfvA==">CgMxLjA4AHIhMWxKQXF1RWs5QlpWd1BveUJFSnQwTVExaGtsYjhKVjVG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992</Words>
  <Characters>5462</Characters>
  <Application>Microsoft Office Word</Application>
  <DocSecurity>0</DocSecurity>
  <Lines>45</Lines>
  <Paragraphs>12</Paragraphs>
  <ScaleCrop>false</ScaleCrop>
  <Company/>
  <LinksUpToDate>false</LinksUpToDate>
  <CharactersWithSpaces>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3</cp:revision>
  <dcterms:created xsi:type="dcterms:W3CDTF">2024-02-06T13:46:00Z</dcterms:created>
  <dcterms:modified xsi:type="dcterms:W3CDTF">2026-01-08T18:22:00Z</dcterms:modified>
</cp:coreProperties>
</file>