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F5EE" w14:textId="77777777" w:rsidR="000F4382" w:rsidRDefault="00000000">
      <w:pPr>
        <w:spacing w:line="240" w:lineRule="auto"/>
        <w:jc w:val="center"/>
        <w:rPr>
          <w:rFonts w:ascii="National" w:eastAsia="National" w:hAnsi="National" w:cs="National"/>
          <w:b/>
          <w:bCs/>
          <w:color w:val="303AB2"/>
          <w:sz w:val="56"/>
          <w:szCs w:val="56"/>
        </w:rPr>
      </w:pPr>
      <w:r>
        <w:rPr>
          <w:rFonts w:ascii="National" w:eastAsia="National" w:hAnsi="National" w:cs="National"/>
          <w:b/>
          <w:bCs/>
          <w:color w:val="303AB2"/>
          <w:sz w:val="56"/>
          <w:szCs w:val="56"/>
        </w:rPr>
        <w:t>“Récord de compraventas desde 2007"</w:t>
      </w:r>
    </w:p>
    <w:p w14:paraId="1E9F9E8E" w14:textId="77777777" w:rsidR="000F4382" w:rsidRDefault="000F4382">
      <w:pPr>
        <w:spacing w:line="240" w:lineRule="auto"/>
        <w:jc w:val="center"/>
        <w:rPr>
          <w:rFonts w:ascii="National" w:eastAsia="National" w:hAnsi="National" w:cs="National"/>
          <w:b/>
          <w:bCs/>
          <w:color w:val="303AB2"/>
          <w:sz w:val="56"/>
          <w:szCs w:val="56"/>
        </w:rPr>
      </w:pPr>
    </w:p>
    <w:p w14:paraId="6C92610F" w14:textId="77777777" w:rsidR="000F4382" w:rsidRDefault="00000000">
      <w:pPr>
        <w:pBdr>
          <w:top w:val="nil"/>
          <w:left w:val="nil"/>
          <w:bottom w:val="nil"/>
          <w:right w:val="nil"/>
          <w:between w:val="nil"/>
        </w:pBdr>
        <w:shd w:val="clear" w:color="auto" w:fill="FFFFFF"/>
        <w:spacing w:after="225"/>
        <w:jc w:val="both"/>
        <w:rPr>
          <w:rFonts w:ascii="Open Sans" w:eastAsia="Open Sans" w:hAnsi="Open Sans" w:cs="Open Sans"/>
          <w:b/>
          <w:bCs/>
          <w:color w:val="303AB2"/>
        </w:rPr>
      </w:pPr>
      <w:r>
        <w:rPr>
          <w:rFonts w:ascii="Open Sans" w:eastAsia="Open Sans" w:hAnsi="Open Sans" w:cs="Open Sans"/>
          <w:b/>
          <w:bCs/>
          <w:color w:val="303AB2"/>
        </w:rPr>
        <w:t>Madrid, 20 de febrero de 2026</w:t>
      </w:r>
    </w:p>
    <w:p w14:paraId="46A2747C" w14:textId="77777777" w:rsidR="000F438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El dato de transacciones inmobiliarias correspondientes al último mes de 2025 dado a conocer hoy por el INE refleja un descenso mensual del </w:t>
      </w:r>
      <w:r>
        <w:rPr>
          <w:rFonts w:ascii="Open Sans" w:eastAsia="Open Sans" w:hAnsi="Open Sans" w:cs="Open Sans"/>
          <w:sz w:val="21"/>
          <w:szCs w:val="21"/>
          <w:highlight w:val="white"/>
        </w:rPr>
        <w:t>-7,5%</w:t>
      </w:r>
      <w:r>
        <w:rPr>
          <w:rFonts w:ascii="Open Sans" w:eastAsia="Open Sans" w:hAnsi="Open Sans" w:cs="Open Sans"/>
          <w:sz w:val="21"/>
          <w:szCs w:val="21"/>
        </w:rPr>
        <w:t xml:space="preserve"> y un ascenso interanual del </w:t>
      </w:r>
      <w:r>
        <w:rPr>
          <w:rFonts w:ascii="Open Sans" w:eastAsia="Open Sans" w:hAnsi="Open Sans" w:cs="Open Sans"/>
          <w:sz w:val="21"/>
          <w:szCs w:val="21"/>
          <w:highlight w:val="white"/>
        </w:rPr>
        <w:t xml:space="preserve">7,9%. </w:t>
      </w:r>
      <w:r>
        <w:rPr>
          <w:rFonts w:ascii="Open Sans" w:eastAsia="Open Sans" w:hAnsi="Open Sans" w:cs="Open Sans"/>
          <w:sz w:val="21"/>
          <w:szCs w:val="21"/>
        </w:rPr>
        <w:t xml:space="preserve">“Los últimos datos de compraventa confirman que el 2025 ha sido un año muy dinámico, impulsado por un apetito por adquirir vivienda que se mantiene extraordinariamente elevado”. El mercado muestra un ciclo de optimismo, impulsado por los bajos tipos de interés y la confianza del comprador. A ello se suma una </w:t>
      </w:r>
      <w:r>
        <w:rPr>
          <w:rFonts w:ascii="Open Sans" w:eastAsia="Open Sans" w:hAnsi="Open Sans" w:cs="Open Sans"/>
          <w:b/>
          <w:bCs/>
          <w:sz w:val="21"/>
          <w:szCs w:val="21"/>
        </w:rPr>
        <w:t>tasa de ahorro familiar todavía robusta y unas condiciones hipotecarias sensiblemente más favorables</w:t>
      </w:r>
      <w:r>
        <w:rPr>
          <w:rFonts w:ascii="Open Sans" w:eastAsia="Open Sans" w:hAnsi="Open Sans" w:cs="Open Sans"/>
          <w:sz w:val="21"/>
          <w:szCs w:val="21"/>
        </w:rPr>
        <w:t xml:space="preserve">, ingredientes que han impulsado una actividad especialmente intensa durante este año”, </w:t>
      </w:r>
      <w:r>
        <w:rPr>
          <w:rFonts w:ascii="Open Sans" w:eastAsia="Open Sans" w:hAnsi="Open Sans" w:cs="Open Sans"/>
          <w:b/>
          <w:bCs/>
          <w:sz w:val="21"/>
          <w:szCs w:val="21"/>
        </w:rPr>
        <w:t xml:space="preserve">explica María Matos, directora de Estudios de </w:t>
      </w:r>
      <w:hyperlink r:id="rId7">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615B9296" w14:textId="77777777" w:rsidR="000F438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b/>
          <w:bCs/>
          <w:sz w:val="21"/>
          <w:szCs w:val="21"/>
        </w:rPr>
        <w:t xml:space="preserve">Diciembre ha registrado 54.148 compraventas, lo que eleva el acumulado anual hasta 714.237 operaciones, un </w:t>
      </w:r>
      <w:r>
        <w:rPr>
          <w:rFonts w:ascii="Open Sans" w:eastAsia="Open Sans" w:hAnsi="Open Sans" w:cs="Open Sans"/>
          <w:b/>
          <w:bCs/>
          <w:sz w:val="21"/>
          <w:szCs w:val="21"/>
          <w:highlight w:val="white"/>
        </w:rPr>
        <w:t>11%</w:t>
      </w:r>
      <w:r>
        <w:rPr>
          <w:rFonts w:ascii="Open Sans" w:eastAsia="Open Sans" w:hAnsi="Open Sans" w:cs="Open Sans"/>
          <w:b/>
          <w:bCs/>
          <w:sz w:val="21"/>
          <w:szCs w:val="21"/>
        </w:rPr>
        <w:t xml:space="preserve"> más que en 2024 y convierte a 2025 en el mejor año desde 2007</w:t>
      </w:r>
      <w:r>
        <w:rPr>
          <w:rFonts w:ascii="Open Sans" w:eastAsia="Open Sans" w:hAnsi="Open Sans" w:cs="Open Sans"/>
          <w:sz w:val="21"/>
          <w:szCs w:val="21"/>
        </w:rPr>
        <w:t xml:space="preserve">. “Este dato refleja el extraordinario nivel de actividad que atraviesa el sector inmobiliario. El ritmo actual, cercano a las 60.000 firmas mensuales, ha convertido a </w:t>
      </w:r>
      <w:r>
        <w:rPr>
          <w:rFonts w:ascii="Open Sans" w:eastAsia="Open Sans" w:hAnsi="Open Sans" w:cs="Open Sans"/>
          <w:b/>
          <w:bCs/>
          <w:sz w:val="21"/>
          <w:szCs w:val="21"/>
        </w:rPr>
        <w:t>2025 en el mejor año desde 2007</w:t>
      </w:r>
      <w:r>
        <w:rPr>
          <w:rFonts w:ascii="Open Sans" w:eastAsia="Open Sans" w:hAnsi="Open Sans" w:cs="Open Sans"/>
          <w:sz w:val="21"/>
          <w:szCs w:val="21"/>
        </w:rPr>
        <w:t>, cuando se alcanzaron 775.000 operaciones. Las cifras confirman que la compraventa vive una auténtica etapa dorada, con un mercado que permanece en fase expansiva”, asegura la portavoz.</w:t>
      </w:r>
    </w:p>
    <w:p w14:paraId="111360A8" w14:textId="77777777" w:rsidR="000F4382"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“El ritmo sostenido, cercano a las 60.000 firmas mensuales, ha consolidado un escenario de alta actividad que no se veía desde antes de la crisis financiera.  Tras años de incertidumbre monetaria, la mejora en el acceso a la financiación ha actuado como auténtica palanca para reactivar decisiones de compra que estaban paralizadas. Recordemos que en 2022 hasta un 40% de los compradores se vio afectado por la brusca subida de los tipos y un 19% llegó a detener su proceso de adquisición. En 2025 hemos asistido al efecto contrario, la rebaja de tipos ha devuelto al mercado a un volumen muy importante de esa demanda contenida”, añade María Matos.</w:t>
      </w:r>
    </w:p>
    <w:p w14:paraId="2F6FD08B" w14:textId="77777777" w:rsidR="000F4382" w:rsidRDefault="00000000">
      <w:pPr>
        <w:pBdr>
          <w:top w:val="nil"/>
          <w:left w:val="nil"/>
          <w:bottom w:val="nil"/>
          <w:right w:val="nil"/>
          <w:between w:val="nil"/>
        </w:pBdr>
        <w:shd w:val="clear" w:color="auto" w:fill="FFFFFF"/>
        <w:spacing w:after="225"/>
        <w:jc w:val="both"/>
        <w:rPr>
          <w:rFonts w:ascii="Open Sans" w:eastAsia="Open Sans" w:hAnsi="Open Sans" w:cs="Open Sans"/>
          <w:b/>
          <w:bCs/>
          <w:sz w:val="21"/>
          <w:szCs w:val="21"/>
        </w:rPr>
      </w:pPr>
      <w:r>
        <w:rPr>
          <w:rFonts w:ascii="Open Sans" w:eastAsia="Open Sans" w:hAnsi="Open Sans" w:cs="Open Sans"/>
          <w:sz w:val="21"/>
          <w:szCs w:val="21"/>
        </w:rPr>
        <w:t>“Según los últimos datos de</w:t>
      </w:r>
      <w:r>
        <w:rPr>
          <w:rFonts w:ascii="Open Sans" w:eastAsia="Open Sans" w:hAnsi="Open Sans" w:cs="Open Sans"/>
          <w:b/>
          <w:bCs/>
          <w:sz w:val="21"/>
          <w:szCs w:val="21"/>
        </w:rPr>
        <w:t xml:space="preserve"> </w:t>
      </w:r>
      <w:hyperlink r:id="rId8">
        <w:r>
          <w:rPr>
            <w:rFonts w:ascii="Open Sans" w:eastAsia="Open Sans" w:hAnsi="Open Sans" w:cs="Open Sans"/>
            <w:b/>
            <w:bCs/>
            <w:i/>
            <w:iCs/>
            <w:color w:val="1155CC"/>
            <w:sz w:val="21"/>
            <w:szCs w:val="21"/>
            <w:u w:val="single"/>
          </w:rPr>
          <w:t>Fotocasa Research</w:t>
        </w:r>
      </w:hyperlink>
      <w:r>
        <w:rPr>
          <w:rFonts w:ascii="Open Sans" w:eastAsia="Open Sans" w:hAnsi="Open Sans" w:cs="Open Sans"/>
          <w:sz w:val="21"/>
          <w:szCs w:val="21"/>
        </w:rPr>
        <w:t xml:space="preserve">, un 21% de la demanda reconoce que la mejora de las condiciones hipotecarias ha sido determinante en su decisión de compra. De ellos, un 7% afirma haber adquirido vivienda en 2025 cuando inicialmente no lo tenía previsto gracias al abaratamiento de las hipotecas. Estos datos confirman que la reactivación de la </w:t>
      </w:r>
      <w:r>
        <w:rPr>
          <w:rFonts w:ascii="Open Sans" w:eastAsia="Open Sans" w:hAnsi="Open Sans" w:cs="Open Sans"/>
          <w:sz w:val="21"/>
          <w:szCs w:val="21"/>
        </w:rPr>
        <w:lastRenderedPageBreak/>
        <w:t xml:space="preserve">demanda está estrechamente ligada al giro en la política monetaria del BCE”, recuerda </w:t>
      </w:r>
      <w:r>
        <w:rPr>
          <w:rFonts w:ascii="Open Sans" w:eastAsia="Open Sans" w:hAnsi="Open Sans" w:cs="Open Sans"/>
          <w:b/>
          <w:bCs/>
          <w:sz w:val="21"/>
          <w:szCs w:val="21"/>
        </w:rPr>
        <w:t xml:space="preserve">María Matos, directora de Estudios de </w:t>
      </w:r>
      <w:hyperlink r:id="rId9">
        <w:r>
          <w:rPr>
            <w:rFonts w:ascii="Open Sans" w:eastAsia="Open Sans" w:hAnsi="Open Sans" w:cs="Open Sans"/>
            <w:b/>
            <w:bCs/>
            <w:color w:val="0000FF"/>
            <w:sz w:val="21"/>
            <w:szCs w:val="21"/>
            <w:u w:val="single"/>
          </w:rPr>
          <w:t>Fotocasa</w:t>
        </w:r>
      </w:hyperlink>
      <w:r>
        <w:rPr>
          <w:rFonts w:ascii="Open Sans" w:eastAsia="Open Sans" w:hAnsi="Open Sans" w:cs="Open Sans"/>
          <w:b/>
          <w:bCs/>
          <w:sz w:val="21"/>
          <w:szCs w:val="21"/>
        </w:rPr>
        <w:t xml:space="preserve">. </w:t>
      </w:r>
    </w:p>
    <w:p w14:paraId="6F8D318B" w14:textId="77777777" w:rsidR="000F4382"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t>La vivienda de obra nueva supone más del 20% de las ventas</w:t>
      </w:r>
    </w:p>
    <w:p w14:paraId="16B2999C"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bCs/>
          <w:sz w:val="21"/>
          <w:szCs w:val="21"/>
        </w:rPr>
        <w:t xml:space="preserve">viviendas nuevas que reflejan un incremento anual del 16% y han supuesto 155.910 compraventas en 2025, un 21,8% del total de las compraventas. </w:t>
      </w:r>
      <w:r>
        <w:rPr>
          <w:rFonts w:ascii="Open Sans" w:eastAsia="Open Sans" w:hAnsi="Open Sans" w:cs="Open Sans"/>
          <w:sz w:val="21"/>
          <w:szCs w:val="21"/>
        </w:rPr>
        <w:t>“La obra nueva sigue siendo altamente atractiva porque responde mejor a las nuevas prioridades del comprador: eficiencia energética, espacios abiertos y calidad constructiva. De hecho, el 20% de los compradores declara querer exclusivamente vivienda nueva y hasta un 65% se ha planteado esta opción en algún momento del proceso”, señala la portavoz.</w:t>
      </w:r>
    </w:p>
    <w:p w14:paraId="5CBBAFBD"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la elevada presión de la demanda sobre un volumen productivo insuficiente mantiene la tensión en precios. La dificultad para encontrar suelo finalista, el encarecimiento de los costes de construcción, la escasez de mano de obra y la carga burocrática siguen limitando la capacidad de respuesta del sector promotor. Mientras no aumente de forma estructural la oferta, la presión al alza sobre los precios persistirá”, advierte Matos.”, explica María Matos. </w:t>
      </w:r>
    </w:p>
    <w:p w14:paraId="2751DD19" w14:textId="77777777" w:rsidR="000F4382" w:rsidRDefault="00000000">
      <w:pPr>
        <w:shd w:val="clear" w:color="auto" w:fill="FFFFFF"/>
        <w:spacing w:after="225"/>
        <w:jc w:val="both"/>
        <w:rPr>
          <w:rFonts w:ascii="Open Sans" w:eastAsia="Open Sans" w:hAnsi="Open Sans" w:cs="Open Sans"/>
          <w:b/>
          <w:bCs/>
          <w:color w:val="303AB2"/>
          <w:sz w:val="26"/>
          <w:szCs w:val="26"/>
        </w:rPr>
      </w:pPr>
      <w:r>
        <w:rPr>
          <w:rFonts w:ascii="Open Sans" w:eastAsia="Open Sans" w:hAnsi="Open Sans" w:cs="Open Sans"/>
          <w:b/>
          <w:bCs/>
          <w:color w:val="303AB2"/>
          <w:sz w:val="26"/>
          <w:szCs w:val="26"/>
        </w:rPr>
        <w:t>Previsiones para el primer semestre de 2026</w:t>
      </w:r>
    </w:p>
    <w:p w14:paraId="0A9BD017"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política de estabilización de tipos y del Euríbor ha sido uno de los grandes motores de la compraventa de vivienda en 2025 y seguirá marcando el pulso del mercado en el arranque de 2026. Según los últimos datos de </w:t>
      </w:r>
      <w:hyperlink r:id="rId10">
        <w:r>
          <w:rPr>
            <w:rFonts w:ascii="Open Sans" w:eastAsia="Open Sans" w:hAnsi="Open Sans" w:cs="Open Sans"/>
            <w:b/>
            <w:bCs/>
            <w:i/>
            <w:iCs/>
            <w:color w:val="1155CC"/>
            <w:sz w:val="21"/>
            <w:szCs w:val="21"/>
            <w:u w:val="single"/>
          </w:rPr>
          <w:t>Fotocasa Research</w:t>
        </w:r>
      </w:hyperlink>
      <w:r>
        <w:rPr>
          <w:rFonts w:ascii="Open Sans" w:eastAsia="Open Sans" w:hAnsi="Open Sans" w:cs="Open Sans"/>
          <w:sz w:val="21"/>
          <w:szCs w:val="21"/>
        </w:rPr>
        <w:t xml:space="preserve">, </w:t>
      </w:r>
      <w:r>
        <w:rPr>
          <w:rFonts w:ascii="Open Sans" w:eastAsia="Open Sans" w:hAnsi="Open Sans" w:cs="Open Sans"/>
          <w:b/>
          <w:bCs/>
          <w:sz w:val="21"/>
          <w:szCs w:val="21"/>
        </w:rPr>
        <w:t>un 21% de la demanda actual reconoce estar directamente condicionada por la mejora de las condiciones</w:t>
      </w:r>
      <w:r>
        <w:rPr>
          <w:rFonts w:ascii="Open Sans" w:eastAsia="Open Sans" w:hAnsi="Open Sans" w:cs="Open Sans"/>
          <w:sz w:val="21"/>
          <w:szCs w:val="21"/>
        </w:rPr>
        <w:t xml:space="preserve"> de financiación. De ellos, un 7% afirma haber adquirido vivienda este año cuando inicialmente no lo tenía previsto gracias al abaratamiento de las hipotecas. Y el otro 14% de potenciales compradores permanece a la espera de que este escenario se consolide para volver al mercado, lo que explica los elevados volúmenes de operaciones con los que el sector cerrará el año”, asegura María Matos, directora de Estudios de Fotocasa.</w:t>
      </w:r>
    </w:p>
    <w:p w14:paraId="168ACB30"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“Sin embargo, de cara a 2026, el mantenimiento de ritmos mensuales cercanos a las 60.000 compraventas dependerá de que los tipos de interés se mantengan bajos, con un Euríbor estabilizado en torno al 2,5%. Aunque la financiación seguirá siendo accesible, </w:t>
      </w:r>
      <w:r>
        <w:rPr>
          <w:rFonts w:ascii="Open Sans" w:eastAsia="Open Sans" w:hAnsi="Open Sans" w:cs="Open Sans"/>
          <w:b/>
          <w:bCs/>
          <w:sz w:val="21"/>
          <w:szCs w:val="21"/>
        </w:rPr>
        <w:t>la banca dejará atrás la intensa competencia comercial y apostará por productos más prudentes</w:t>
      </w:r>
      <w:r>
        <w:rPr>
          <w:rFonts w:ascii="Open Sans" w:eastAsia="Open Sans" w:hAnsi="Open Sans" w:cs="Open Sans"/>
          <w:sz w:val="21"/>
          <w:szCs w:val="21"/>
        </w:rPr>
        <w:t xml:space="preserve"> y alineados con un entorno de mayor estabilidad monetaria, lo que podría moderar ligeramente el ritmo de ventas respecto a los máximos alcanzados en 2025”, detalla María Matos.</w:t>
      </w:r>
    </w:p>
    <w:p w14:paraId="65A1B931"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“A este contexto se suma la persistente escasez de oferta a precios competitivos, que seguirá actuando como un freno estructural del mercado. </w:t>
      </w:r>
      <w:r>
        <w:rPr>
          <w:rFonts w:ascii="Open Sans" w:eastAsia="Open Sans" w:hAnsi="Open Sans" w:cs="Open Sans"/>
          <w:b/>
          <w:bCs/>
          <w:sz w:val="21"/>
          <w:szCs w:val="21"/>
        </w:rPr>
        <w:t>La dificultad para encontrar una vivienda que encaje en el presupuesto del comprador se intensificará</w:t>
      </w:r>
      <w:r>
        <w:rPr>
          <w:rFonts w:ascii="Open Sans" w:eastAsia="Open Sans" w:hAnsi="Open Sans" w:cs="Open Sans"/>
          <w:sz w:val="21"/>
          <w:szCs w:val="21"/>
        </w:rPr>
        <w:t>, especialmente entre quienes sufren la brecha de accesibilidad y dependen de financiación. Esta tensión continuará presionando al alza los precios y llevará a parte de la demanda a aplazar su decisión de compra, pese a que en muchos casos las cuotas hipotecarias siguen siendo inferiores al coste del alquiler”, advierte la portavoz.</w:t>
      </w:r>
    </w:p>
    <w:p w14:paraId="084A74F4"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inestabilidad geopolítica y económica continuará </w:t>
      </w:r>
      <w:r>
        <w:rPr>
          <w:rFonts w:ascii="Open Sans" w:eastAsia="Open Sans" w:hAnsi="Open Sans" w:cs="Open Sans"/>
          <w:b/>
          <w:bCs/>
          <w:sz w:val="21"/>
          <w:szCs w:val="21"/>
        </w:rPr>
        <w:t>reforzando la percepción de la vivienda como valor refugio, manteniendo elevado el apetito comprador, tanto para mejora residencial como para inversión</w:t>
      </w:r>
      <w:r>
        <w:rPr>
          <w:rFonts w:ascii="Open Sans" w:eastAsia="Open Sans" w:hAnsi="Open Sans" w:cs="Open Sans"/>
          <w:sz w:val="21"/>
          <w:szCs w:val="21"/>
        </w:rPr>
        <w:t xml:space="preserve">. A ello se añaden las políticas de apoyo, como los avales ICO, que seguirán facilitando el acceso al mercado a jóvenes y familias con menores a cargo. De hecho, desde </w:t>
      </w:r>
      <w:hyperlink r:id="rId11">
        <w:r>
          <w:rPr>
            <w:rFonts w:ascii="Open Sans" w:eastAsia="Open Sans" w:hAnsi="Open Sans" w:cs="Open Sans"/>
            <w:b/>
            <w:bCs/>
            <w:color w:val="1155CC"/>
            <w:sz w:val="21"/>
            <w:szCs w:val="21"/>
            <w:u w:val="single"/>
          </w:rPr>
          <w:t>Fotocasa</w:t>
        </w:r>
      </w:hyperlink>
      <w:r>
        <w:rPr>
          <w:rFonts w:ascii="Open Sans" w:eastAsia="Open Sans" w:hAnsi="Open Sans" w:cs="Open Sans"/>
          <w:sz w:val="21"/>
          <w:szCs w:val="21"/>
        </w:rPr>
        <w:t xml:space="preserve"> consideramos que uno de cada tres jóvenes compradores podrá acceder a la vivienda gracias a estas nuevas condiciones de financiación”, explica la directora de Estudios.</w:t>
      </w:r>
    </w:p>
    <w:p w14:paraId="2B757A8D" w14:textId="77777777" w:rsidR="000F4382"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“Con todo, y tras un ejercicio excepcional, </w:t>
      </w:r>
      <w:r>
        <w:rPr>
          <w:rFonts w:ascii="Open Sans" w:eastAsia="Open Sans" w:hAnsi="Open Sans" w:cs="Open Sans"/>
          <w:b/>
          <w:bCs/>
          <w:sz w:val="21"/>
          <w:szCs w:val="21"/>
        </w:rPr>
        <w:t>2026 se perfila como un año de normalización tras máximos</w:t>
      </w:r>
      <w:r>
        <w:rPr>
          <w:rFonts w:ascii="Open Sans" w:eastAsia="Open Sans" w:hAnsi="Open Sans" w:cs="Open Sans"/>
          <w:sz w:val="21"/>
          <w:szCs w:val="21"/>
        </w:rPr>
        <w:t xml:space="preserve">. La previsión apunta a un volumen de compraventas </w:t>
      </w:r>
      <w:r>
        <w:rPr>
          <w:rFonts w:ascii="Open Sans" w:eastAsia="Open Sans" w:hAnsi="Open Sans" w:cs="Open Sans"/>
          <w:b/>
          <w:bCs/>
          <w:sz w:val="21"/>
          <w:szCs w:val="21"/>
        </w:rPr>
        <w:t>cercano a las 660.000 operaciones, alrededor de un</w:t>
      </w:r>
      <w:r>
        <w:rPr>
          <w:rFonts w:ascii="Open Sans" w:eastAsia="Open Sans" w:hAnsi="Open Sans" w:cs="Open Sans"/>
          <w:b/>
          <w:bCs/>
          <w:sz w:val="21"/>
          <w:szCs w:val="21"/>
          <w:highlight w:val="white"/>
        </w:rPr>
        <w:t xml:space="preserve"> -8%</w:t>
      </w:r>
      <w:r>
        <w:rPr>
          <w:rFonts w:ascii="Open Sans" w:eastAsia="Open Sans" w:hAnsi="Open Sans" w:cs="Open Sans"/>
          <w:b/>
          <w:bCs/>
          <w:sz w:val="21"/>
          <w:szCs w:val="21"/>
        </w:rPr>
        <w:t xml:space="preserve"> menos </w:t>
      </w:r>
      <w:r>
        <w:rPr>
          <w:rFonts w:ascii="Open Sans" w:eastAsia="Open Sans" w:hAnsi="Open Sans" w:cs="Open Sans"/>
          <w:sz w:val="21"/>
          <w:szCs w:val="21"/>
        </w:rPr>
        <w:t>y más de 470.000 hipotecas. Aun así, el mercado seguirá mostrando un notable dinamismo, sostenido por una demanda estructuralmente fuerte y por factores sociales como la emancipación tardía, la mejora de la calidad del hogar y la búsqueda de estabilidad patrimonial en un entorno incierto”, concluye María Matos.</w:t>
      </w:r>
    </w:p>
    <w:p w14:paraId="54EB38C1" w14:textId="77777777" w:rsidR="000F4382" w:rsidRDefault="000F4382">
      <w:pPr>
        <w:shd w:val="clear" w:color="auto" w:fill="FFFFFF"/>
        <w:spacing w:before="280" w:after="280"/>
        <w:jc w:val="right"/>
        <w:rPr>
          <w:rFonts w:ascii="Open Sans Light" w:eastAsia="Open Sans Light" w:hAnsi="Open Sans Light" w:cs="Open Sans Light"/>
          <w:b/>
          <w:bCs/>
          <w:color w:val="303AB2"/>
          <w:sz w:val="24"/>
          <w:szCs w:val="24"/>
        </w:rPr>
      </w:pPr>
    </w:p>
    <w:p w14:paraId="5EED3388" w14:textId="77777777" w:rsidR="000F4382" w:rsidRDefault="00000000">
      <w:pPr>
        <w:shd w:val="clear" w:color="auto" w:fill="FFFFFF"/>
        <w:spacing w:before="280" w:after="280"/>
        <w:jc w:val="right"/>
        <w:rPr>
          <w:rFonts w:ascii="Open Sans Light" w:eastAsia="Open Sans Light" w:hAnsi="Open Sans Light" w:cs="Open Sans Light"/>
          <w:b/>
          <w:bCs/>
          <w:color w:val="303AB2"/>
          <w:sz w:val="24"/>
          <w:szCs w:val="24"/>
        </w:rPr>
      </w:pPr>
      <w:r>
        <w:rPr>
          <w:rFonts w:ascii="Open Sans Light" w:eastAsia="Open Sans Light" w:hAnsi="Open Sans Light" w:cs="Open Sans Light"/>
          <w:b/>
          <w:bCs/>
          <w:color w:val="303AB2"/>
          <w:sz w:val="24"/>
          <w:szCs w:val="24"/>
        </w:rPr>
        <w:t>Departamento de Comunicación de Fotocasa</w:t>
      </w:r>
    </w:p>
    <w:p w14:paraId="4CDEC611" w14:textId="77777777" w:rsidR="000F4382" w:rsidRDefault="00000000">
      <w:pPr>
        <w:shd w:val="clear" w:color="auto" w:fill="FFFFFF"/>
        <w:ind w:right="-7"/>
        <w:jc w:val="right"/>
        <w:rPr>
          <w:rFonts w:ascii="Open Sans" w:eastAsia="Open Sans" w:hAnsi="Open Sans" w:cs="Open Sans"/>
          <w:b/>
          <w:bCs/>
          <w:sz w:val="21"/>
          <w:szCs w:val="21"/>
        </w:rPr>
      </w:pPr>
      <w:r>
        <w:rPr>
          <w:rFonts w:ascii="Open Sans" w:eastAsia="Open Sans" w:hAnsi="Open Sans" w:cs="Open Sans"/>
          <w:b/>
          <w:bCs/>
          <w:sz w:val="21"/>
          <w:szCs w:val="21"/>
        </w:rPr>
        <w:t>Anaïs García</w:t>
      </w:r>
    </w:p>
    <w:p w14:paraId="196155F7" w14:textId="77777777" w:rsidR="000F4382"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462BABC3" w14:textId="77777777" w:rsidR="000F4382"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comunicacion@fotocasa.es</w:t>
        </w:r>
      </w:hyperlink>
    </w:p>
    <w:p w14:paraId="1469392D" w14:textId="77777777" w:rsidR="000F4382" w:rsidRDefault="00000000">
      <w:pPr>
        <w:shd w:val="clear" w:color="auto" w:fill="FFFFFF"/>
        <w:ind w:right="-7"/>
        <w:jc w:val="right"/>
        <w:rPr>
          <w:rFonts w:ascii="Open Sans" w:eastAsia="Open Sans" w:hAnsi="Open Sans" w:cs="Open Sans"/>
          <w:sz w:val="21"/>
          <w:szCs w:val="21"/>
        </w:rPr>
      </w:pPr>
      <w:hyperlink r:id="rId13">
        <w:r>
          <w:rPr>
            <w:rFonts w:ascii="Open Sans" w:eastAsia="Open Sans" w:hAnsi="Open Sans" w:cs="Open Sans"/>
            <w:color w:val="0563C1"/>
            <w:sz w:val="21"/>
            <w:szCs w:val="21"/>
            <w:u w:val="single"/>
          </w:rPr>
          <w:t>http://prensa.fotocasa.es</w:t>
        </w:r>
      </w:hyperlink>
    </w:p>
    <w:p w14:paraId="23C324F4" w14:textId="77777777" w:rsidR="000F4382" w:rsidRDefault="000F4382">
      <w:pPr>
        <w:shd w:val="clear" w:color="auto" w:fill="FFFFFF"/>
        <w:ind w:right="-7"/>
        <w:jc w:val="right"/>
      </w:pPr>
    </w:p>
    <w:sectPr w:rsidR="000F4382">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F7AD9" w14:textId="77777777" w:rsidR="00BA7B44" w:rsidRDefault="00BA7B44">
      <w:pPr>
        <w:spacing w:line="240" w:lineRule="auto"/>
      </w:pPr>
      <w:r>
        <w:separator/>
      </w:r>
    </w:p>
  </w:endnote>
  <w:endnote w:type="continuationSeparator" w:id="0">
    <w:p w14:paraId="50D5F746" w14:textId="77777777" w:rsidR="00BA7B44" w:rsidRDefault="00BA7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1692CD45-DB5B-48C1-967A-6B4B62CC31B1}"/>
    <w:embedBold r:id="rId2" w:fontKey="{9B87F656-4973-4641-9BE7-31C9939D3641}"/>
    <w:embedBoldItalic r:id="rId3" w:fontKey="{080568A0-B728-4FC1-B02A-4DB6CAC22B6B}"/>
  </w:font>
  <w:font w:name="Open Sans Light">
    <w:charset w:val="00"/>
    <w:family w:val="swiss"/>
    <w:pitch w:val="variable"/>
    <w:sig w:usb0="E00002EF" w:usb1="4000205B" w:usb2="00000028" w:usb3="00000000" w:csb0="0000019F" w:csb1="00000000"/>
    <w:embedBold r:id="rId4" w:fontKey="{07E6B116-29D7-45DA-98C3-4E2D3ECBD160}"/>
  </w:font>
  <w:font w:name="Calibri">
    <w:panose1 w:val="020F0502020204030204"/>
    <w:charset w:val="00"/>
    <w:family w:val="swiss"/>
    <w:pitch w:val="variable"/>
    <w:sig w:usb0="E4002EFF" w:usb1="C200247B" w:usb2="00000009" w:usb3="00000000" w:csb0="000001FF" w:csb1="00000000"/>
    <w:embedRegular r:id="rId5" w:fontKey="{DA50BC3F-048E-4DF3-9D1E-C5F3C1EA9BAE}"/>
  </w:font>
  <w:font w:name="Cambria">
    <w:panose1 w:val="02040503050406030204"/>
    <w:charset w:val="00"/>
    <w:family w:val="roman"/>
    <w:pitch w:val="variable"/>
    <w:sig w:usb0="E00006FF" w:usb1="420024FF" w:usb2="02000000" w:usb3="00000000" w:csb0="0000019F" w:csb1="00000000"/>
    <w:embedRegular r:id="rId6" w:fontKey="{C4BB6992-8369-44F6-9237-0ADF393883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A96B5" w14:textId="77777777" w:rsidR="000F4382" w:rsidRDefault="00000000">
    <w:r>
      <w:rPr>
        <w:noProof/>
      </w:rPr>
      <w:drawing>
        <wp:anchor distT="0" distB="0" distL="0" distR="0" simplePos="0" relativeHeight="251659264" behindDoc="0" locked="0" layoutInCell="1" hidden="0" allowOverlap="1" wp14:anchorId="1A07C4E4" wp14:editId="37192B2E">
          <wp:simplePos x="0" y="0"/>
          <wp:positionH relativeFrom="column">
            <wp:posOffset>-1916387</wp:posOffset>
          </wp:positionH>
          <wp:positionV relativeFrom="paragraph">
            <wp:posOffset>304800</wp:posOffset>
          </wp:positionV>
          <wp:extent cx="8620125" cy="447675"/>
          <wp:effectExtent l="0" t="0" r="0" b="0"/>
          <wp:wrapSquare wrapText="bothSides" distT="0" distB="0" distL="0" distR="0"/>
          <wp:docPr id="5888970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83A61" w14:textId="77777777" w:rsidR="00BA7B44" w:rsidRDefault="00BA7B44">
      <w:pPr>
        <w:spacing w:line="240" w:lineRule="auto"/>
      </w:pPr>
      <w:r>
        <w:separator/>
      </w:r>
    </w:p>
  </w:footnote>
  <w:footnote w:type="continuationSeparator" w:id="0">
    <w:p w14:paraId="3F3C9867" w14:textId="77777777" w:rsidR="00BA7B44" w:rsidRDefault="00BA7B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E2F20" w14:textId="7426DBD7" w:rsidR="00A04E85" w:rsidRDefault="00A04E85">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5E885957" wp14:editId="11CCBD32">
          <wp:simplePos x="0" y="0"/>
          <wp:positionH relativeFrom="page">
            <wp:align>right</wp:align>
          </wp:positionH>
          <wp:positionV relativeFrom="paragraph">
            <wp:posOffset>-339725</wp:posOffset>
          </wp:positionV>
          <wp:extent cx="7711147" cy="1037167"/>
          <wp:effectExtent l="0" t="0" r="4445" b="0"/>
          <wp:wrapSquare wrapText="bothSides" distT="0" distB="0" distL="0" distR="0"/>
          <wp:docPr id="588897094"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p w14:paraId="1AFD97FA" w14:textId="77777777" w:rsidR="00A04E85" w:rsidRDefault="00A04E85">
    <w:pPr>
      <w:pBdr>
        <w:top w:val="nil"/>
        <w:left w:val="nil"/>
        <w:bottom w:val="nil"/>
        <w:right w:val="nil"/>
        <w:between w:val="nil"/>
      </w:pBdr>
      <w:tabs>
        <w:tab w:val="center" w:pos="4252"/>
        <w:tab w:val="right" w:pos="8504"/>
      </w:tabs>
      <w:spacing w:line="240" w:lineRule="auto"/>
      <w:rPr>
        <w:color w:val="000000"/>
      </w:rPr>
    </w:pPr>
  </w:p>
  <w:p w14:paraId="7336B7EA" w14:textId="3D3D4FB0" w:rsidR="000F4382" w:rsidRDefault="000F4382">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382"/>
    <w:rsid w:val="000F4382"/>
    <w:rsid w:val="00A04E85"/>
    <w:rsid w:val="00AA5BAD"/>
    <w:rsid w:val="00BA7B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AD5D1"/>
  <w15:docId w15:val="{DDB87A1D-BB9C-4351-9021-228A2CE3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 w:type="character" w:styleId="Hipervnculovisitado">
    <w:name w:val="FollowedHyperlink"/>
    <w:basedOn w:val="Fuentedeprrafopredeter"/>
    <w:uiPriority w:val="99"/>
    <w:semiHidden/>
    <w:unhideWhenUsed/>
    <w:rsid w:val="00F600F3"/>
    <w:rPr>
      <w:color w:val="800080" w:themeColor="followedHyperlink"/>
      <w:u w:val="single"/>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search.fotocasa.es/" TargetMode="External"/><Relationship Id="rId13" Type="http://schemas.openxmlformats.org/officeDocument/2006/relationships/hyperlink" Target="http://prensa.fotocasa.es" TargetMode="External"/><Relationship Id="rId3" Type="http://schemas.openxmlformats.org/officeDocument/2006/relationships/settings" Target="settings.xml"/><Relationship Id="rId7" Type="http://schemas.openxmlformats.org/officeDocument/2006/relationships/hyperlink" Target="https://www.fotocasa.es" TargetMode="External"/><Relationship Id="rId12" Type="http://schemas.openxmlformats.org/officeDocument/2006/relationships/hyperlink" Target="http://comunicacion@fotocas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otocasa.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esearch.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c9T4xylyfhh6uRCv1HF/ZDHNw==">CgMxLjA4AHIhMW9BVUl1dnVJS1hvYXQ2MDZ6d3lISWwwS3ZlUDdibElj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1080</Words>
  <Characters>5943</Characters>
  <Application>Microsoft Office Word</Application>
  <DocSecurity>0</DocSecurity>
  <Lines>49</Lines>
  <Paragraphs>14</Paragraphs>
  <ScaleCrop>false</ScaleCrop>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2024-02-22T08:44:00Z</dcterms:created>
  <dcterms:modified xsi:type="dcterms:W3CDTF">2026-02-20T08:31:00Z</dcterms:modified>
</cp:coreProperties>
</file>