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1A1E00" w14:textId="77777777" w:rsidR="0050643E" w:rsidRDefault="00000000">
      <w:r>
        <w:rPr>
          <w:noProof/>
        </w:rPr>
        <w:drawing>
          <wp:anchor distT="0" distB="0" distL="114300" distR="114300" simplePos="0" relativeHeight="251658240" behindDoc="0" locked="0" layoutInCell="1" hidden="0" allowOverlap="1" wp14:anchorId="051EDAE1" wp14:editId="0BBF9F9E">
            <wp:simplePos x="0" y="0"/>
            <wp:positionH relativeFrom="column">
              <wp:posOffset>-1080118</wp:posOffset>
            </wp:positionH>
            <wp:positionV relativeFrom="paragraph">
              <wp:posOffset>-654667</wp:posOffset>
            </wp:positionV>
            <wp:extent cx="7581265" cy="1019175"/>
            <wp:effectExtent l="0" t="0" r="0" b="0"/>
            <wp:wrapNone/>
            <wp:docPr id="20668166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78FD8BFC" w14:textId="77777777" w:rsidR="0050643E" w:rsidRDefault="0050643E">
      <w:pPr>
        <w:jc w:val="right"/>
        <w:rPr>
          <w:rFonts w:ascii="National" w:eastAsia="National" w:hAnsi="National" w:cs="National"/>
          <w:color w:val="303AB2"/>
          <w:sz w:val="36"/>
          <w:szCs w:val="36"/>
        </w:rPr>
      </w:pPr>
    </w:p>
    <w:p w14:paraId="31F04646" w14:textId="77777777" w:rsidR="0050643E" w:rsidRDefault="0050643E">
      <w:pPr>
        <w:rPr>
          <w:rFonts w:ascii="National" w:eastAsia="National" w:hAnsi="National" w:cs="National"/>
          <w:color w:val="303AB2"/>
          <w:sz w:val="18"/>
          <w:szCs w:val="18"/>
        </w:rPr>
      </w:pPr>
    </w:p>
    <w:p w14:paraId="38F3E63A" w14:textId="77777777" w:rsidR="0050643E" w:rsidRDefault="00000000">
      <w:pPr>
        <w:jc w:val="center"/>
        <w:rPr>
          <w:rFonts w:ascii="National" w:eastAsia="National" w:hAnsi="National" w:cs="National"/>
          <w:b/>
          <w:bCs/>
          <w:color w:val="1DBDC5"/>
          <w:sz w:val="34"/>
          <w:szCs w:val="34"/>
        </w:rPr>
      </w:pPr>
      <w:r>
        <w:rPr>
          <w:rFonts w:ascii="National" w:eastAsia="National" w:hAnsi="National" w:cs="National"/>
          <w:b/>
          <w:bCs/>
          <w:color w:val="1DBDC5"/>
          <w:sz w:val="34"/>
          <w:szCs w:val="34"/>
        </w:rPr>
        <w:t>INFORME “LA VIVIENDA EN ALQUILER EN ESPAÑA EN 2025”</w:t>
      </w:r>
    </w:p>
    <w:p w14:paraId="7FD416A8" w14:textId="77777777" w:rsidR="0050643E" w:rsidRDefault="00000000">
      <w:pPr>
        <w:jc w:val="center"/>
        <w:rPr>
          <w:rFonts w:ascii="National" w:eastAsia="National" w:hAnsi="National" w:cs="National"/>
          <w:b/>
          <w:bCs/>
          <w:color w:val="303AB2"/>
          <w:sz w:val="46"/>
          <w:szCs w:val="46"/>
        </w:rPr>
      </w:pPr>
      <w:r>
        <w:rPr>
          <w:rFonts w:ascii="National" w:eastAsia="National" w:hAnsi="National" w:cs="National"/>
          <w:b/>
          <w:bCs/>
          <w:color w:val="303AB2"/>
          <w:sz w:val="46"/>
          <w:szCs w:val="46"/>
        </w:rPr>
        <w:t>El precio del alquiler sube un 2,9% en Barcelona mientras que desciende un -0,6% en Madrid a cierre de 2025</w:t>
      </w:r>
    </w:p>
    <w:p w14:paraId="06763833" w14:textId="77777777" w:rsidR="0050643E" w:rsidRDefault="0050643E">
      <w:pPr>
        <w:jc w:val="center"/>
        <w:rPr>
          <w:rFonts w:ascii="Open Sans" w:eastAsia="Open Sans" w:hAnsi="Open Sans" w:cs="Open Sans"/>
          <w:color w:val="303AB2"/>
        </w:rPr>
      </w:pPr>
    </w:p>
    <w:p w14:paraId="0056B819" w14:textId="77777777" w:rsidR="0050643E" w:rsidRDefault="00000000">
      <w:pPr>
        <w:numPr>
          <w:ilvl w:val="0"/>
          <w:numId w:val="1"/>
        </w:numPr>
        <w:pBdr>
          <w:top w:val="nil"/>
          <w:left w:val="nil"/>
          <w:bottom w:val="nil"/>
          <w:right w:val="nil"/>
          <w:between w:val="nil"/>
        </w:pBdr>
        <w:spacing w:line="276" w:lineRule="auto"/>
        <w:ind w:left="720"/>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Ambas localidades se sitúan entre las más caras de España, con un precio medio del alquiler de 23,30 €/m² en la ciudad condal y de 21,69 €/m² en la capital española</w:t>
      </w:r>
    </w:p>
    <w:p w14:paraId="19E15A12" w14:textId="77777777" w:rsidR="0050643E" w:rsidRDefault="00000000">
      <w:pPr>
        <w:numPr>
          <w:ilvl w:val="0"/>
          <w:numId w:val="1"/>
        </w:numPr>
        <w:pBdr>
          <w:top w:val="nil"/>
          <w:left w:val="nil"/>
          <w:bottom w:val="nil"/>
          <w:right w:val="nil"/>
          <w:between w:val="nil"/>
        </w:pBdr>
        <w:spacing w:line="276" w:lineRule="auto"/>
        <w:ind w:left="720"/>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El barrio de Salamanca en Madrid y el distrito del Eixample en Barcelona son las zonas más caras de ambas urbes, con rentas por encima de los 24 euros por metro cuadrado al mes</w:t>
      </w:r>
    </w:p>
    <w:p w14:paraId="754926D9" w14:textId="77777777" w:rsidR="0050643E" w:rsidRDefault="0050643E">
      <w:pPr>
        <w:pBdr>
          <w:top w:val="nil"/>
          <w:left w:val="nil"/>
          <w:bottom w:val="nil"/>
          <w:right w:val="nil"/>
          <w:between w:val="nil"/>
        </w:pBdr>
        <w:spacing w:line="276" w:lineRule="auto"/>
        <w:ind w:left="720"/>
        <w:jc w:val="both"/>
        <w:rPr>
          <w:rFonts w:ascii="Open Sans Light" w:eastAsia="Open Sans Light" w:hAnsi="Open Sans Light" w:cs="Open Sans Light"/>
          <w:b/>
          <w:bCs/>
          <w:color w:val="303AB2"/>
        </w:rPr>
      </w:pPr>
    </w:p>
    <w:p w14:paraId="126457E4" w14:textId="77777777" w:rsidR="0050643E" w:rsidRDefault="00000000">
      <w:pPr>
        <w:pBdr>
          <w:top w:val="nil"/>
          <w:left w:val="nil"/>
          <w:bottom w:val="nil"/>
          <w:right w:val="nil"/>
          <w:between w:val="nil"/>
        </w:pBdr>
        <w:tabs>
          <w:tab w:val="left" w:pos="6589"/>
        </w:tabs>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Madrid, 5 de febrero de 2026</w:t>
      </w:r>
      <w:r>
        <w:rPr>
          <w:rFonts w:ascii="Open Sans Light" w:eastAsia="Open Sans Light" w:hAnsi="Open Sans Light" w:cs="Open Sans Light"/>
          <w:b/>
          <w:bCs/>
          <w:color w:val="303AB2"/>
        </w:rPr>
        <w:tab/>
      </w:r>
    </w:p>
    <w:p w14:paraId="2E8C71AA" w14:textId="77777777" w:rsidR="0050643E" w:rsidRDefault="0050643E">
      <w:pPr>
        <w:pBdr>
          <w:top w:val="nil"/>
          <w:left w:val="nil"/>
          <w:bottom w:val="nil"/>
          <w:right w:val="nil"/>
          <w:between w:val="nil"/>
        </w:pBdr>
        <w:tabs>
          <w:tab w:val="left" w:pos="6589"/>
        </w:tabs>
        <w:spacing w:line="276" w:lineRule="auto"/>
        <w:jc w:val="both"/>
        <w:rPr>
          <w:rFonts w:ascii="Open Sans Light" w:eastAsia="Open Sans Light" w:hAnsi="Open Sans Light" w:cs="Open Sans Light"/>
          <w:b/>
          <w:bCs/>
          <w:color w:val="303AB2"/>
        </w:rPr>
      </w:pPr>
    </w:p>
    <w:p w14:paraId="5CF14433" w14:textId="363DA86D" w:rsidR="0050643E" w:rsidRDefault="00000000">
      <w:pPr>
        <w:pBdr>
          <w:top w:val="nil"/>
          <w:left w:val="nil"/>
          <w:bottom w:val="nil"/>
          <w:right w:val="nil"/>
          <w:between w:val="nil"/>
        </w:pBdr>
        <w:spacing w:line="276" w:lineRule="auto"/>
        <w:jc w:val="both"/>
        <w:rPr>
          <w:rFonts w:ascii="Open Sans" w:eastAsia="Open Sans" w:hAnsi="Open Sans" w:cs="Open Sans"/>
          <w:b/>
          <w:bCs/>
        </w:rPr>
      </w:pPr>
      <w:r>
        <w:rPr>
          <w:rFonts w:ascii="Open Sans" w:eastAsia="Open Sans" w:hAnsi="Open Sans" w:cs="Open Sans"/>
        </w:rPr>
        <w:t xml:space="preserve">El mercado del alquiler en las dos principales ciudades de España presenta comportamientos diferenciados a cierre de 2025, tanto en niveles de precios como en su evolución interanual. Según los datos disponibles, Barcelona capital registra un precio medio del alquiler de 23,30 euros por metro cuadrado al mes, mientras que Madrid capital se sitúa en 21,69 euros por metro cuadrado al mes. En términos de variación interanual, Barcelona muestra un incremento del 2,9% en el precio del alquiler respecto al cierre de 2024, mientras que Madrid registra una variación negativa del -0,6% en el mismo periodo. De este modo, a cierre de 2025, Barcelona no solo mantiene precios más elevados que Madrid, sino que también presenta una evolución anual positiva frente al ligero ajuste registrado en la capital. </w:t>
      </w:r>
      <w:r>
        <w:rPr>
          <w:rFonts w:ascii="Open Sans" w:eastAsia="Open Sans" w:hAnsi="Open Sans" w:cs="Open Sans"/>
          <w:b/>
          <w:bCs/>
        </w:rPr>
        <w:t>Estas son algunas de las conclusiones que se extraen de los datos del</w:t>
      </w:r>
      <w:r w:rsidR="00ED14B0">
        <w:rPr>
          <w:rFonts w:ascii="Open Sans" w:eastAsia="Open Sans" w:hAnsi="Open Sans" w:cs="Open Sans"/>
          <w:b/>
          <w:bCs/>
        </w:rPr>
        <w:t xml:space="preserve"> informe “</w:t>
      </w:r>
      <w:hyperlink r:id="rId9" w:history="1">
        <w:r w:rsidR="00ED14B0" w:rsidRPr="00ED14B0">
          <w:rPr>
            <w:rStyle w:val="Hipervnculo"/>
            <w:rFonts w:ascii="Open Sans" w:eastAsia="Open Sans" w:hAnsi="Open Sans" w:cs="Open Sans"/>
            <w:b/>
            <w:bCs/>
            <w:i/>
            <w:iCs/>
          </w:rPr>
          <w:t>L</w:t>
        </w:r>
        <w:r w:rsidRPr="00ED14B0">
          <w:rPr>
            <w:rStyle w:val="Hipervnculo"/>
            <w:rFonts w:ascii="Open Sans" w:eastAsia="Open Sans" w:hAnsi="Open Sans" w:cs="Open Sans"/>
            <w:b/>
            <w:bCs/>
            <w:i/>
            <w:iCs/>
          </w:rPr>
          <w:t>a vivienda en alquiler en España en el año 2025</w:t>
        </w:r>
      </w:hyperlink>
      <w:r>
        <w:rPr>
          <w:rFonts w:ascii="Open Sans" w:eastAsia="Open Sans" w:hAnsi="Open Sans" w:cs="Open Sans"/>
          <w:b/>
          <w:bCs/>
        </w:rPr>
        <w:t>”, elaborado a partir del Índice Inmobiliario </w:t>
      </w:r>
      <w:hyperlink r:id="rId10">
        <w:r w:rsidR="0050643E">
          <w:rPr>
            <w:rFonts w:ascii="Open Sans" w:eastAsia="Open Sans" w:hAnsi="Open Sans" w:cs="Open Sans"/>
            <w:b/>
            <w:bCs/>
            <w:color w:val="0000FF"/>
            <w:u w:val="single"/>
          </w:rPr>
          <w:t>Fotocasa</w:t>
        </w:r>
      </w:hyperlink>
      <w:r>
        <w:rPr>
          <w:rFonts w:ascii="Open Sans" w:eastAsia="Open Sans" w:hAnsi="Open Sans" w:cs="Open Sans"/>
          <w:b/>
          <w:bCs/>
        </w:rPr>
        <w:t>.</w:t>
      </w:r>
    </w:p>
    <w:p w14:paraId="2ED23045" w14:textId="77777777" w:rsidR="0050643E" w:rsidRDefault="0050643E">
      <w:pPr>
        <w:pBdr>
          <w:top w:val="nil"/>
          <w:left w:val="nil"/>
          <w:bottom w:val="nil"/>
          <w:right w:val="nil"/>
          <w:between w:val="nil"/>
        </w:pBdr>
        <w:spacing w:line="276" w:lineRule="auto"/>
        <w:jc w:val="both"/>
        <w:rPr>
          <w:rFonts w:ascii="Open Sans" w:eastAsia="Open Sans" w:hAnsi="Open Sans" w:cs="Open Sans"/>
          <w:b/>
          <w:bCs/>
        </w:rPr>
      </w:pPr>
    </w:p>
    <w:p w14:paraId="50929571" w14:textId="3685D6EF" w:rsidR="0050643E" w:rsidRDefault="00000000">
      <w:pPr>
        <w:pBdr>
          <w:top w:val="nil"/>
          <w:left w:val="nil"/>
          <w:bottom w:val="nil"/>
          <w:right w:val="nil"/>
          <w:between w:val="nil"/>
        </w:pBdr>
        <w:spacing w:line="276" w:lineRule="auto"/>
        <w:jc w:val="both"/>
        <w:rPr>
          <w:rFonts w:ascii="Open Sans" w:eastAsia="Open Sans" w:hAnsi="Open Sans" w:cs="Open Sans"/>
          <w:b/>
          <w:bCs/>
        </w:rPr>
      </w:pPr>
      <w:r>
        <w:rPr>
          <w:rFonts w:ascii="Open Sans" w:eastAsia="Open Sans" w:hAnsi="Open Sans" w:cs="Open Sans"/>
        </w:rPr>
        <w:t xml:space="preserve">“En Madrid empezamos a detectar señales incipientes de desaceleración del alquiler. Es un hito que sugiere que, tras tres años consecutivos de récords históricos, la capital, uno de los mercados más tensionados, ha tocado techo, aunque todavía no significa una corrección generalizada. En cambio, en Barcelona este cambio de ritmo llegó antes y desde finales de 2023 mantiene incrementos </w:t>
      </w:r>
      <w:r>
        <w:rPr>
          <w:rFonts w:ascii="Open Sans" w:eastAsia="Open Sans" w:hAnsi="Open Sans" w:cs="Open Sans"/>
        </w:rPr>
        <w:lastRenderedPageBreak/>
        <w:t xml:space="preserve">más contenidos. En ambos casos hablamos de una fase de estabilización progresiva, no de caídas de precios, ya que el desequilibrio entre oferta y demanda sigue siendo muy elevado. Esta moderación en el alquiler de Madrid, que anticipa un techo de precios en los mercados más tensionados, se irá extendiendo gradualmente al resto de grandes capitales en los próximos meses”, </w:t>
      </w:r>
      <w:r>
        <w:rPr>
          <w:rFonts w:ascii="Open Sans" w:eastAsia="Open Sans" w:hAnsi="Open Sans" w:cs="Open Sans"/>
          <w:b/>
          <w:bCs/>
        </w:rPr>
        <w:t xml:space="preserve">explica María Matos, directora de Estudios y portavoz de </w:t>
      </w:r>
      <w:hyperlink r:id="rId11" w:history="1">
        <w:r w:rsidR="0050643E" w:rsidRPr="00FB3DD3">
          <w:rPr>
            <w:rStyle w:val="Hipervnculo"/>
            <w:rFonts w:ascii="Open Sans" w:eastAsia="Open Sans" w:hAnsi="Open Sans" w:cs="Open Sans"/>
            <w:b/>
            <w:bCs/>
          </w:rPr>
          <w:t>Fotocasa</w:t>
        </w:r>
      </w:hyperlink>
      <w:r>
        <w:rPr>
          <w:rFonts w:ascii="Open Sans" w:eastAsia="Open Sans" w:hAnsi="Open Sans" w:cs="Open Sans"/>
          <w:b/>
          <w:bCs/>
        </w:rPr>
        <w:t>.</w:t>
      </w:r>
    </w:p>
    <w:p w14:paraId="227BE9BE" w14:textId="77777777" w:rsidR="0050643E" w:rsidRDefault="0050643E">
      <w:pPr>
        <w:pBdr>
          <w:top w:val="nil"/>
          <w:left w:val="nil"/>
          <w:bottom w:val="nil"/>
          <w:right w:val="nil"/>
          <w:between w:val="nil"/>
        </w:pBdr>
        <w:spacing w:line="276" w:lineRule="auto"/>
        <w:jc w:val="both"/>
        <w:rPr>
          <w:rFonts w:ascii="Open Sans" w:eastAsia="Open Sans" w:hAnsi="Open Sans" w:cs="Open Sans"/>
        </w:rPr>
      </w:pPr>
    </w:p>
    <w:p w14:paraId="06C2E1C3" w14:textId="77777777" w:rsidR="0050643E" w:rsidRDefault="00000000">
      <w:pPr>
        <w:pBdr>
          <w:top w:val="nil"/>
          <w:left w:val="nil"/>
          <w:bottom w:val="nil"/>
          <w:right w:val="nil"/>
          <w:between w:val="nil"/>
        </w:pBdr>
        <w:spacing w:line="276" w:lineRule="auto"/>
        <w:jc w:val="both"/>
        <w:rPr>
          <w:rFonts w:ascii="National" w:eastAsia="National" w:hAnsi="National" w:cs="National"/>
          <w:b/>
          <w:bCs/>
          <w:color w:val="303AB2"/>
          <w:sz w:val="32"/>
          <w:szCs w:val="32"/>
        </w:rPr>
      </w:pPr>
      <w:r>
        <w:rPr>
          <w:rFonts w:ascii="National" w:eastAsia="National" w:hAnsi="National" w:cs="National"/>
          <w:b/>
          <w:bCs/>
          <w:color w:val="303AB2"/>
          <w:sz w:val="32"/>
          <w:szCs w:val="32"/>
        </w:rPr>
        <w:t>Evolución del precio del alquiler por distritos en Madrid</w:t>
      </w:r>
    </w:p>
    <w:p w14:paraId="7D5BB11B" w14:textId="77777777" w:rsidR="0050643E" w:rsidRDefault="0050643E">
      <w:pPr>
        <w:pBdr>
          <w:top w:val="nil"/>
          <w:left w:val="nil"/>
          <w:bottom w:val="nil"/>
          <w:right w:val="nil"/>
          <w:between w:val="nil"/>
        </w:pBdr>
        <w:spacing w:line="276" w:lineRule="auto"/>
        <w:jc w:val="both"/>
        <w:rPr>
          <w:rFonts w:ascii="Open Sans" w:eastAsia="Open Sans" w:hAnsi="Open Sans" w:cs="Open Sans"/>
        </w:rPr>
      </w:pPr>
    </w:p>
    <w:p w14:paraId="41A64CA6" w14:textId="77777777" w:rsidR="0050643E"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El análisis por distritos en Madrid muestra importantes diferencias internas en los precios del alquiler. </w:t>
      </w:r>
      <w:r>
        <w:rPr>
          <w:rFonts w:ascii="Open Sans" w:eastAsia="Open Sans" w:hAnsi="Open Sans" w:cs="Open Sans"/>
          <w:b/>
          <w:bCs/>
        </w:rPr>
        <w:t>A cierre de 2025, el distrito con el precio más elevado es el Barrio de Salamanca, con 24,02 €/m² al mes</w:t>
      </w:r>
      <w:r>
        <w:rPr>
          <w:rFonts w:ascii="Open Sans" w:eastAsia="Open Sans" w:hAnsi="Open Sans" w:cs="Open Sans"/>
        </w:rPr>
        <w:t>, seguido muy de cerca por Centro (23,96 €/m²) y Chamberí (23,89 €/m²). A continuación, se sitúan Arganzuela (22,60 €/m²), Chamartín (22,30 €/m²) y Tetuán (22,11 €/m²). Por encima de los 21 euros por metro cuadrado también se encuentran Retiro (21,82 €/m²), Hortaleza (20,95 €/m²) y Moncloa - Aravaca (20,92 €/m²).</w:t>
      </w:r>
    </w:p>
    <w:p w14:paraId="23D74F41" w14:textId="77777777" w:rsidR="0050643E" w:rsidRDefault="0050643E">
      <w:pPr>
        <w:pBdr>
          <w:top w:val="nil"/>
          <w:left w:val="nil"/>
          <w:bottom w:val="nil"/>
          <w:right w:val="nil"/>
          <w:between w:val="nil"/>
        </w:pBdr>
        <w:spacing w:line="276" w:lineRule="auto"/>
        <w:jc w:val="both"/>
        <w:rPr>
          <w:rFonts w:ascii="Open Sans" w:eastAsia="Open Sans" w:hAnsi="Open Sans" w:cs="Open Sans"/>
        </w:rPr>
      </w:pPr>
    </w:p>
    <w:p w14:paraId="51CD72FC" w14:textId="77777777" w:rsidR="0050643E" w:rsidRDefault="00000000">
      <w:pPr>
        <w:pBdr>
          <w:top w:val="nil"/>
          <w:left w:val="nil"/>
          <w:bottom w:val="nil"/>
          <w:right w:val="nil"/>
          <w:between w:val="nil"/>
        </w:pBdr>
        <w:spacing w:line="276" w:lineRule="auto"/>
        <w:jc w:val="both"/>
        <w:rPr>
          <w:rFonts w:ascii="Open Sans" w:eastAsia="Open Sans" w:hAnsi="Open Sans" w:cs="Open Sans"/>
        </w:rPr>
      </w:pPr>
      <w:r>
        <w:rPr>
          <w:noProof/>
        </w:rPr>
        <w:drawing>
          <wp:inline distT="0" distB="0" distL="0" distR="0" wp14:anchorId="515B1483" wp14:editId="2E2ED48F">
            <wp:extent cx="5760720" cy="4213860"/>
            <wp:effectExtent l="0" t="0" r="0" b="0"/>
            <wp:docPr id="2066816618" name="image4.png" descr="Imagen que contiene Map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4.png" descr="Imagen que contiene Mapa&#10;&#10;El contenido generado por IA puede ser incorrecto."/>
                    <pic:cNvPicPr preferRelativeResize="0"/>
                  </pic:nvPicPr>
                  <pic:blipFill>
                    <a:blip r:embed="rId12"/>
                    <a:srcRect/>
                    <a:stretch>
                      <a:fillRect/>
                    </a:stretch>
                  </pic:blipFill>
                  <pic:spPr>
                    <a:xfrm>
                      <a:off x="0" y="0"/>
                      <a:ext cx="5760720" cy="4213860"/>
                    </a:xfrm>
                    <a:prstGeom prst="rect">
                      <a:avLst/>
                    </a:prstGeom>
                    <a:ln/>
                  </pic:spPr>
                </pic:pic>
              </a:graphicData>
            </a:graphic>
          </wp:inline>
        </w:drawing>
      </w:r>
    </w:p>
    <w:p w14:paraId="51C0FFAB" w14:textId="77777777" w:rsidR="0050643E" w:rsidRDefault="0050643E">
      <w:pPr>
        <w:pBdr>
          <w:top w:val="nil"/>
          <w:left w:val="nil"/>
          <w:bottom w:val="nil"/>
          <w:right w:val="nil"/>
          <w:between w:val="nil"/>
        </w:pBdr>
        <w:spacing w:line="276" w:lineRule="auto"/>
        <w:jc w:val="both"/>
        <w:rPr>
          <w:rFonts w:ascii="Open Sans" w:eastAsia="Open Sans" w:hAnsi="Open Sans" w:cs="Open Sans"/>
        </w:rPr>
      </w:pPr>
    </w:p>
    <w:p w14:paraId="741D1FF4" w14:textId="77777777" w:rsidR="0050643E" w:rsidRDefault="0050643E">
      <w:pPr>
        <w:pBdr>
          <w:top w:val="nil"/>
          <w:left w:val="nil"/>
          <w:bottom w:val="nil"/>
          <w:right w:val="nil"/>
          <w:between w:val="nil"/>
        </w:pBdr>
        <w:spacing w:line="276" w:lineRule="auto"/>
        <w:jc w:val="both"/>
        <w:rPr>
          <w:rFonts w:ascii="Open Sans" w:eastAsia="Open Sans" w:hAnsi="Open Sans" w:cs="Open Sans"/>
        </w:rPr>
      </w:pPr>
    </w:p>
    <w:p w14:paraId="44134442" w14:textId="77777777" w:rsidR="0050643E"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b/>
          <w:bCs/>
        </w:rPr>
        <w:lastRenderedPageBreak/>
        <w:t>En el tramo más moderado de precios aparecen Ciudad Lineal (19,89 €/m²), Usera y Carabanchel (ambos con 18,78 €/m²), Latina (18,77 €/m²) y Puente de Vallecas (18,73 €/m²)</w:t>
      </w:r>
      <w:r>
        <w:rPr>
          <w:rFonts w:ascii="Open Sans" w:eastAsia="Open Sans" w:hAnsi="Open Sans" w:cs="Open Sans"/>
        </w:rPr>
        <w:t>. Les siguen Vicálvaro (18,66 €/m²), San Blas (18,32 €/m²), Fuencarral - El Pardo (18,26 €/m²) y Villaverde (17,94 €/m²). Los precios más bajos del alquiler en Madrid a cierre de 2025 se registran en Villa de Vallecas (17,34 €/m²), Barajas (17,16 €/m²) y Moratalaz, que se sitúa como el distrito más económico con 15,87 €/m² al mes.</w:t>
      </w:r>
    </w:p>
    <w:p w14:paraId="06807130" w14:textId="77777777" w:rsidR="0050643E" w:rsidRDefault="0050643E">
      <w:pPr>
        <w:pBdr>
          <w:top w:val="nil"/>
          <w:left w:val="nil"/>
          <w:bottom w:val="nil"/>
          <w:right w:val="nil"/>
          <w:between w:val="nil"/>
        </w:pBdr>
        <w:spacing w:line="276" w:lineRule="auto"/>
        <w:jc w:val="both"/>
        <w:rPr>
          <w:rFonts w:ascii="Open Sans" w:eastAsia="Open Sans" w:hAnsi="Open Sans" w:cs="Open Sans"/>
        </w:rPr>
      </w:pPr>
    </w:p>
    <w:p w14:paraId="08830254" w14:textId="77777777" w:rsidR="0050643E"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noProof/>
        </w:rPr>
        <w:drawing>
          <wp:inline distT="0" distB="0" distL="0" distR="0" wp14:anchorId="559D4C29" wp14:editId="0E7FB569">
            <wp:extent cx="5759450" cy="4326255"/>
            <wp:effectExtent l="0" t="0" r="0" b="0"/>
            <wp:docPr id="2066816617" name="image2.png" descr="Imagen que contiene Gráfic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png" descr="Imagen que contiene Gráfico&#10;&#10;El contenido generado por IA puede ser incorrecto."/>
                    <pic:cNvPicPr preferRelativeResize="0"/>
                  </pic:nvPicPr>
                  <pic:blipFill>
                    <a:blip r:embed="rId13"/>
                    <a:srcRect/>
                    <a:stretch>
                      <a:fillRect/>
                    </a:stretch>
                  </pic:blipFill>
                  <pic:spPr>
                    <a:xfrm>
                      <a:off x="0" y="0"/>
                      <a:ext cx="5759450" cy="4326255"/>
                    </a:xfrm>
                    <a:prstGeom prst="rect">
                      <a:avLst/>
                    </a:prstGeom>
                    <a:ln/>
                  </pic:spPr>
                </pic:pic>
              </a:graphicData>
            </a:graphic>
          </wp:inline>
        </w:drawing>
      </w:r>
    </w:p>
    <w:p w14:paraId="24FCF35C" w14:textId="77777777" w:rsidR="0050643E" w:rsidRDefault="0050643E">
      <w:pPr>
        <w:pBdr>
          <w:top w:val="nil"/>
          <w:left w:val="nil"/>
          <w:bottom w:val="nil"/>
          <w:right w:val="nil"/>
          <w:between w:val="nil"/>
        </w:pBdr>
        <w:spacing w:line="276" w:lineRule="auto"/>
        <w:jc w:val="both"/>
        <w:rPr>
          <w:rFonts w:ascii="Open Sans" w:eastAsia="Open Sans" w:hAnsi="Open Sans" w:cs="Open Sans"/>
        </w:rPr>
      </w:pPr>
    </w:p>
    <w:p w14:paraId="7BE16193" w14:textId="77777777" w:rsidR="0050643E"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b/>
          <w:bCs/>
        </w:rPr>
        <w:t>En cuanto a la variación interanual de precios, Vicálvaro lidera las subidas en Madrid con un incremento del 9,2%,</w:t>
      </w:r>
      <w:r>
        <w:rPr>
          <w:rFonts w:ascii="Open Sans" w:eastAsia="Open Sans" w:hAnsi="Open Sans" w:cs="Open Sans"/>
        </w:rPr>
        <w:t xml:space="preserve"> seguido de Hortaleza (8,0%) y San Blas (5,9%). También registran aumentos Villa de Vallecas (2,5%), Centro (2,2%), Barrio de Salamanca (1,3%), Arganzuela (1,2%), Retiro y Chamberí (ambos con 0,7%). Por el contrario, algunos distritos presentan descensos interanuales, destacando Barajas con una caída del -13,7%, Villaverde (-8,4%), Fuencarral - El Pardo (-5,4%), Puente de Vallecas (-5,2%) y Latina (-5,0%).</w:t>
      </w:r>
    </w:p>
    <w:p w14:paraId="7B1DAAB4" w14:textId="77777777" w:rsidR="00FB3DD3" w:rsidRDefault="00FB3DD3">
      <w:pPr>
        <w:pBdr>
          <w:top w:val="nil"/>
          <w:left w:val="nil"/>
          <w:bottom w:val="nil"/>
          <w:right w:val="nil"/>
          <w:between w:val="nil"/>
        </w:pBdr>
        <w:spacing w:line="276" w:lineRule="auto"/>
        <w:jc w:val="both"/>
        <w:rPr>
          <w:rFonts w:ascii="Open Sans" w:eastAsia="Open Sans" w:hAnsi="Open Sans" w:cs="Open Sans"/>
        </w:rPr>
      </w:pPr>
    </w:p>
    <w:p w14:paraId="1069328D" w14:textId="77777777" w:rsidR="0050643E" w:rsidRDefault="0050643E">
      <w:pPr>
        <w:pBdr>
          <w:top w:val="nil"/>
          <w:left w:val="nil"/>
          <w:bottom w:val="nil"/>
          <w:right w:val="nil"/>
          <w:between w:val="nil"/>
        </w:pBdr>
        <w:spacing w:line="276" w:lineRule="auto"/>
        <w:jc w:val="both"/>
        <w:rPr>
          <w:rFonts w:ascii="Open Sans" w:eastAsia="Open Sans" w:hAnsi="Open Sans" w:cs="Open Sans"/>
        </w:rPr>
      </w:pPr>
    </w:p>
    <w:p w14:paraId="2EC4FF4D" w14:textId="77777777" w:rsidR="0050643E" w:rsidRDefault="00000000">
      <w:pPr>
        <w:pBdr>
          <w:top w:val="nil"/>
          <w:left w:val="nil"/>
          <w:bottom w:val="nil"/>
          <w:right w:val="nil"/>
          <w:between w:val="nil"/>
        </w:pBdr>
        <w:spacing w:line="276" w:lineRule="auto"/>
        <w:jc w:val="both"/>
        <w:rPr>
          <w:rFonts w:ascii="National" w:eastAsia="National" w:hAnsi="National" w:cs="National"/>
          <w:b/>
          <w:bCs/>
          <w:color w:val="303AB2"/>
          <w:sz w:val="32"/>
          <w:szCs w:val="32"/>
        </w:rPr>
      </w:pPr>
      <w:r>
        <w:rPr>
          <w:rFonts w:ascii="National" w:eastAsia="National" w:hAnsi="National" w:cs="National"/>
          <w:b/>
          <w:bCs/>
          <w:color w:val="303AB2"/>
          <w:sz w:val="32"/>
          <w:szCs w:val="32"/>
        </w:rPr>
        <w:lastRenderedPageBreak/>
        <w:t>Evolución del precio del alquiler por distritos en Barcelona</w:t>
      </w:r>
    </w:p>
    <w:p w14:paraId="5682E9AA" w14:textId="77777777" w:rsidR="0050643E" w:rsidRDefault="0050643E">
      <w:pPr>
        <w:pBdr>
          <w:top w:val="nil"/>
          <w:left w:val="nil"/>
          <w:bottom w:val="nil"/>
          <w:right w:val="nil"/>
          <w:between w:val="nil"/>
        </w:pBdr>
        <w:spacing w:line="276" w:lineRule="auto"/>
        <w:jc w:val="both"/>
        <w:rPr>
          <w:rFonts w:ascii="Open Sans" w:eastAsia="Open Sans" w:hAnsi="Open Sans" w:cs="Open Sans"/>
        </w:rPr>
      </w:pPr>
    </w:p>
    <w:p w14:paraId="774AFD8A" w14:textId="77777777" w:rsidR="0050643E"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En Barcelona, los distritos con los precios del alquiler más elevados a cierre de 2025 se concentran en el centro y en las áreas más consolidadas de la ciudad. </w:t>
      </w:r>
      <w:r>
        <w:rPr>
          <w:rFonts w:ascii="Open Sans" w:eastAsia="Open Sans" w:hAnsi="Open Sans" w:cs="Open Sans"/>
          <w:b/>
          <w:bCs/>
        </w:rPr>
        <w:t xml:space="preserve">El Eixample encabeza el ranking con un precio medio de 24,04 €/m² al mes, seguido por Sant Martí (23,90 €/m²) y </w:t>
      </w:r>
      <w:proofErr w:type="spellStart"/>
      <w:r>
        <w:rPr>
          <w:rFonts w:ascii="Open Sans" w:eastAsia="Open Sans" w:hAnsi="Open Sans" w:cs="Open Sans"/>
          <w:b/>
          <w:bCs/>
        </w:rPr>
        <w:t>Ciutat</w:t>
      </w:r>
      <w:proofErr w:type="spellEnd"/>
      <w:r>
        <w:rPr>
          <w:rFonts w:ascii="Open Sans" w:eastAsia="Open Sans" w:hAnsi="Open Sans" w:cs="Open Sans"/>
          <w:b/>
          <w:bCs/>
        </w:rPr>
        <w:t xml:space="preserve"> Vella (23,78 €/m²)</w:t>
      </w:r>
      <w:r>
        <w:rPr>
          <w:rFonts w:ascii="Open Sans" w:eastAsia="Open Sans" w:hAnsi="Open Sans" w:cs="Open Sans"/>
        </w:rPr>
        <w:t>.</w:t>
      </w:r>
    </w:p>
    <w:p w14:paraId="12ED8EB9" w14:textId="77777777" w:rsidR="0050643E" w:rsidRDefault="0050643E">
      <w:pPr>
        <w:pBdr>
          <w:top w:val="nil"/>
          <w:left w:val="nil"/>
          <w:bottom w:val="nil"/>
          <w:right w:val="nil"/>
          <w:between w:val="nil"/>
        </w:pBdr>
        <w:spacing w:line="276" w:lineRule="auto"/>
        <w:jc w:val="both"/>
        <w:rPr>
          <w:rFonts w:ascii="Open Sans" w:eastAsia="Open Sans" w:hAnsi="Open Sans" w:cs="Open Sans"/>
        </w:rPr>
      </w:pPr>
    </w:p>
    <w:p w14:paraId="3E88FEC9" w14:textId="77777777" w:rsidR="0050643E" w:rsidRDefault="00000000">
      <w:pPr>
        <w:pBdr>
          <w:top w:val="nil"/>
          <w:left w:val="nil"/>
          <w:bottom w:val="nil"/>
          <w:right w:val="nil"/>
          <w:between w:val="nil"/>
        </w:pBdr>
        <w:spacing w:line="276" w:lineRule="auto"/>
        <w:jc w:val="both"/>
        <w:rPr>
          <w:rFonts w:ascii="Open Sans" w:eastAsia="Open Sans" w:hAnsi="Open Sans" w:cs="Open Sans"/>
        </w:rPr>
      </w:pPr>
      <w:r>
        <w:rPr>
          <w:noProof/>
        </w:rPr>
        <w:drawing>
          <wp:inline distT="0" distB="0" distL="0" distR="0" wp14:anchorId="545F41EE" wp14:editId="6571178F">
            <wp:extent cx="5760720" cy="2926715"/>
            <wp:effectExtent l="0" t="0" r="0" b="0"/>
            <wp:docPr id="2066816620" name="image3.png" descr="Map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png" descr="Mapa&#10;&#10;El contenido generado por IA puede ser incorrecto."/>
                    <pic:cNvPicPr preferRelativeResize="0"/>
                  </pic:nvPicPr>
                  <pic:blipFill>
                    <a:blip r:embed="rId14"/>
                    <a:srcRect/>
                    <a:stretch>
                      <a:fillRect/>
                    </a:stretch>
                  </pic:blipFill>
                  <pic:spPr>
                    <a:xfrm>
                      <a:off x="0" y="0"/>
                      <a:ext cx="5760720" cy="2926715"/>
                    </a:xfrm>
                    <a:prstGeom prst="rect">
                      <a:avLst/>
                    </a:prstGeom>
                    <a:ln/>
                  </pic:spPr>
                </pic:pic>
              </a:graphicData>
            </a:graphic>
          </wp:inline>
        </w:drawing>
      </w:r>
    </w:p>
    <w:p w14:paraId="28A34BF9" w14:textId="77777777" w:rsidR="0050643E" w:rsidRDefault="0050643E">
      <w:pPr>
        <w:pBdr>
          <w:top w:val="nil"/>
          <w:left w:val="nil"/>
          <w:bottom w:val="nil"/>
          <w:right w:val="nil"/>
          <w:between w:val="nil"/>
        </w:pBdr>
        <w:spacing w:line="276" w:lineRule="auto"/>
        <w:jc w:val="both"/>
        <w:rPr>
          <w:rFonts w:ascii="Open Sans" w:eastAsia="Open Sans" w:hAnsi="Open Sans" w:cs="Open Sans"/>
        </w:rPr>
      </w:pPr>
    </w:p>
    <w:p w14:paraId="1BA658F7" w14:textId="77777777" w:rsidR="0050643E"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b/>
          <w:bCs/>
        </w:rPr>
        <w:t>A continuación, se sitúan Gràcia (23,54 €/m²), Sarrià - Sant Gervasi (22,47 €/m²) y Sants - Montjuïc (22,26 €/m²)</w:t>
      </w:r>
      <w:r>
        <w:rPr>
          <w:rFonts w:ascii="Open Sans" w:eastAsia="Open Sans" w:hAnsi="Open Sans" w:cs="Open Sans"/>
        </w:rPr>
        <w:t>. Por debajo de los 22 euros se encuentran Sant Andreu (21,34 €/m²) y Les Corts (21,16 €/m²). Los distritos con los precios más bajos del alquiler en Barcelona a cierre de 2025 son Horta - Guinardó (20,93 €/m²) y Nou Barris, que registra el menor precio con 20,52 €/m² al mes.</w:t>
      </w:r>
    </w:p>
    <w:p w14:paraId="57AFB679" w14:textId="77777777" w:rsidR="0050643E" w:rsidRDefault="0050643E">
      <w:pPr>
        <w:pBdr>
          <w:top w:val="nil"/>
          <w:left w:val="nil"/>
          <w:bottom w:val="nil"/>
          <w:right w:val="nil"/>
          <w:between w:val="nil"/>
        </w:pBdr>
        <w:spacing w:line="276" w:lineRule="auto"/>
        <w:jc w:val="both"/>
        <w:rPr>
          <w:rFonts w:ascii="Open Sans" w:eastAsia="Open Sans" w:hAnsi="Open Sans" w:cs="Open Sans"/>
        </w:rPr>
      </w:pPr>
    </w:p>
    <w:p w14:paraId="0AF82962" w14:textId="77777777" w:rsidR="0050643E"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b/>
          <w:bCs/>
        </w:rPr>
        <w:t>En términos de variación interanual, el Eixample también lidera las subidas de precios en Barcelona con un incremento del 6,3%</w:t>
      </w:r>
      <w:r>
        <w:rPr>
          <w:rFonts w:ascii="Open Sans" w:eastAsia="Open Sans" w:hAnsi="Open Sans" w:cs="Open Sans"/>
        </w:rPr>
        <w:t>,</w:t>
      </w:r>
      <w:r>
        <w:rPr>
          <w:rFonts w:ascii="Open Sans" w:eastAsia="Open Sans" w:hAnsi="Open Sans" w:cs="Open Sans"/>
          <w:b/>
          <w:bCs/>
        </w:rPr>
        <w:t xml:space="preserve"> </w:t>
      </w:r>
      <w:r>
        <w:rPr>
          <w:rFonts w:ascii="Open Sans" w:eastAsia="Open Sans" w:hAnsi="Open Sans" w:cs="Open Sans"/>
        </w:rPr>
        <w:t xml:space="preserve">seguido de Sant Andreu (4,5%) y </w:t>
      </w:r>
      <w:proofErr w:type="spellStart"/>
      <w:r>
        <w:rPr>
          <w:rFonts w:ascii="Open Sans" w:eastAsia="Open Sans" w:hAnsi="Open Sans" w:cs="Open Sans"/>
        </w:rPr>
        <w:t>Ciutat</w:t>
      </w:r>
      <w:proofErr w:type="spellEnd"/>
      <w:r>
        <w:rPr>
          <w:rFonts w:ascii="Open Sans" w:eastAsia="Open Sans" w:hAnsi="Open Sans" w:cs="Open Sans"/>
        </w:rPr>
        <w:t xml:space="preserve"> Vella (4,2%). También presentan aumentos Nou Barris (2,8%), Sant Martí (2,0%) y Sarrià - Sant Gervasi (1,8%). Por el contrario, algunos distritos registran descensos interanuales, como Gràcia (-0,1%), Sants - Montjuïc (-1,3%), Les Corts (-2,7%) y Horta - Guinardó, que anota la mayor caída con un -3,4% a cierre de 2025.</w:t>
      </w:r>
    </w:p>
    <w:p w14:paraId="6D585DE1" w14:textId="77777777" w:rsidR="0050643E" w:rsidRDefault="0050643E">
      <w:pPr>
        <w:pBdr>
          <w:top w:val="nil"/>
          <w:left w:val="nil"/>
          <w:bottom w:val="nil"/>
          <w:right w:val="nil"/>
          <w:between w:val="nil"/>
        </w:pBdr>
        <w:spacing w:line="276" w:lineRule="auto"/>
        <w:jc w:val="both"/>
        <w:rPr>
          <w:rFonts w:ascii="Open Sans" w:eastAsia="Open Sans" w:hAnsi="Open Sans" w:cs="Open Sans"/>
        </w:rPr>
      </w:pPr>
    </w:p>
    <w:p w14:paraId="7216734D" w14:textId="77777777" w:rsidR="0050643E" w:rsidRDefault="00000000">
      <w:pPr>
        <w:pBdr>
          <w:top w:val="nil"/>
          <w:left w:val="nil"/>
          <w:bottom w:val="nil"/>
          <w:right w:val="nil"/>
          <w:between w:val="nil"/>
        </w:pBdr>
        <w:spacing w:line="276" w:lineRule="auto"/>
        <w:jc w:val="both"/>
        <w:rPr>
          <w:rFonts w:ascii="Open Sans" w:eastAsia="Open Sans" w:hAnsi="Open Sans" w:cs="Open Sans"/>
        </w:rPr>
      </w:pPr>
      <w:r>
        <w:rPr>
          <w:noProof/>
        </w:rPr>
        <w:lastRenderedPageBreak/>
        <w:drawing>
          <wp:inline distT="0" distB="0" distL="0" distR="0" wp14:anchorId="3EA1A975" wp14:editId="5AEEC58B">
            <wp:extent cx="5760720" cy="3281045"/>
            <wp:effectExtent l="0" t="0" r="0" b="0"/>
            <wp:docPr id="2066816619" name="image6.png" descr="Map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6.png" descr="Mapa&#10;&#10;El contenido generado por IA puede ser incorrecto."/>
                    <pic:cNvPicPr preferRelativeResize="0"/>
                  </pic:nvPicPr>
                  <pic:blipFill>
                    <a:blip r:embed="rId15"/>
                    <a:srcRect/>
                    <a:stretch>
                      <a:fillRect/>
                    </a:stretch>
                  </pic:blipFill>
                  <pic:spPr>
                    <a:xfrm>
                      <a:off x="0" y="0"/>
                      <a:ext cx="5760720" cy="3281045"/>
                    </a:xfrm>
                    <a:prstGeom prst="rect">
                      <a:avLst/>
                    </a:prstGeom>
                    <a:ln/>
                  </pic:spPr>
                </pic:pic>
              </a:graphicData>
            </a:graphic>
          </wp:inline>
        </w:drawing>
      </w:r>
    </w:p>
    <w:p w14:paraId="1F69333C" w14:textId="77777777" w:rsidR="0050643E" w:rsidRDefault="0050643E">
      <w:pPr>
        <w:pBdr>
          <w:top w:val="nil"/>
          <w:left w:val="nil"/>
          <w:bottom w:val="nil"/>
          <w:right w:val="nil"/>
          <w:between w:val="nil"/>
        </w:pBdr>
        <w:spacing w:line="276" w:lineRule="auto"/>
        <w:jc w:val="both"/>
        <w:rPr>
          <w:rFonts w:ascii="Open Sans" w:eastAsia="Open Sans" w:hAnsi="Open Sans" w:cs="Open Sans"/>
        </w:rPr>
      </w:pPr>
    </w:p>
    <w:p w14:paraId="5048B27F" w14:textId="77777777" w:rsidR="00FB3DD3" w:rsidRDefault="00FB3DD3">
      <w:pPr>
        <w:pBdr>
          <w:top w:val="nil"/>
          <w:left w:val="nil"/>
          <w:bottom w:val="nil"/>
          <w:right w:val="nil"/>
          <w:between w:val="nil"/>
        </w:pBdr>
        <w:spacing w:line="276" w:lineRule="auto"/>
        <w:jc w:val="both"/>
        <w:rPr>
          <w:rFonts w:ascii="Open Sans" w:eastAsia="Open Sans" w:hAnsi="Open Sans" w:cs="Open Sans"/>
        </w:rPr>
      </w:pPr>
    </w:p>
    <w:p w14:paraId="04EF7A91" w14:textId="77777777" w:rsidR="00FB3DD3" w:rsidRDefault="00FB3DD3">
      <w:pPr>
        <w:spacing w:line="276" w:lineRule="auto"/>
        <w:jc w:val="right"/>
        <w:rPr>
          <w:rFonts w:ascii="Open Sans Light" w:eastAsia="Open Sans Light" w:hAnsi="Open Sans Light" w:cs="Open Sans Light"/>
          <w:b/>
          <w:bCs/>
          <w:color w:val="303AB2"/>
        </w:rPr>
      </w:pPr>
    </w:p>
    <w:p w14:paraId="21DF41DE" w14:textId="3F49953F" w:rsidR="0050643E" w:rsidRDefault="00000000">
      <w:pPr>
        <w:spacing w:line="276" w:lineRule="auto"/>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w:t>
      </w:r>
    </w:p>
    <w:p w14:paraId="0CEE968D" w14:textId="77777777" w:rsidR="0050643E"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Fotocasa es uno de los principales portales inmobiliarios de España, con una amplia oferta de viviendas de segunda mano, promociones de obra nueva y alquileres que pertenece a </w:t>
      </w:r>
      <w:r>
        <w:rPr>
          <w:rFonts w:ascii="Open Sans" w:eastAsia="Open Sans" w:hAnsi="Open Sans" w:cs="Open Sans"/>
          <w:b/>
          <w:bCs/>
          <w:sz w:val="22"/>
          <w:szCs w:val="22"/>
        </w:rPr>
        <w:t>Fotocasa Group</w:t>
      </w:r>
      <w:r>
        <w:rPr>
          <w:rFonts w:ascii="Open Sans" w:eastAsia="Open Sans" w:hAnsi="Open Sans" w:cs="Open Sans"/>
          <w:sz w:val="22"/>
          <w:szCs w:val="22"/>
        </w:rPr>
        <w:t xml:space="preserve">. </w:t>
      </w:r>
    </w:p>
    <w:p w14:paraId="38125BD7" w14:textId="77777777" w:rsidR="0050643E"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Mensualmente, elabora el </w:t>
      </w:r>
      <w:hyperlink r:id="rId16">
        <w:r w:rsidR="0050643E">
          <w:rPr>
            <w:rFonts w:ascii="Open Sans" w:eastAsia="Open Sans" w:hAnsi="Open Sans" w:cs="Open Sans"/>
            <w:b/>
            <w:bCs/>
            <w:color w:val="0000FF"/>
            <w:sz w:val="22"/>
            <w:szCs w:val="22"/>
            <w:u w:val="single"/>
          </w:rPr>
          <w:t>Índice inmobiliario Fotocasa</w:t>
        </w:r>
      </w:hyperlink>
      <w:r>
        <w:rPr>
          <w:rFonts w:ascii="Open Sans" w:eastAsia="Open Sans" w:hAnsi="Open Sans" w:cs="Open Sans"/>
          <w:sz w:val="22"/>
          <w:szCs w:val="22"/>
        </w:rPr>
        <w:t>, un informe de referencia que analiza la evolución del precio medio de la vivienda en España, tanto en venta como en alquiler.</w:t>
      </w:r>
    </w:p>
    <w:p w14:paraId="335A1EEC" w14:textId="77777777" w:rsidR="0050643E"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Desde 2017, desarrolla además estudios sociológicos bajo el sello </w:t>
      </w:r>
      <w:hyperlink r:id="rId17">
        <w:r w:rsidR="0050643E">
          <w:rPr>
            <w:rFonts w:ascii="Open Sans" w:eastAsia="Open Sans" w:hAnsi="Open Sans" w:cs="Open Sans"/>
            <w:b/>
            <w:bCs/>
            <w:color w:val="0000FF"/>
            <w:sz w:val="22"/>
            <w:szCs w:val="22"/>
            <w:u w:val="single"/>
          </w:rPr>
          <w:t xml:space="preserve">Fotocasa </w:t>
        </w:r>
        <w:proofErr w:type="spellStart"/>
        <w:r w:rsidR="0050643E">
          <w:rPr>
            <w:rFonts w:ascii="Open Sans" w:eastAsia="Open Sans" w:hAnsi="Open Sans" w:cs="Open Sans"/>
            <w:b/>
            <w:bCs/>
            <w:color w:val="0000FF"/>
            <w:sz w:val="22"/>
            <w:szCs w:val="22"/>
            <w:u w:val="single"/>
          </w:rPr>
          <w:t>Research</w:t>
        </w:r>
        <w:proofErr w:type="spellEnd"/>
      </w:hyperlink>
      <w:r>
        <w:rPr>
          <w:rFonts w:ascii="Open Sans" w:eastAsia="Open Sans" w:hAnsi="Open Sans" w:cs="Open Sans"/>
          <w:sz w:val="22"/>
          <w:szCs w:val="22"/>
        </w:rPr>
        <w:t>, con el objetivo de aportar conocimiento y análisis en profundidad sobre las tendencias del mercado y el comportamiento de los ciudadanos en relación con la vivienda.</w:t>
      </w:r>
    </w:p>
    <w:p w14:paraId="23611914" w14:textId="77777777" w:rsidR="0050643E"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la información y los últimos comunicados están disponibles en su </w:t>
      </w:r>
      <w:hyperlink r:id="rId18">
        <w:r w:rsidR="0050643E">
          <w:rPr>
            <w:rFonts w:ascii="Open Sans" w:eastAsia="Open Sans" w:hAnsi="Open Sans" w:cs="Open Sans"/>
            <w:b/>
            <w:bCs/>
            <w:color w:val="0000FF"/>
            <w:sz w:val="22"/>
            <w:szCs w:val="22"/>
            <w:u w:val="single"/>
          </w:rPr>
          <w:t>Sala de Prensa</w:t>
        </w:r>
      </w:hyperlink>
    </w:p>
    <w:p w14:paraId="5F0BE9D5" w14:textId="77777777" w:rsidR="0050643E" w:rsidRDefault="0050643E">
      <w:pPr>
        <w:spacing w:line="276" w:lineRule="auto"/>
        <w:rPr>
          <w:rFonts w:ascii="Open Sans Light" w:eastAsia="Open Sans Light" w:hAnsi="Open Sans Light" w:cs="Open Sans Light"/>
          <w:b/>
          <w:bCs/>
          <w:color w:val="303AB2"/>
        </w:rPr>
      </w:pPr>
    </w:p>
    <w:p w14:paraId="67167ADA" w14:textId="77777777" w:rsidR="0050643E" w:rsidRDefault="0050643E">
      <w:pPr>
        <w:spacing w:line="276" w:lineRule="auto"/>
        <w:rPr>
          <w:rFonts w:ascii="Open Sans Light" w:eastAsia="Open Sans Light" w:hAnsi="Open Sans Light" w:cs="Open Sans Light"/>
          <w:b/>
          <w:bCs/>
          <w:color w:val="303AB2"/>
        </w:rPr>
      </w:pPr>
    </w:p>
    <w:p w14:paraId="359C111F" w14:textId="77777777" w:rsidR="00FB3DD3" w:rsidRDefault="00FB3DD3">
      <w:pPr>
        <w:spacing w:line="276" w:lineRule="auto"/>
        <w:jc w:val="right"/>
        <w:rPr>
          <w:rFonts w:ascii="Open Sans Light" w:eastAsia="Open Sans Light" w:hAnsi="Open Sans Light" w:cs="Open Sans Light"/>
          <w:b/>
          <w:bCs/>
          <w:color w:val="303AB2"/>
        </w:rPr>
      </w:pPr>
    </w:p>
    <w:p w14:paraId="44945A44" w14:textId="77777777" w:rsidR="00FB3DD3" w:rsidRDefault="00FB3DD3">
      <w:pPr>
        <w:spacing w:line="276" w:lineRule="auto"/>
        <w:jc w:val="right"/>
        <w:rPr>
          <w:rFonts w:ascii="Open Sans Light" w:eastAsia="Open Sans Light" w:hAnsi="Open Sans Light" w:cs="Open Sans Light"/>
          <w:b/>
          <w:bCs/>
          <w:color w:val="303AB2"/>
        </w:rPr>
      </w:pPr>
    </w:p>
    <w:p w14:paraId="60CC8A7B" w14:textId="77777777" w:rsidR="00FB3DD3" w:rsidRDefault="00FB3DD3">
      <w:pPr>
        <w:spacing w:line="276" w:lineRule="auto"/>
        <w:jc w:val="right"/>
        <w:rPr>
          <w:rFonts w:ascii="Open Sans Light" w:eastAsia="Open Sans Light" w:hAnsi="Open Sans Light" w:cs="Open Sans Light"/>
          <w:b/>
          <w:bCs/>
          <w:color w:val="303AB2"/>
        </w:rPr>
      </w:pPr>
    </w:p>
    <w:p w14:paraId="13B69C33" w14:textId="77777777" w:rsidR="00FB3DD3" w:rsidRDefault="00FB3DD3">
      <w:pPr>
        <w:spacing w:line="276" w:lineRule="auto"/>
        <w:jc w:val="right"/>
        <w:rPr>
          <w:rFonts w:ascii="Open Sans Light" w:eastAsia="Open Sans Light" w:hAnsi="Open Sans Light" w:cs="Open Sans Light"/>
          <w:b/>
          <w:bCs/>
          <w:color w:val="303AB2"/>
        </w:rPr>
      </w:pPr>
    </w:p>
    <w:p w14:paraId="6473DB4E" w14:textId="0FF498F1" w:rsidR="0050643E" w:rsidRDefault="00000000">
      <w:pPr>
        <w:spacing w:line="276" w:lineRule="auto"/>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lastRenderedPageBreak/>
        <w:t>Sobre Fotocasa Group</w:t>
      </w:r>
    </w:p>
    <w:p w14:paraId="4BB11E92" w14:textId="77777777" w:rsidR="0050643E"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b/>
          <w:bCs/>
          <w:sz w:val="22"/>
          <w:szCs w:val="22"/>
        </w:rPr>
        <w:t>Fotocasa Group</w:t>
      </w:r>
      <w:r>
        <w:rPr>
          <w:rFonts w:ascii="Open Sans" w:eastAsia="Open Sans" w:hAnsi="Open Sans" w:cs="Open Sans"/>
          <w:sz w:val="22"/>
          <w:szCs w:val="22"/>
        </w:rPr>
        <w:t xml:space="preserve"> es un referente del sector inmobiliario en España, </w:t>
      </w:r>
      <w:r>
        <w:rPr>
          <w:rFonts w:ascii="Open Sans" w:eastAsia="Open Sans" w:hAnsi="Open Sans" w:cs="Open Sans"/>
          <w:b/>
          <w:bCs/>
          <w:sz w:val="22"/>
          <w:szCs w:val="22"/>
        </w:rPr>
        <w:t>con más de 25 años de experiencia</w:t>
      </w:r>
      <w:r>
        <w:rPr>
          <w:rFonts w:ascii="Open Sans" w:eastAsia="Open Sans" w:hAnsi="Open Sans" w:cs="Open Sans"/>
          <w:sz w:val="22"/>
          <w:szCs w:val="22"/>
        </w:rPr>
        <w:t> liderando la transformación del real estate a través de la innovación, los datos y la tecnología.</w:t>
      </w:r>
    </w:p>
    <w:p w14:paraId="64EE9BB5" w14:textId="77777777" w:rsidR="0050643E"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Bajo su marca paraguas, Fotocasa Group impulsa y da visibilidad a un ecosistema de marcas líderes —</w:t>
      </w:r>
      <w:hyperlink r:id="rId19">
        <w:r w:rsidR="0050643E">
          <w:rPr>
            <w:rFonts w:ascii="Open Sans" w:eastAsia="Open Sans" w:hAnsi="Open Sans" w:cs="Open Sans"/>
            <w:b/>
            <w:bCs/>
            <w:color w:val="0000FF"/>
            <w:sz w:val="22"/>
            <w:szCs w:val="22"/>
            <w:u w:val="single"/>
          </w:rPr>
          <w:t>Fotocasa</w:t>
        </w:r>
      </w:hyperlink>
      <w:r>
        <w:rPr>
          <w:rFonts w:ascii="Open Sans" w:eastAsia="Open Sans" w:hAnsi="Open Sans" w:cs="Open Sans"/>
          <w:sz w:val="22"/>
          <w:szCs w:val="22"/>
        </w:rPr>
        <w:t xml:space="preserve">, </w:t>
      </w:r>
      <w:hyperlink r:id="rId20">
        <w:proofErr w:type="spellStart"/>
        <w:r w:rsidR="0050643E">
          <w:rPr>
            <w:rFonts w:ascii="Open Sans" w:eastAsia="Open Sans" w:hAnsi="Open Sans" w:cs="Open Sans"/>
            <w:b/>
            <w:bCs/>
            <w:color w:val="0000FF"/>
            <w:sz w:val="22"/>
            <w:szCs w:val="22"/>
            <w:u w:val="single"/>
          </w:rPr>
          <w:t>habitaclia</w:t>
        </w:r>
        <w:proofErr w:type="spellEnd"/>
      </w:hyperlink>
      <w:r>
        <w:rPr>
          <w:rFonts w:ascii="Open Sans" w:eastAsia="Open Sans" w:hAnsi="Open Sans" w:cs="Open Sans"/>
          <w:sz w:val="22"/>
          <w:szCs w:val="22"/>
        </w:rPr>
        <w:t xml:space="preserve">, </w:t>
      </w:r>
      <w:hyperlink r:id="rId21">
        <w:r w:rsidR="0050643E">
          <w:rPr>
            <w:rFonts w:ascii="Open Sans" w:eastAsia="Open Sans" w:hAnsi="Open Sans" w:cs="Open Sans"/>
            <w:b/>
            <w:bCs/>
            <w:color w:val="0000FF"/>
            <w:sz w:val="22"/>
            <w:szCs w:val="22"/>
            <w:u w:val="single"/>
          </w:rPr>
          <w:t>Fotocasa Pro</w:t>
        </w:r>
      </w:hyperlink>
      <w:r>
        <w:rPr>
          <w:rFonts w:ascii="Open Sans" w:eastAsia="Open Sans" w:hAnsi="Open Sans" w:cs="Open Sans"/>
          <w:sz w:val="22"/>
          <w:szCs w:val="22"/>
        </w:rPr>
        <w:t xml:space="preserve">, </w:t>
      </w:r>
      <w:hyperlink r:id="rId22">
        <w:proofErr w:type="spellStart"/>
        <w:r w:rsidR="0050643E">
          <w:rPr>
            <w:rFonts w:ascii="Open Sans" w:eastAsia="Open Sans" w:hAnsi="Open Sans" w:cs="Open Sans"/>
            <w:b/>
            <w:bCs/>
            <w:color w:val="0000FF"/>
            <w:sz w:val="22"/>
            <w:szCs w:val="22"/>
            <w:u w:val="single"/>
          </w:rPr>
          <w:t>Datavenues</w:t>
        </w:r>
        <w:proofErr w:type="spellEnd"/>
      </w:hyperlink>
      <w:r>
        <w:rPr>
          <w:rFonts w:ascii="Open Sans" w:eastAsia="Open Sans" w:hAnsi="Open Sans" w:cs="Open Sans"/>
          <w:sz w:val="22"/>
          <w:szCs w:val="22"/>
        </w:rPr>
        <w:t xml:space="preserve">, </w:t>
      </w:r>
      <w:hyperlink r:id="rId23">
        <w:proofErr w:type="spellStart"/>
        <w:r w:rsidR="0050643E">
          <w:rPr>
            <w:rFonts w:ascii="Open Sans" w:eastAsia="Open Sans" w:hAnsi="Open Sans" w:cs="Open Sans"/>
            <w:b/>
            <w:bCs/>
            <w:color w:val="0000FF"/>
            <w:sz w:val="22"/>
            <w:szCs w:val="22"/>
            <w:u w:val="single"/>
          </w:rPr>
          <w:t>Witei</w:t>
        </w:r>
        <w:proofErr w:type="spellEnd"/>
      </w:hyperlink>
      <w:r>
        <w:rPr>
          <w:rFonts w:ascii="Open Sans" w:eastAsia="Open Sans" w:hAnsi="Open Sans" w:cs="Open Sans"/>
          <w:sz w:val="22"/>
          <w:szCs w:val="22"/>
        </w:rPr>
        <w:t xml:space="preserve"> e </w:t>
      </w:r>
      <w:hyperlink r:id="rId24">
        <w:proofErr w:type="spellStart"/>
        <w:r w:rsidR="0050643E">
          <w:rPr>
            <w:rFonts w:ascii="Open Sans" w:eastAsia="Open Sans" w:hAnsi="Open Sans" w:cs="Open Sans"/>
            <w:b/>
            <w:bCs/>
            <w:color w:val="0000FF"/>
            <w:sz w:val="22"/>
            <w:szCs w:val="22"/>
          </w:rPr>
          <w:t>Inmoweb</w:t>
        </w:r>
        <w:proofErr w:type="spellEnd"/>
      </w:hyperlink>
      <w:r>
        <w:rPr>
          <w:rFonts w:ascii="Open Sans" w:eastAsia="Open Sans" w:hAnsi="Open Sans" w:cs="Open Sans"/>
          <w:sz w:val="22"/>
          <w:szCs w:val="22"/>
        </w:rPr>
        <w:t xml:space="preserve">— que ofrecen soluciones integrales tanto </w:t>
      </w:r>
      <w:r>
        <w:rPr>
          <w:rFonts w:ascii="Open Sans" w:eastAsia="Open Sans" w:hAnsi="Open Sans" w:cs="Open Sans"/>
          <w:b/>
          <w:bCs/>
          <w:sz w:val="22"/>
          <w:szCs w:val="22"/>
        </w:rPr>
        <w:t>para particulares como para profesionales del sector</w:t>
      </w:r>
      <w:r>
        <w:rPr>
          <w:rFonts w:ascii="Open Sans" w:eastAsia="Open Sans" w:hAnsi="Open Sans" w:cs="Open Sans"/>
          <w:sz w:val="22"/>
          <w:szCs w:val="22"/>
        </w:rPr>
        <w:t>.</w:t>
      </w:r>
    </w:p>
    <w:p w14:paraId="30D85256" w14:textId="77777777" w:rsidR="0050643E"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b/>
          <w:bCs/>
          <w:sz w:val="22"/>
          <w:szCs w:val="22"/>
        </w:rPr>
        <w:t>Fotocasa</w:t>
      </w:r>
      <w:r>
        <w:rPr>
          <w:rFonts w:ascii="Open Sans" w:eastAsia="Open Sans" w:hAnsi="Open Sans" w:cs="Open Sans"/>
          <w:sz w:val="22"/>
          <w:szCs w:val="22"/>
        </w:rPr>
        <w:t>, la marca insignia del grupo, conecta cada día a </w:t>
      </w:r>
      <w:r>
        <w:rPr>
          <w:rFonts w:ascii="Open Sans" w:eastAsia="Open Sans" w:hAnsi="Open Sans" w:cs="Open Sans"/>
          <w:b/>
          <w:bCs/>
          <w:sz w:val="22"/>
          <w:szCs w:val="22"/>
        </w:rPr>
        <w:t>millones de personas con su próximo hogar</w:t>
      </w:r>
      <w:r>
        <w:rPr>
          <w:rFonts w:ascii="Open Sans" w:eastAsia="Open Sans" w:hAnsi="Open Sans" w:cs="Open Sans"/>
          <w:sz w:val="22"/>
          <w:szCs w:val="22"/>
        </w:rPr>
        <w:t>, ofreciendo la mayor oferta de viviendas de segunda mano, obra nueva, alquiler y compraventa, junto con análisis y contenidos que la consolidan como un auténtico </w:t>
      </w:r>
      <w:r>
        <w:rPr>
          <w:rFonts w:ascii="Open Sans" w:eastAsia="Open Sans" w:hAnsi="Open Sans" w:cs="Open Sans"/>
          <w:b/>
          <w:bCs/>
          <w:sz w:val="22"/>
          <w:szCs w:val="22"/>
        </w:rPr>
        <w:t>referente del mercado inmobiliario</w:t>
      </w:r>
      <w:r>
        <w:rPr>
          <w:rFonts w:ascii="Open Sans" w:eastAsia="Open Sans" w:hAnsi="Open Sans" w:cs="Open Sans"/>
          <w:sz w:val="22"/>
          <w:szCs w:val="22"/>
        </w:rPr>
        <w:t>.</w:t>
      </w:r>
    </w:p>
    <w:p w14:paraId="75DB7013" w14:textId="77777777" w:rsidR="0050643E"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En Fotocasa Group, </w:t>
      </w:r>
      <w:r>
        <w:rPr>
          <w:rFonts w:ascii="Open Sans" w:eastAsia="Open Sans" w:hAnsi="Open Sans" w:cs="Open Sans"/>
          <w:b/>
          <w:bCs/>
          <w:sz w:val="22"/>
          <w:szCs w:val="22"/>
        </w:rPr>
        <w:t>unimos personas y propiedades</w:t>
      </w:r>
      <w:r>
        <w:rPr>
          <w:rFonts w:ascii="Open Sans" w:eastAsia="Open Sans" w:hAnsi="Open Sans" w:cs="Open Sans"/>
          <w:sz w:val="22"/>
          <w:szCs w:val="22"/>
        </w:rPr>
        <w:t> a través de una plataforma inteligente, diseñada para hacer que </w:t>
      </w:r>
      <w:r>
        <w:rPr>
          <w:rFonts w:ascii="Open Sans" w:eastAsia="Open Sans" w:hAnsi="Open Sans" w:cs="Open Sans"/>
          <w:b/>
          <w:bCs/>
          <w:sz w:val="22"/>
          <w:szCs w:val="22"/>
        </w:rPr>
        <w:t>buscar, comprar o alquilar vivienda</w:t>
      </w:r>
      <w:r>
        <w:rPr>
          <w:rFonts w:ascii="Open Sans" w:eastAsia="Open Sans" w:hAnsi="Open Sans" w:cs="Open Sans"/>
          <w:sz w:val="22"/>
          <w:szCs w:val="22"/>
        </w:rPr>
        <w:t> sea una experiencia más fácil, transparente y eficiente.</w:t>
      </w:r>
    </w:p>
    <w:p w14:paraId="7E678A00" w14:textId="77777777" w:rsidR="0050643E"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Nuestra visión es clara</w:t>
      </w:r>
      <w:r>
        <w:rPr>
          <w:rFonts w:ascii="Open Sans" w:eastAsia="Open Sans" w:hAnsi="Open Sans" w:cs="Open Sans"/>
          <w:b/>
          <w:bCs/>
          <w:sz w:val="22"/>
          <w:szCs w:val="22"/>
        </w:rPr>
        <w:t>: ser el lugar donde tu nuevo hogar te encuentra</w:t>
      </w:r>
      <w:r>
        <w:rPr>
          <w:rFonts w:ascii="Open Sans" w:eastAsia="Open Sans" w:hAnsi="Open Sans" w:cs="Open Sans"/>
          <w:sz w:val="22"/>
          <w:szCs w:val="22"/>
        </w:rPr>
        <w:t>.</w:t>
      </w:r>
    </w:p>
    <w:p w14:paraId="02CCF8B6" w14:textId="77777777" w:rsidR="0050643E" w:rsidRDefault="0050643E">
      <w:pPr>
        <w:spacing w:line="276" w:lineRule="auto"/>
        <w:jc w:val="right"/>
        <w:rPr>
          <w:rFonts w:ascii="Open Sans" w:eastAsia="Open Sans" w:hAnsi="Open Sans" w:cs="Open Sans"/>
        </w:rPr>
      </w:pPr>
    </w:p>
    <w:p w14:paraId="0C6E0D53" w14:textId="77777777" w:rsidR="0050643E" w:rsidRDefault="00000000">
      <w:pPr>
        <w:spacing w:line="276" w:lineRule="auto"/>
        <w:rPr>
          <w:rFonts w:ascii="Open Sans Light" w:eastAsia="Open Sans Light" w:hAnsi="Open Sans Light" w:cs="Open Sans Light"/>
          <w:b/>
          <w:bCs/>
          <w:color w:val="303AB2"/>
          <w:sz w:val="22"/>
          <w:szCs w:val="22"/>
        </w:rPr>
      </w:pPr>
      <w:r>
        <w:rPr>
          <w:rFonts w:ascii="Open Sans Light" w:eastAsia="Open Sans Light" w:hAnsi="Open Sans Light" w:cs="Open Sans Light"/>
          <w:b/>
          <w:bCs/>
          <w:color w:val="303AB2"/>
          <w:sz w:val="22"/>
          <w:szCs w:val="22"/>
        </w:rPr>
        <w:t>Departamento Comunicación Fotocasa</w:t>
      </w:r>
    </w:p>
    <w:p w14:paraId="7501ED43" w14:textId="686A33D7" w:rsidR="0050643E" w:rsidRDefault="00000000">
      <w:pPr>
        <w:shd w:val="clear" w:color="auto" w:fill="FFFFFF"/>
        <w:spacing w:line="276" w:lineRule="auto"/>
        <w:rPr>
          <w:rFonts w:ascii="Open Sans" w:eastAsia="Open Sans" w:hAnsi="Open Sans" w:cs="Open Sans"/>
          <w:b/>
          <w:bCs/>
          <w:color w:val="000000"/>
          <w:sz w:val="22"/>
          <w:szCs w:val="22"/>
        </w:rPr>
      </w:pPr>
      <w:r>
        <w:rPr>
          <w:rFonts w:ascii="Open Sans" w:eastAsia="Open Sans" w:hAnsi="Open Sans" w:cs="Open Sans"/>
          <w:b/>
          <w:bCs/>
          <w:color w:val="000000"/>
          <w:sz w:val="22"/>
          <w:szCs w:val="22"/>
        </w:rPr>
        <w:t xml:space="preserve">Anaïs </w:t>
      </w:r>
      <w:r w:rsidR="00FB3DD3">
        <w:rPr>
          <w:rFonts w:ascii="Open Sans" w:eastAsia="Open Sans" w:hAnsi="Open Sans" w:cs="Open Sans"/>
          <w:b/>
          <w:bCs/>
          <w:color w:val="000000"/>
          <w:sz w:val="22"/>
          <w:szCs w:val="22"/>
        </w:rPr>
        <w:t>García</w:t>
      </w:r>
    </w:p>
    <w:p w14:paraId="65F81871" w14:textId="77777777" w:rsidR="0050643E" w:rsidRDefault="0050643E">
      <w:pPr>
        <w:shd w:val="clear" w:color="auto" w:fill="FFFFFF"/>
        <w:spacing w:line="276" w:lineRule="auto"/>
        <w:rPr>
          <w:rFonts w:ascii="Open Sans" w:eastAsia="Open Sans" w:hAnsi="Open Sans" w:cs="Open Sans"/>
          <w:color w:val="0000FF"/>
          <w:sz w:val="22"/>
          <w:szCs w:val="22"/>
          <w:u w:val="single"/>
        </w:rPr>
      </w:pPr>
      <w:hyperlink r:id="rId25">
        <w:r>
          <w:rPr>
            <w:rFonts w:ascii="Open Sans" w:eastAsia="Open Sans" w:hAnsi="Open Sans" w:cs="Open Sans"/>
            <w:color w:val="0000FF"/>
            <w:sz w:val="22"/>
            <w:szCs w:val="22"/>
            <w:u w:val="single"/>
          </w:rPr>
          <w:t>comunicacion@fotocasa.es</w:t>
        </w:r>
      </w:hyperlink>
    </w:p>
    <w:p w14:paraId="79CE945E" w14:textId="77777777" w:rsidR="0050643E"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sectPr w:rsidR="0050643E">
      <w:footerReference w:type="default" r:id="rId26"/>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9D7449" w14:textId="77777777" w:rsidR="00624DD4" w:rsidRDefault="00624DD4">
      <w:r>
        <w:separator/>
      </w:r>
    </w:p>
  </w:endnote>
  <w:endnote w:type="continuationSeparator" w:id="0">
    <w:p w14:paraId="4AFF1118" w14:textId="77777777" w:rsidR="00624DD4" w:rsidRDefault="00624D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43685DD-3BEF-44E7-8C36-DD03E97FCD4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DB1339B-4EB6-41C0-9EE4-66DC51248976}"/>
    <w:embedBold r:id="rId3" w:fontKey="{8BEA3E85-0458-4742-8D14-51E676C73A1D}"/>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87DF74C4-3185-4146-9C67-8911199CBE93}"/>
  </w:font>
  <w:font w:name="Georgia">
    <w:panose1 w:val="02040502050405020303"/>
    <w:charset w:val="00"/>
    <w:family w:val="roman"/>
    <w:pitch w:val="variable"/>
    <w:sig w:usb0="00000287" w:usb1="00000000" w:usb2="00000000" w:usb3="00000000" w:csb0="0000009F" w:csb1="00000000"/>
    <w:embedItalic r:id="rId5" w:fontKey="{B05FD8E6-C730-4BC1-AA7D-FECD8CD69BAB}"/>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6" w:fontKey="{7C41F263-A83C-4DF1-AA75-0405B1FA308A}"/>
    <w:embedBold r:id="rId7" w:fontKey="{7105DC9F-B1A3-4841-989E-2ACD2C667CDA}"/>
    <w:embedBoldItalic r:id="rId8" w:fontKey="{28263B84-0B10-4AA6-9A85-D43945C53C01}"/>
  </w:font>
  <w:font w:name="Open Sans Light">
    <w:charset w:val="00"/>
    <w:family w:val="swiss"/>
    <w:pitch w:val="variable"/>
    <w:sig w:usb0="E00002EF" w:usb1="4000205B" w:usb2="00000028" w:usb3="00000000" w:csb0="0000019F" w:csb1="00000000"/>
    <w:embedBold r:id="rId9" w:fontKey="{ECDD06C5-BB0A-4D8F-9A6C-8384697518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78DFC" w14:textId="77777777" w:rsidR="0050643E"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1E17A175" wp14:editId="0B99C545">
          <wp:simplePos x="0" y="0"/>
          <wp:positionH relativeFrom="column">
            <wp:posOffset>-1068043</wp:posOffset>
          </wp:positionH>
          <wp:positionV relativeFrom="paragraph">
            <wp:posOffset>174608</wp:posOffset>
          </wp:positionV>
          <wp:extent cx="7670550" cy="451315"/>
          <wp:effectExtent l="0" t="0" r="0" b="0"/>
          <wp:wrapNone/>
          <wp:docPr id="20668166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20CD17" w14:textId="77777777" w:rsidR="00624DD4" w:rsidRDefault="00624DD4">
      <w:r>
        <w:separator/>
      </w:r>
    </w:p>
  </w:footnote>
  <w:footnote w:type="continuationSeparator" w:id="0">
    <w:p w14:paraId="3C3AD338" w14:textId="77777777" w:rsidR="00624DD4" w:rsidRDefault="00624D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66DDD"/>
    <w:multiLevelType w:val="multilevel"/>
    <w:tmpl w:val="A1D02A2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6072719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643E"/>
    <w:rsid w:val="00136FED"/>
    <w:rsid w:val="00414FA6"/>
    <w:rsid w:val="00440639"/>
    <w:rsid w:val="0050643E"/>
    <w:rsid w:val="00624DD4"/>
    <w:rsid w:val="00ED14B0"/>
    <w:rsid w:val="00FB3DD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78EF03"/>
  <w15:docId w15:val="{3D0B14A6-3067-40AF-B5F4-F5301DD4B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a">
    <w:basedOn w:val="TableNormalf6"/>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f6"/>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f3"/>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f3"/>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8"/>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table" w:styleId="Tablaconcuadrcula5oscura-nfasis1">
    <w:name w:val="Grid Table 5 Dark Accent 1"/>
    <w:basedOn w:val="Tablanormal"/>
    <w:uiPriority w:val="50"/>
    <w:rsid w:val="00B776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5oscura-nfasis5">
    <w:name w:val="Grid Table 5 Dark Accent 5"/>
    <w:basedOn w:val="Tablanormal"/>
    <w:uiPriority w:val="50"/>
    <w:rsid w:val="002827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prensa.fotocasa.es"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profesionales.fotocasa.es/"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research.fotocasa.es" TargetMode="External"/><Relationship Id="rId25" Type="http://schemas.openxmlformats.org/officeDocument/2006/relationships/hyperlink" Target="mailto:comunicacion@fotocasa.es" TargetMode="External"/><Relationship Id="rId2" Type="http://schemas.openxmlformats.org/officeDocument/2006/relationships/numbering" Target="numbering.xml"/><Relationship Id="rId16" Type="http://schemas.openxmlformats.org/officeDocument/2006/relationships/hyperlink" Target="https://www.fotocasa.es/indice/" TargetMode="External"/><Relationship Id="rId20" Type="http://schemas.openxmlformats.org/officeDocument/2006/relationships/hyperlink" Target="https://www.habitacli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 TargetMode="External"/><Relationship Id="rId24" Type="http://schemas.openxmlformats.org/officeDocument/2006/relationships/hyperlink" Target="https://www.inmoweb.es/"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get.witei.com/en/" TargetMode="External"/><Relationship Id="rId28" Type="http://schemas.openxmlformats.org/officeDocument/2006/relationships/theme" Target="theme/theme1.xml"/><Relationship Id="rId10" Type="http://schemas.openxmlformats.org/officeDocument/2006/relationships/hyperlink" Target="https://www.fotocasa.es/" TargetMode="External"/><Relationship Id="rId19" Type="http://schemas.openxmlformats.org/officeDocument/2006/relationships/hyperlink" Target="https://www.fotocasa.es" TargetMode="External"/><Relationship Id="rId4" Type="http://schemas.openxmlformats.org/officeDocument/2006/relationships/settings" Target="settings.xml"/><Relationship Id="rId9" Type="http://schemas.openxmlformats.org/officeDocument/2006/relationships/hyperlink" Target="https://s36360.pcdn.co/wp-content/uploads/2026/01/Informe-La-vivienda-en-alquiler-en-2025.pdf" TargetMode="External"/><Relationship Id="rId14" Type="http://schemas.openxmlformats.org/officeDocument/2006/relationships/image" Target="media/image4.png"/><Relationship Id="rId22" Type="http://schemas.openxmlformats.org/officeDocument/2006/relationships/hyperlink" Target="https://datavenues.com/"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ql+Nb9sNwBzESd3f866L7ik6aA==">CgMxLjA4AHIhMTFOSjFoZTg3cV9leDJjYlV3bTRZdURzSGY4Rkk0dEIy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1192</Words>
  <Characters>6562</Characters>
  <Application>Microsoft Office Word</Application>
  <DocSecurity>0</DocSecurity>
  <Lines>54</Lines>
  <Paragraphs>15</Paragraphs>
  <ScaleCrop>false</ScaleCrop>
  <Company/>
  <LinksUpToDate>false</LinksUpToDate>
  <CharactersWithSpaces>7739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Anais Garcia Lopez</cp:lastModifiedBy>
  <cp:revision>3</cp:revision>
  <dcterms:created xsi:type="dcterms:W3CDTF">2024-02-06T13:46:00Z</dcterms:created>
  <dcterms:modified xsi:type="dcterms:W3CDTF">2026-01-27T21:46:00Z</dcterms:modified>
</cp:coreProperties>
</file>