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E06A13" w14:textId="77777777" w:rsidR="009737A2" w:rsidRDefault="00000000">
      <w:pPr>
        <w:ind w:right="-574"/>
      </w:pPr>
      <w:r>
        <w:rPr>
          <w:noProof/>
        </w:rPr>
        <w:drawing>
          <wp:anchor distT="0" distB="0" distL="114300" distR="114300" simplePos="0" relativeHeight="251658240" behindDoc="0" locked="0" layoutInCell="1" hidden="0" allowOverlap="1" wp14:anchorId="0799240D" wp14:editId="1908C4B1">
            <wp:simplePos x="0" y="0"/>
            <wp:positionH relativeFrom="column">
              <wp:posOffset>4057015</wp:posOffset>
            </wp:positionH>
            <wp:positionV relativeFrom="paragraph">
              <wp:posOffset>-321944</wp:posOffset>
            </wp:positionV>
            <wp:extent cx="2465949" cy="668401"/>
            <wp:effectExtent l="0" t="0" r="0" b="0"/>
            <wp:wrapNone/>
            <wp:docPr id="20708056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65949" cy="66840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06E7619" wp14:editId="28B54E9D">
            <wp:simplePos x="0" y="0"/>
            <wp:positionH relativeFrom="column">
              <wp:posOffset>-705779</wp:posOffset>
            </wp:positionH>
            <wp:positionV relativeFrom="paragraph">
              <wp:posOffset>-62506</wp:posOffset>
            </wp:positionV>
            <wp:extent cx="1748621" cy="400050"/>
            <wp:effectExtent l="0" t="0" r="0" b="0"/>
            <wp:wrapNone/>
            <wp:docPr id="20708056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748621" cy="400050"/>
                    </a:xfrm>
                    <a:prstGeom prst="rect">
                      <a:avLst/>
                    </a:prstGeom>
                    <a:ln/>
                  </pic:spPr>
                </pic:pic>
              </a:graphicData>
            </a:graphic>
          </wp:anchor>
        </w:drawing>
      </w:r>
    </w:p>
    <w:p w14:paraId="7852576E" w14:textId="77777777" w:rsidR="009737A2" w:rsidRDefault="009737A2">
      <w:pPr>
        <w:ind w:right="-574"/>
        <w:jc w:val="right"/>
        <w:rPr>
          <w:rFonts w:ascii="National" w:eastAsia="National" w:hAnsi="National" w:cs="National"/>
          <w:color w:val="303AB2"/>
          <w:sz w:val="16"/>
          <w:szCs w:val="16"/>
        </w:rPr>
      </w:pPr>
    </w:p>
    <w:p w14:paraId="09F112F9" w14:textId="77777777" w:rsidR="009737A2" w:rsidRDefault="009737A2">
      <w:pPr>
        <w:ind w:right="-574"/>
        <w:jc w:val="right"/>
        <w:rPr>
          <w:rFonts w:ascii="National" w:eastAsia="National" w:hAnsi="National" w:cs="National"/>
          <w:color w:val="303AB2"/>
          <w:sz w:val="36"/>
          <w:szCs w:val="36"/>
        </w:rPr>
      </w:pPr>
    </w:p>
    <w:p w14:paraId="00717F40" w14:textId="77777777" w:rsidR="009737A2" w:rsidRPr="0072079D" w:rsidRDefault="00000000">
      <w:pPr>
        <w:spacing w:line="276" w:lineRule="auto"/>
        <w:ind w:right="-574"/>
        <w:jc w:val="center"/>
        <w:rPr>
          <w:rFonts w:ascii="National" w:eastAsia="National" w:hAnsi="National" w:cs="National"/>
          <w:b/>
          <w:bCs/>
          <w:color w:val="1DBDC5"/>
          <w:sz w:val="34"/>
          <w:szCs w:val="34"/>
        </w:rPr>
      </w:pPr>
      <w:r w:rsidRPr="0072079D">
        <w:rPr>
          <w:rFonts w:ascii="National" w:eastAsia="National" w:hAnsi="National" w:cs="National"/>
          <w:b/>
          <w:bCs/>
          <w:color w:val="1DBDC5"/>
          <w:sz w:val="34"/>
          <w:szCs w:val="34"/>
        </w:rPr>
        <w:t>2025: ANÁLISIS DEL PRECIO DE GARAJES EN ESPAÑA</w:t>
      </w:r>
    </w:p>
    <w:p w14:paraId="1D2B74D9" w14:textId="77777777" w:rsidR="009737A2" w:rsidRDefault="00000000">
      <w:pPr>
        <w:pBdr>
          <w:top w:val="nil"/>
          <w:left w:val="nil"/>
          <w:bottom w:val="nil"/>
          <w:right w:val="nil"/>
          <w:between w:val="nil"/>
        </w:pBdr>
        <w:spacing w:line="276" w:lineRule="auto"/>
        <w:ind w:left="284" w:right="-574"/>
        <w:jc w:val="center"/>
        <w:rPr>
          <w:rFonts w:ascii="Open Sans" w:eastAsia="Open Sans" w:hAnsi="Open Sans" w:cs="Open Sans"/>
          <w:color w:val="000000"/>
          <w:sz w:val="22"/>
          <w:szCs w:val="22"/>
        </w:rPr>
      </w:pPr>
      <w:r>
        <w:rPr>
          <w:rFonts w:ascii="National" w:eastAsia="National" w:hAnsi="National" w:cs="National"/>
          <w:b/>
          <w:bCs/>
          <w:color w:val="303AB2"/>
          <w:sz w:val="56"/>
          <w:szCs w:val="56"/>
        </w:rPr>
        <w:t xml:space="preserve">El precio de los garajes en España supera los 14.000 euros y ralentiza su crecimiento en 2025 </w:t>
      </w:r>
    </w:p>
    <w:p w14:paraId="272E5DF6" w14:textId="77777777" w:rsidR="009737A2" w:rsidRDefault="009737A2">
      <w:pPr>
        <w:pBdr>
          <w:top w:val="nil"/>
          <w:left w:val="nil"/>
          <w:bottom w:val="nil"/>
          <w:right w:val="nil"/>
          <w:between w:val="nil"/>
        </w:pBdr>
        <w:spacing w:line="276" w:lineRule="auto"/>
        <w:ind w:left="284" w:right="-574"/>
        <w:jc w:val="center"/>
        <w:rPr>
          <w:rFonts w:ascii="National" w:eastAsia="National" w:hAnsi="National" w:cs="National"/>
          <w:b/>
          <w:bCs/>
          <w:color w:val="303AB2"/>
          <w:sz w:val="20"/>
          <w:szCs w:val="20"/>
        </w:rPr>
      </w:pPr>
    </w:p>
    <w:p w14:paraId="38D75D07" w14:textId="77777777" w:rsidR="009737A2" w:rsidRPr="00FA494A" w:rsidRDefault="00000000" w:rsidP="00FA494A">
      <w:pPr>
        <w:pStyle w:val="Prrafodelista"/>
        <w:numPr>
          <w:ilvl w:val="0"/>
          <w:numId w:val="2"/>
        </w:numPr>
        <w:pBdr>
          <w:top w:val="nil"/>
          <w:left w:val="nil"/>
          <w:bottom w:val="nil"/>
          <w:right w:val="nil"/>
          <w:between w:val="nil"/>
        </w:pBdr>
        <w:ind w:right="-574"/>
        <w:jc w:val="both"/>
        <w:rPr>
          <w:rFonts w:ascii="Open Sans" w:eastAsia="Open Sans" w:hAnsi="Open Sans" w:cs="Open Sans"/>
          <w:color w:val="000000"/>
          <w:sz w:val="22"/>
          <w:szCs w:val="22"/>
        </w:rPr>
      </w:pPr>
      <w:r w:rsidRPr="00FA494A">
        <w:rPr>
          <w:rFonts w:ascii="Open Sans" w:eastAsia="Open Sans" w:hAnsi="Open Sans" w:cs="Open Sans"/>
          <w:color w:val="000000"/>
          <w:sz w:val="22"/>
          <w:szCs w:val="22"/>
        </w:rPr>
        <w:t xml:space="preserve">Es el quinto incremento anual en cadena y el más bajo detectado desde 2021 </w:t>
      </w:r>
    </w:p>
    <w:p w14:paraId="3918AFA5" w14:textId="77777777" w:rsidR="009737A2" w:rsidRPr="00FA494A" w:rsidRDefault="00000000" w:rsidP="00FA494A">
      <w:pPr>
        <w:pStyle w:val="Prrafodelista"/>
        <w:numPr>
          <w:ilvl w:val="0"/>
          <w:numId w:val="2"/>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sidRPr="00FA494A">
        <w:rPr>
          <w:rFonts w:ascii="Open Sans" w:eastAsia="Open Sans" w:hAnsi="Open Sans" w:cs="Open Sans"/>
          <w:color w:val="000000"/>
          <w:sz w:val="22"/>
          <w:szCs w:val="22"/>
        </w:rPr>
        <w:t>En 2025 se ha pagado por un garaje en venta en España 14.011 euros, frente a los 12.495 que se pagaba de media en 2024</w:t>
      </w:r>
    </w:p>
    <w:p w14:paraId="031723DD" w14:textId="77777777" w:rsidR="009737A2" w:rsidRPr="00FA494A" w:rsidRDefault="00000000" w:rsidP="00FA494A">
      <w:pPr>
        <w:pStyle w:val="Prrafodelista"/>
        <w:numPr>
          <w:ilvl w:val="0"/>
          <w:numId w:val="2"/>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sidRPr="00FA494A">
        <w:rPr>
          <w:rFonts w:ascii="Open Sans" w:eastAsia="Open Sans" w:hAnsi="Open Sans" w:cs="Open Sans"/>
          <w:color w:val="000000"/>
          <w:sz w:val="22"/>
          <w:szCs w:val="22"/>
        </w:rPr>
        <w:t>El precio medio de los garajes en las ciudades de Cádiz, Donostia - San Sebastián cuestan más de 25.000 euros</w:t>
      </w:r>
    </w:p>
    <w:p w14:paraId="29C77D60" w14:textId="77777777" w:rsidR="009737A2" w:rsidRPr="00FA494A" w:rsidRDefault="00000000" w:rsidP="00FA494A">
      <w:pPr>
        <w:pStyle w:val="Prrafodelista"/>
        <w:numPr>
          <w:ilvl w:val="0"/>
          <w:numId w:val="2"/>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sidRPr="00FA494A">
        <w:rPr>
          <w:rFonts w:ascii="Open Sans" w:eastAsia="Open Sans" w:hAnsi="Open Sans" w:cs="Open Sans"/>
          <w:color w:val="000000"/>
          <w:sz w:val="22"/>
          <w:szCs w:val="22"/>
        </w:rPr>
        <w:t>Los más beneficiados por el descenso del precio de los garajes en 2025 han sido los residentes del barrio madrileño Fuencarral - El Pardo (-8,7%) y del barcelonés</w:t>
      </w:r>
      <w:r w:rsidRPr="00FA494A">
        <w:rPr>
          <w:color w:val="000000"/>
        </w:rPr>
        <w:t xml:space="preserve"> </w:t>
      </w:r>
      <w:r w:rsidRPr="00FA494A">
        <w:rPr>
          <w:rFonts w:ascii="Open Sans" w:eastAsia="Open Sans" w:hAnsi="Open Sans" w:cs="Open Sans"/>
          <w:color w:val="000000"/>
          <w:sz w:val="22"/>
          <w:szCs w:val="22"/>
        </w:rPr>
        <w:t>Sant Andreu (-6,7)</w:t>
      </w:r>
    </w:p>
    <w:p w14:paraId="6521862B" w14:textId="77777777" w:rsidR="009737A2" w:rsidRDefault="009737A2">
      <w:pPr>
        <w:pBdr>
          <w:top w:val="nil"/>
          <w:left w:val="nil"/>
          <w:bottom w:val="nil"/>
          <w:right w:val="nil"/>
          <w:between w:val="nil"/>
        </w:pBdr>
        <w:spacing w:line="276" w:lineRule="auto"/>
        <w:ind w:left="284" w:right="-574"/>
        <w:rPr>
          <w:rFonts w:ascii="Open Sans Light" w:eastAsia="Open Sans Light" w:hAnsi="Open Sans Light" w:cs="Open Sans Light"/>
          <w:b/>
          <w:bCs/>
          <w:color w:val="303AB2"/>
        </w:rPr>
      </w:pPr>
    </w:p>
    <w:p w14:paraId="52251C9A" w14:textId="77777777" w:rsidR="009737A2" w:rsidRDefault="00000000">
      <w:pPr>
        <w:pBdr>
          <w:top w:val="nil"/>
          <w:left w:val="nil"/>
          <w:bottom w:val="nil"/>
          <w:right w:val="nil"/>
          <w:between w:val="nil"/>
        </w:pBdr>
        <w:spacing w:line="276" w:lineRule="auto"/>
        <w:ind w:right="-574"/>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16 de febrero de 2026</w:t>
      </w:r>
    </w:p>
    <w:p w14:paraId="74C718E2" w14:textId="77777777" w:rsidR="009737A2" w:rsidRDefault="00000000">
      <w:pPr>
        <w:pBdr>
          <w:top w:val="nil"/>
          <w:left w:val="nil"/>
          <w:bottom w:val="nil"/>
          <w:right w:val="nil"/>
          <w:between w:val="nil"/>
        </w:pBdr>
        <w:shd w:val="clear" w:color="auto" w:fill="FFFFFF"/>
        <w:spacing w:before="280" w:after="280" w:line="276" w:lineRule="auto"/>
        <w:ind w:right="-574"/>
        <w:jc w:val="both"/>
        <w:rPr>
          <w:rFonts w:ascii="Times New Roman" w:eastAsia="Times New Roman" w:hAnsi="Times New Roman" w:cs="Times New Roman"/>
          <w:color w:val="000000"/>
        </w:rPr>
      </w:pPr>
      <w:r>
        <w:rPr>
          <w:rFonts w:ascii="Open Sans" w:eastAsia="Open Sans" w:hAnsi="Open Sans" w:cs="Open Sans"/>
          <w:color w:val="000000"/>
          <w:sz w:val="22"/>
          <w:szCs w:val="22"/>
        </w:rPr>
        <w:t xml:space="preserve">El precio de los garajes en venta en España se ha incrementado un 1,7% en 2025 y sitúa el precio medio en 14.011 euros, según el estudio de </w:t>
      </w:r>
      <w:r>
        <w:rPr>
          <w:rFonts w:ascii="Open Sans" w:eastAsia="Open Sans" w:hAnsi="Open Sans" w:cs="Open Sans"/>
          <w:b/>
          <w:bCs/>
          <w:color w:val="000000"/>
          <w:sz w:val="22"/>
          <w:szCs w:val="22"/>
        </w:rPr>
        <w:t>“</w:t>
      </w:r>
      <w:r>
        <w:rPr>
          <w:rFonts w:ascii="Open Sans" w:eastAsia="Open Sans" w:hAnsi="Open Sans" w:cs="Open Sans"/>
          <w:b/>
          <w:bCs/>
          <w:i/>
          <w:iCs/>
          <w:color w:val="000000"/>
          <w:sz w:val="22"/>
          <w:szCs w:val="22"/>
        </w:rPr>
        <w:t>Precios de los garajes en venta en España en 2025”,</w:t>
      </w:r>
      <w:r>
        <w:rPr>
          <w:rFonts w:ascii="Open Sans" w:eastAsia="Open Sans" w:hAnsi="Open Sans" w:cs="Open Sans"/>
          <w:b/>
          <w:bCs/>
          <w:color w:val="000000"/>
          <w:sz w:val="22"/>
          <w:szCs w:val="22"/>
        </w:rPr>
        <w:t xml:space="preserve"> </w:t>
      </w:r>
      <w:r>
        <w:rPr>
          <w:rFonts w:ascii="Open Sans" w:eastAsia="Open Sans" w:hAnsi="Open Sans" w:cs="Open Sans"/>
          <w:color w:val="000000"/>
          <w:sz w:val="22"/>
          <w:szCs w:val="22"/>
        </w:rPr>
        <w:t xml:space="preserve">basado en los precios de los garajes en venta del mes de diciembre de los últimos 10 años del Índice Inmobiliario </w:t>
      </w:r>
      <w:hyperlink r:id="rId10">
        <w:r w:rsidR="009737A2">
          <w:rPr>
            <w:rFonts w:ascii="Open Sans" w:eastAsia="Open Sans" w:hAnsi="Open Sans" w:cs="Open Sans"/>
            <w:color w:val="0000FF"/>
            <w:sz w:val="22"/>
            <w:szCs w:val="22"/>
            <w:u w:val="single"/>
          </w:rPr>
          <w:t>Fotocasa</w:t>
        </w:r>
      </w:hyperlink>
      <w:r>
        <w:rPr>
          <w:rFonts w:ascii="Open Sans" w:eastAsia="Open Sans" w:hAnsi="Open Sans" w:cs="Open Sans"/>
          <w:color w:val="0000FF"/>
          <w:sz w:val="22"/>
          <w:szCs w:val="22"/>
          <w:u w:val="single"/>
        </w:rPr>
        <w:t>.</w:t>
      </w:r>
      <w:r>
        <w:rPr>
          <w:rFonts w:ascii="Times New Roman" w:eastAsia="Times New Roman" w:hAnsi="Times New Roman" w:cs="Times New Roman"/>
          <w:color w:val="000000"/>
        </w:rPr>
        <w:t xml:space="preserve"> </w:t>
      </w:r>
    </w:p>
    <w:p w14:paraId="1512873F" w14:textId="77777777" w:rsidR="009737A2" w:rsidRDefault="00000000">
      <w:pPr>
        <w:pBdr>
          <w:top w:val="nil"/>
          <w:left w:val="nil"/>
          <w:bottom w:val="nil"/>
          <w:right w:val="nil"/>
          <w:between w:val="nil"/>
        </w:pBdr>
        <w:shd w:val="clear" w:color="auto" w:fill="FFFFFF"/>
        <w:spacing w:before="280" w:after="280" w:line="276" w:lineRule="auto"/>
        <w:ind w:right="-574"/>
        <w:jc w:val="center"/>
        <w:rPr>
          <w:rFonts w:ascii="Times New Roman" w:eastAsia="Times New Roman" w:hAnsi="Times New Roman" w:cs="Times New Roman"/>
          <w:color w:val="000000"/>
        </w:rPr>
      </w:pPr>
      <w:r>
        <w:rPr>
          <w:rFonts w:ascii="National" w:eastAsia="National" w:hAnsi="National" w:cs="National"/>
          <w:b/>
          <w:bCs/>
          <w:color w:val="303AB2"/>
          <w:sz w:val="28"/>
          <w:szCs w:val="28"/>
        </w:rPr>
        <w:t>Variación anual (%) de los garajes por años en España</w:t>
      </w: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14:anchorId="4E9592FC" wp14:editId="5B34AA7E">
            <wp:extent cx="5318593" cy="2400851"/>
            <wp:effectExtent l="0" t="0" r="0" b="0"/>
            <wp:docPr id="2070805670" name="Gráfico 20708056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2DB3A28" w14:textId="77777777" w:rsidR="009737A2"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lastRenderedPageBreak/>
        <w:t xml:space="preserve">Así, España </w:t>
      </w:r>
      <w:r>
        <w:rPr>
          <w:rFonts w:ascii="Open Sans" w:eastAsia="Open Sans" w:hAnsi="Open Sans" w:cs="Open Sans"/>
          <w:b/>
          <w:bCs/>
          <w:color w:val="000000"/>
        </w:rPr>
        <w:t>ha pasado de una variación interanual del 10,2% de diciembre de 2024 al 1,7% detectado en el mismo periodo de 2025.</w:t>
      </w:r>
      <w:r>
        <w:rPr>
          <w:rFonts w:ascii="Open Sans" w:eastAsia="Open Sans" w:hAnsi="Open Sans" w:cs="Open Sans"/>
          <w:color w:val="000000"/>
        </w:rPr>
        <w:t xml:space="preserve"> En los últimos 12 meses analizados el precio de la vivienda ha pasado de los 13.770 euros de diciembre de 2024 a los 14.011 euros de </w:t>
      </w:r>
      <w:r>
        <w:rPr>
          <w:rFonts w:ascii="Open Sans" w:eastAsia="Open Sans" w:hAnsi="Open Sans" w:cs="Open Sans"/>
          <w:color w:val="000000"/>
          <w:sz w:val="22"/>
          <w:szCs w:val="22"/>
        </w:rPr>
        <w:t xml:space="preserve">diciembre </w:t>
      </w:r>
      <w:r>
        <w:rPr>
          <w:rFonts w:ascii="Open Sans" w:eastAsia="Open Sans" w:hAnsi="Open Sans" w:cs="Open Sans"/>
          <w:color w:val="000000"/>
        </w:rPr>
        <w:t xml:space="preserve">de 2025. </w:t>
      </w:r>
    </w:p>
    <w:p w14:paraId="2F52C1D6" w14:textId="77777777" w:rsidR="009737A2" w:rsidRDefault="009737A2">
      <w:pPr>
        <w:spacing w:line="276" w:lineRule="auto"/>
        <w:ind w:right="-567"/>
        <w:jc w:val="both"/>
        <w:rPr>
          <w:rFonts w:ascii="National" w:eastAsia="National" w:hAnsi="National" w:cs="National"/>
          <w:b/>
          <w:bCs/>
          <w:color w:val="303AB2"/>
          <w:sz w:val="28"/>
          <w:szCs w:val="28"/>
        </w:rPr>
      </w:pPr>
    </w:p>
    <w:p w14:paraId="14E2F627" w14:textId="77777777" w:rsidR="009737A2" w:rsidRDefault="00000000">
      <w:pPr>
        <w:spacing w:line="276" w:lineRule="auto"/>
        <w:ind w:right="-567"/>
        <w:jc w:val="center"/>
        <w:rPr>
          <w:rFonts w:ascii="Open Sans" w:eastAsia="Open Sans" w:hAnsi="Open Sans" w:cs="Open Sans"/>
          <w:color w:val="000000"/>
        </w:rPr>
      </w:pPr>
      <w:r>
        <w:rPr>
          <w:rFonts w:ascii="National" w:eastAsia="National" w:hAnsi="National" w:cs="National"/>
          <w:b/>
          <w:bCs/>
          <w:color w:val="303AB2"/>
          <w:sz w:val="28"/>
          <w:szCs w:val="28"/>
        </w:rPr>
        <w:t>CCAA con precio en por años (diciembre)</w:t>
      </w:r>
    </w:p>
    <w:p w14:paraId="620A049E" w14:textId="77777777" w:rsidR="009737A2" w:rsidRDefault="00000000">
      <w:pPr>
        <w:spacing w:line="276" w:lineRule="auto"/>
        <w:ind w:right="-567"/>
        <w:jc w:val="both"/>
        <w:rPr>
          <w:rFonts w:ascii="National" w:eastAsia="National" w:hAnsi="National" w:cs="National"/>
          <w:b/>
          <w:bCs/>
          <w:color w:val="303AB2"/>
          <w:sz w:val="28"/>
          <w:szCs w:val="28"/>
        </w:rPr>
      </w:pPr>
      <w:r>
        <w:rPr>
          <w:noProof/>
        </w:rPr>
        <w:drawing>
          <wp:inline distT="0" distB="0" distL="0" distR="0" wp14:anchorId="0E7D9D4F" wp14:editId="0408AB02">
            <wp:extent cx="5715132" cy="2691442"/>
            <wp:effectExtent l="0" t="0" r="0" b="0"/>
            <wp:docPr id="2070805672" name="Gráfico 2070805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560020F" w14:textId="77777777" w:rsidR="009737A2" w:rsidRDefault="00000000">
      <w:pPr>
        <w:pBdr>
          <w:top w:val="nil"/>
          <w:left w:val="nil"/>
          <w:bottom w:val="nil"/>
          <w:right w:val="nil"/>
          <w:between w:val="nil"/>
        </w:pBdr>
        <w:spacing w:line="276" w:lineRule="auto"/>
        <w:ind w:right="-574"/>
        <w:jc w:val="center"/>
        <w:rPr>
          <w:rFonts w:ascii="National" w:eastAsia="National" w:hAnsi="National" w:cs="National"/>
          <w:b/>
          <w:bCs/>
          <w:color w:val="303AB2"/>
          <w:sz w:val="28"/>
          <w:szCs w:val="28"/>
        </w:rPr>
      </w:pPr>
      <w:r>
        <w:rPr>
          <w:rFonts w:ascii="National" w:eastAsia="National" w:hAnsi="National" w:cs="National"/>
          <w:b/>
          <w:bCs/>
          <w:color w:val="303AB2"/>
          <w:sz w:val="28"/>
          <w:szCs w:val="28"/>
        </w:rPr>
        <w:t>CCAA con precio y porcentaje anual 2025 (%)</w:t>
      </w:r>
      <w:r>
        <w:rPr>
          <w:rFonts w:ascii="National" w:eastAsia="National" w:hAnsi="National" w:cs="National"/>
          <w:b/>
          <w:bCs/>
          <w:color w:val="FF0000"/>
          <w:sz w:val="28"/>
          <w:szCs w:val="28"/>
        </w:rPr>
        <w:t xml:space="preserve"> </w:t>
      </w:r>
      <w:r>
        <w:rPr>
          <w:rFonts w:ascii="National" w:eastAsia="National" w:hAnsi="National" w:cs="National"/>
          <w:b/>
          <w:bCs/>
          <w:color w:val="303AB2"/>
          <w:sz w:val="28"/>
          <w:szCs w:val="28"/>
        </w:rPr>
        <w:t>de garajes</w:t>
      </w:r>
    </w:p>
    <w:p w14:paraId="3F3BB910" w14:textId="77777777" w:rsidR="009737A2" w:rsidRDefault="009737A2">
      <w:pPr>
        <w:pBdr>
          <w:top w:val="nil"/>
          <w:left w:val="nil"/>
          <w:bottom w:val="nil"/>
          <w:right w:val="nil"/>
          <w:between w:val="nil"/>
        </w:pBdr>
        <w:spacing w:line="276" w:lineRule="auto"/>
        <w:ind w:right="-574"/>
        <w:jc w:val="center"/>
        <w:rPr>
          <w:rFonts w:ascii="National" w:eastAsia="National" w:hAnsi="National" w:cs="National"/>
          <w:b/>
          <w:bCs/>
          <w:color w:val="303AB2"/>
          <w:sz w:val="16"/>
          <w:szCs w:val="16"/>
        </w:rPr>
      </w:pPr>
    </w:p>
    <w:tbl>
      <w:tblPr>
        <w:tblStyle w:val="a"/>
        <w:tblW w:w="8992" w:type="dxa"/>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2713"/>
        <w:gridCol w:w="2135"/>
        <w:gridCol w:w="2135"/>
        <w:gridCol w:w="2009"/>
      </w:tblGrid>
      <w:tr w:rsidR="009737A2" w14:paraId="57D17EDA" w14:textId="77777777" w:rsidTr="009737A2">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center"/>
          </w:tcPr>
          <w:p w14:paraId="71377CD1" w14:textId="77777777" w:rsidR="009737A2" w:rsidRDefault="00000000">
            <w:pPr>
              <w:rPr>
                <w:rFonts w:ascii="Open Sans" w:eastAsia="Open Sans" w:hAnsi="Open Sans" w:cs="Open Sans"/>
                <w:sz w:val="22"/>
                <w:szCs w:val="22"/>
              </w:rPr>
            </w:pPr>
            <w:bookmarkStart w:id="0" w:name="_heading=h.owa2k9ryddt3" w:colFirst="0" w:colLast="0"/>
            <w:bookmarkEnd w:id="0"/>
            <w:r>
              <w:rPr>
                <w:rFonts w:ascii="Open Sans" w:eastAsia="Open Sans" w:hAnsi="Open Sans" w:cs="Open Sans"/>
                <w:b w:val="0"/>
                <w:bCs w:val="0"/>
                <w:sz w:val="22"/>
                <w:szCs w:val="22"/>
              </w:rPr>
              <w:t>CCAA</w:t>
            </w:r>
          </w:p>
        </w:tc>
        <w:tc>
          <w:tcPr>
            <w:tcW w:w="2135" w:type="dxa"/>
            <w:shd w:val="clear" w:color="auto" w:fill="8496B0"/>
            <w:vAlign w:val="center"/>
          </w:tcPr>
          <w:p w14:paraId="78BC4E3D" w14:textId="77777777" w:rsidR="009737A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 xml:space="preserve">Precio medio </w:t>
            </w:r>
          </w:p>
          <w:p w14:paraId="6B128526" w14:textId="77777777" w:rsidR="009737A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Garaje 2024</w:t>
            </w:r>
          </w:p>
        </w:tc>
        <w:tc>
          <w:tcPr>
            <w:tcW w:w="2135" w:type="dxa"/>
            <w:shd w:val="clear" w:color="auto" w:fill="8496B0"/>
            <w:vAlign w:val="center"/>
          </w:tcPr>
          <w:p w14:paraId="408B00E9" w14:textId="77777777" w:rsidR="009737A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 xml:space="preserve">Precio medio </w:t>
            </w:r>
          </w:p>
          <w:p w14:paraId="2FAEB919" w14:textId="77777777" w:rsidR="009737A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Garaje 2025</w:t>
            </w:r>
          </w:p>
        </w:tc>
        <w:tc>
          <w:tcPr>
            <w:tcW w:w="2009" w:type="dxa"/>
            <w:shd w:val="clear" w:color="auto" w:fill="8496B0"/>
            <w:vAlign w:val="center"/>
          </w:tcPr>
          <w:p w14:paraId="5CFFAE60" w14:textId="77777777" w:rsidR="009737A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anual Garajes 2025</w:t>
            </w:r>
          </w:p>
        </w:tc>
      </w:tr>
      <w:tr w:rsidR="009737A2" w14:paraId="3A99E344" w14:textId="77777777" w:rsidTr="009737A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1AFC5334" w14:textId="77777777" w:rsidR="009737A2" w:rsidRDefault="00000000">
            <w:pPr>
              <w:rPr>
                <w:rFonts w:ascii="Open Sans" w:eastAsia="Open Sans" w:hAnsi="Open Sans" w:cs="Open Sans"/>
                <w:color w:val="FFFFFF"/>
                <w:sz w:val="22"/>
                <w:szCs w:val="22"/>
              </w:rPr>
            </w:pPr>
            <w:r>
              <w:rPr>
                <w:rFonts w:ascii="Open Sans" w:eastAsia="Open Sans" w:hAnsi="Open Sans" w:cs="Open Sans"/>
                <w:b w:val="0"/>
                <w:bCs w:val="0"/>
                <w:color w:val="FFFFFF"/>
                <w:sz w:val="22"/>
                <w:szCs w:val="22"/>
              </w:rPr>
              <w:t>Canarias</w:t>
            </w:r>
          </w:p>
        </w:tc>
        <w:tc>
          <w:tcPr>
            <w:tcW w:w="2135" w:type="dxa"/>
            <w:shd w:val="clear" w:color="auto" w:fill="auto"/>
            <w:vAlign w:val="bottom"/>
          </w:tcPr>
          <w:p w14:paraId="5D10BBD8"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12.887 €</w:t>
            </w:r>
          </w:p>
        </w:tc>
        <w:tc>
          <w:tcPr>
            <w:tcW w:w="2135" w:type="dxa"/>
            <w:shd w:val="clear" w:color="auto" w:fill="auto"/>
            <w:vAlign w:val="bottom"/>
          </w:tcPr>
          <w:p w14:paraId="66033205"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15.520 €</w:t>
            </w:r>
          </w:p>
        </w:tc>
        <w:tc>
          <w:tcPr>
            <w:tcW w:w="2009" w:type="dxa"/>
            <w:shd w:val="clear" w:color="auto" w:fill="auto"/>
            <w:vAlign w:val="bottom"/>
          </w:tcPr>
          <w:p w14:paraId="23A2E0E1"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20,4%</w:t>
            </w:r>
          </w:p>
        </w:tc>
      </w:tr>
      <w:tr w:rsidR="009737A2" w14:paraId="6D955FE3" w14:textId="77777777" w:rsidTr="009737A2">
        <w:trPr>
          <w:trHeight w:val="273"/>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3CB08524" w14:textId="77777777" w:rsidR="009737A2" w:rsidRDefault="00000000">
            <w:pPr>
              <w:rPr>
                <w:rFonts w:ascii="Open Sans" w:eastAsia="Open Sans" w:hAnsi="Open Sans" w:cs="Open Sans"/>
                <w:color w:val="FFFFFF"/>
                <w:sz w:val="22"/>
                <w:szCs w:val="22"/>
              </w:rPr>
            </w:pPr>
            <w:r>
              <w:rPr>
                <w:rFonts w:ascii="Open Sans" w:eastAsia="Open Sans" w:hAnsi="Open Sans" w:cs="Open Sans"/>
                <w:b w:val="0"/>
                <w:bCs w:val="0"/>
                <w:color w:val="FFFFFF"/>
                <w:sz w:val="22"/>
                <w:szCs w:val="22"/>
              </w:rPr>
              <w:t>La Rioja</w:t>
            </w:r>
          </w:p>
        </w:tc>
        <w:tc>
          <w:tcPr>
            <w:tcW w:w="2135" w:type="dxa"/>
            <w:shd w:val="clear" w:color="auto" w:fill="D5DCE4"/>
            <w:vAlign w:val="bottom"/>
          </w:tcPr>
          <w:p w14:paraId="5AF07CF5"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11.112 €</w:t>
            </w:r>
          </w:p>
        </w:tc>
        <w:tc>
          <w:tcPr>
            <w:tcW w:w="2135" w:type="dxa"/>
            <w:shd w:val="clear" w:color="auto" w:fill="D5DCE4"/>
            <w:vAlign w:val="bottom"/>
          </w:tcPr>
          <w:p w14:paraId="56F6BCC3"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12.284 €</w:t>
            </w:r>
          </w:p>
        </w:tc>
        <w:tc>
          <w:tcPr>
            <w:tcW w:w="2009" w:type="dxa"/>
            <w:shd w:val="clear" w:color="auto" w:fill="D5DCE4"/>
            <w:vAlign w:val="bottom"/>
          </w:tcPr>
          <w:p w14:paraId="52B4650C"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10,5%</w:t>
            </w:r>
          </w:p>
        </w:tc>
      </w:tr>
      <w:tr w:rsidR="009737A2" w14:paraId="094014C7" w14:textId="77777777" w:rsidTr="009737A2">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168C8233" w14:textId="77777777" w:rsidR="009737A2" w:rsidRDefault="00000000">
            <w:pPr>
              <w:rPr>
                <w:rFonts w:ascii="Open Sans" w:eastAsia="Open Sans" w:hAnsi="Open Sans" w:cs="Open Sans"/>
                <w:color w:val="FFFFFF"/>
                <w:sz w:val="22"/>
                <w:szCs w:val="22"/>
              </w:rPr>
            </w:pPr>
            <w:r>
              <w:rPr>
                <w:rFonts w:ascii="Open Sans" w:eastAsia="Open Sans" w:hAnsi="Open Sans" w:cs="Open Sans"/>
                <w:b w:val="0"/>
                <w:bCs w:val="0"/>
                <w:color w:val="FFFFFF"/>
                <w:sz w:val="22"/>
                <w:szCs w:val="22"/>
              </w:rPr>
              <w:t>Región de Murcia</w:t>
            </w:r>
          </w:p>
        </w:tc>
        <w:tc>
          <w:tcPr>
            <w:tcW w:w="2135" w:type="dxa"/>
            <w:shd w:val="clear" w:color="auto" w:fill="auto"/>
            <w:vAlign w:val="bottom"/>
          </w:tcPr>
          <w:p w14:paraId="276BA663"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9.150 €</w:t>
            </w:r>
          </w:p>
        </w:tc>
        <w:tc>
          <w:tcPr>
            <w:tcW w:w="2135" w:type="dxa"/>
            <w:shd w:val="clear" w:color="auto" w:fill="auto"/>
            <w:vAlign w:val="bottom"/>
          </w:tcPr>
          <w:p w14:paraId="67DADEDB"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9.792 €</w:t>
            </w:r>
          </w:p>
        </w:tc>
        <w:tc>
          <w:tcPr>
            <w:tcW w:w="2009" w:type="dxa"/>
            <w:shd w:val="clear" w:color="auto" w:fill="auto"/>
            <w:vAlign w:val="bottom"/>
          </w:tcPr>
          <w:p w14:paraId="52A46EEB"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7,0%</w:t>
            </w:r>
          </w:p>
        </w:tc>
      </w:tr>
      <w:tr w:rsidR="009737A2" w14:paraId="1C7C6BD9" w14:textId="77777777" w:rsidTr="009737A2">
        <w:trPr>
          <w:trHeight w:val="182"/>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7A69BCE1" w14:textId="77777777" w:rsidR="009737A2" w:rsidRDefault="00000000">
            <w:pPr>
              <w:rPr>
                <w:rFonts w:ascii="Open Sans" w:eastAsia="Open Sans" w:hAnsi="Open Sans" w:cs="Open Sans"/>
                <w:color w:val="FFFFFF"/>
                <w:sz w:val="22"/>
                <w:szCs w:val="22"/>
              </w:rPr>
            </w:pPr>
            <w:r>
              <w:rPr>
                <w:rFonts w:ascii="Open Sans" w:eastAsia="Open Sans" w:hAnsi="Open Sans" w:cs="Open Sans"/>
                <w:b w:val="0"/>
                <w:bCs w:val="0"/>
                <w:color w:val="FFFFFF"/>
                <w:sz w:val="22"/>
                <w:szCs w:val="22"/>
              </w:rPr>
              <w:t>Castilla y León</w:t>
            </w:r>
          </w:p>
        </w:tc>
        <w:tc>
          <w:tcPr>
            <w:tcW w:w="2135" w:type="dxa"/>
            <w:shd w:val="clear" w:color="auto" w:fill="D5DCE4"/>
            <w:vAlign w:val="bottom"/>
          </w:tcPr>
          <w:p w14:paraId="457FF27B"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14.448 €</w:t>
            </w:r>
          </w:p>
        </w:tc>
        <w:tc>
          <w:tcPr>
            <w:tcW w:w="2135" w:type="dxa"/>
            <w:shd w:val="clear" w:color="auto" w:fill="D5DCE4"/>
            <w:vAlign w:val="bottom"/>
          </w:tcPr>
          <w:p w14:paraId="58864481"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15.413 €</w:t>
            </w:r>
          </w:p>
        </w:tc>
        <w:tc>
          <w:tcPr>
            <w:tcW w:w="2009" w:type="dxa"/>
            <w:shd w:val="clear" w:color="auto" w:fill="D5DCE4"/>
            <w:vAlign w:val="bottom"/>
          </w:tcPr>
          <w:p w14:paraId="31FEF151"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6,7%</w:t>
            </w:r>
          </w:p>
        </w:tc>
      </w:tr>
      <w:tr w:rsidR="009737A2" w14:paraId="0C8233D6" w14:textId="77777777" w:rsidTr="009737A2">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6C4218E1" w14:textId="77777777" w:rsidR="009737A2" w:rsidRDefault="00000000">
            <w:pPr>
              <w:rPr>
                <w:rFonts w:ascii="Open Sans" w:eastAsia="Open Sans" w:hAnsi="Open Sans" w:cs="Open Sans"/>
                <w:color w:val="FFFFFF"/>
                <w:sz w:val="22"/>
                <w:szCs w:val="22"/>
              </w:rPr>
            </w:pPr>
            <w:r>
              <w:rPr>
                <w:rFonts w:ascii="Open Sans" w:eastAsia="Open Sans" w:hAnsi="Open Sans" w:cs="Open Sans"/>
                <w:b w:val="0"/>
                <w:bCs w:val="0"/>
                <w:color w:val="FFFFFF"/>
                <w:sz w:val="22"/>
                <w:szCs w:val="22"/>
              </w:rPr>
              <w:t>Madrid</w:t>
            </w:r>
          </w:p>
        </w:tc>
        <w:tc>
          <w:tcPr>
            <w:tcW w:w="2135" w:type="dxa"/>
            <w:shd w:val="clear" w:color="auto" w:fill="auto"/>
            <w:vAlign w:val="bottom"/>
          </w:tcPr>
          <w:p w14:paraId="3EC160A8"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12.746 €</w:t>
            </w:r>
          </w:p>
        </w:tc>
        <w:tc>
          <w:tcPr>
            <w:tcW w:w="2135" w:type="dxa"/>
            <w:shd w:val="clear" w:color="auto" w:fill="auto"/>
            <w:vAlign w:val="bottom"/>
          </w:tcPr>
          <w:p w14:paraId="1BA5DCAF"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13.539 €</w:t>
            </w:r>
          </w:p>
        </w:tc>
        <w:tc>
          <w:tcPr>
            <w:tcW w:w="2009" w:type="dxa"/>
            <w:shd w:val="clear" w:color="auto" w:fill="auto"/>
            <w:vAlign w:val="bottom"/>
          </w:tcPr>
          <w:p w14:paraId="450FDC46"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6,2%</w:t>
            </w:r>
          </w:p>
        </w:tc>
      </w:tr>
      <w:tr w:rsidR="009737A2" w14:paraId="053D7B0D" w14:textId="77777777" w:rsidTr="009737A2">
        <w:trPr>
          <w:trHeight w:val="289"/>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7A0B5A60" w14:textId="77777777" w:rsidR="009737A2" w:rsidRDefault="00000000">
            <w:pPr>
              <w:rPr>
                <w:rFonts w:ascii="Open Sans" w:eastAsia="Open Sans" w:hAnsi="Open Sans" w:cs="Open Sans"/>
                <w:color w:val="FFFFFF"/>
                <w:sz w:val="22"/>
                <w:szCs w:val="22"/>
              </w:rPr>
            </w:pPr>
            <w:r>
              <w:rPr>
                <w:rFonts w:ascii="Open Sans" w:eastAsia="Open Sans" w:hAnsi="Open Sans" w:cs="Open Sans"/>
                <w:b w:val="0"/>
                <w:bCs w:val="0"/>
                <w:color w:val="FFFFFF"/>
                <w:sz w:val="22"/>
                <w:szCs w:val="22"/>
              </w:rPr>
              <w:t>Baleares</w:t>
            </w:r>
          </w:p>
        </w:tc>
        <w:tc>
          <w:tcPr>
            <w:tcW w:w="2135" w:type="dxa"/>
            <w:shd w:val="clear" w:color="auto" w:fill="D5DCE4"/>
            <w:vAlign w:val="bottom"/>
          </w:tcPr>
          <w:p w14:paraId="20971993"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18.683 €</w:t>
            </w:r>
          </w:p>
        </w:tc>
        <w:tc>
          <w:tcPr>
            <w:tcW w:w="2135" w:type="dxa"/>
            <w:shd w:val="clear" w:color="auto" w:fill="D5DCE4"/>
            <w:vAlign w:val="bottom"/>
          </w:tcPr>
          <w:p w14:paraId="5FBCEA40"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19.712 €</w:t>
            </w:r>
          </w:p>
        </w:tc>
        <w:tc>
          <w:tcPr>
            <w:tcW w:w="2009" w:type="dxa"/>
            <w:shd w:val="clear" w:color="auto" w:fill="D5DCE4"/>
            <w:vAlign w:val="bottom"/>
          </w:tcPr>
          <w:p w14:paraId="6D738EE3"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5,5%</w:t>
            </w:r>
          </w:p>
        </w:tc>
      </w:tr>
      <w:tr w:rsidR="009737A2" w14:paraId="2E42462A" w14:textId="77777777" w:rsidTr="009737A2">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22A65A72" w14:textId="77777777" w:rsidR="009737A2" w:rsidRDefault="00000000">
            <w:pPr>
              <w:rPr>
                <w:rFonts w:ascii="Open Sans" w:eastAsia="Open Sans" w:hAnsi="Open Sans" w:cs="Open Sans"/>
                <w:color w:val="FFFFFF"/>
                <w:sz w:val="22"/>
                <w:szCs w:val="22"/>
              </w:rPr>
            </w:pPr>
            <w:r>
              <w:rPr>
                <w:rFonts w:ascii="Open Sans" w:eastAsia="Open Sans" w:hAnsi="Open Sans" w:cs="Open Sans"/>
                <w:b w:val="0"/>
                <w:bCs w:val="0"/>
                <w:color w:val="FFFFFF"/>
                <w:sz w:val="22"/>
                <w:szCs w:val="22"/>
              </w:rPr>
              <w:t>Galicia</w:t>
            </w:r>
          </w:p>
        </w:tc>
        <w:tc>
          <w:tcPr>
            <w:tcW w:w="2135" w:type="dxa"/>
            <w:shd w:val="clear" w:color="auto" w:fill="auto"/>
            <w:vAlign w:val="bottom"/>
          </w:tcPr>
          <w:p w14:paraId="62E88E25"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15.673 €</w:t>
            </w:r>
          </w:p>
        </w:tc>
        <w:tc>
          <w:tcPr>
            <w:tcW w:w="2135" w:type="dxa"/>
            <w:shd w:val="clear" w:color="auto" w:fill="auto"/>
            <w:vAlign w:val="bottom"/>
          </w:tcPr>
          <w:p w14:paraId="0EA20D44"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16.517 €</w:t>
            </w:r>
          </w:p>
        </w:tc>
        <w:tc>
          <w:tcPr>
            <w:tcW w:w="2009" w:type="dxa"/>
            <w:shd w:val="clear" w:color="auto" w:fill="auto"/>
            <w:vAlign w:val="bottom"/>
          </w:tcPr>
          <w:p w14:paraId="79E3ABC9"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5,4%</w:t>
            </w:r>
          </w:p>
        </w:tc>
      </w:tr>
      <w:tr w:rsidR="009737A2" w14:paraId="1B17F73A" w14:textId="77777777" w:rsidTr="009737A2">
        <w:trPr>
          <w:trHeight w:val="267"/>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3F8A94BF" w14:textId="77777777" w:rsidR="009737A2" w:rsidRDefault="00000000">
            <w:pPr>
              <w:rPr>
                <w:rFonts w:ascii="Open Sans" w:eastAsia="Open Sans" w:hAnsi="Open Sans" w:cs="Open Sans"/>
                <w:color w:val="FFFFFF"/>
                <w:sz w:val="22"/>
                <w:szCs w:val="22"/>
              </w:rPr>
            </w:pPr>
            <w:r>
              <w:rPr>
                <w:rFonts w:ascii="Open Sans" w:eastAsia="Open Sans" w:hAnsi="Open Sans" w:cs="Open Sans"/>
                <w:b w:val="0"/>
                <w:bCs w:val="0"/>
                <w:color w:val="FFFFFF"/>
                <w:sz w:val="22"/>
                <w:szCs w:val="22"/>
              </w:rPr>
              <w:t>Cantabria</w:t>
            </w:r>
          </w:p>
        </w:tc>
        <w:tc>
          <w:tcPr>
            <w:tcW w:w="2135" w:type="dxa"/>
            <w:shd w:val="clear" w:color="auto" w:fill="D5DCE4"/>
            <w:vAlign w:val="bottom"/>
          </w:tcPr>
          <w:p w14:paraId="427934E9"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16.644 €</w:t>
            </w:r>
          </w:p>
        </w:tc>
        <w:tc>
          <w:tcPr>
            <w:tcW w:w="2135" w:type="dxa"/>
            <w:shd w:val="clear" w:color="auto" w:fill="D5DCE4"/>
            <w:vAlign w:val="bottom"/>
          </w:tcPr>
          <w:p w14:paraId="3EEF9A19"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17.522 €</w:t>
            </w:r>
          </w:p>
        </w:tc>
        <w:tc>
          <w:tcPr>
            <w:tcW w:w="2009" w:type="dxa"/>
            <w:shd w:val="clear" w:color="auto" w:fill="D5DCE4"/>
            <w:vAlign w:val="bottom"/>
          </w:tcPr>
          <w:p w14:paraId="08F7878E"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5,3%</w:t>
            </w:r>
          </w:p>
        </w:tc>
      </w:tr>
      <w:tr w:rsidR="009737A2" w14:paraId="488D5E8E" w14:textId="77777777" w:rsidTr="009737A2">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01743F18" w14:textId="77777777" w:rsidR="009737A2" w:rsidRDefault="00000000">
            <w:pPr>
              <w:rPr>
                <w:rFonts w:ascii="Open Sans" w:eastAsia="Open Sans" w:hAnsi="Open Sans" w:cs="Open Sans"/>
                <w:color w:val="FFFFFF"/>
                <w:sz w:val="22"/>
                <w:szCs w:val="22"/>
              </w:rPr>
            </w:pPr>
            <w:proofErr w:type="spellStart"/>
            <w:r>
              <w:rPr>
                <w:rFonts w:ascii="Open Sans" w:eastAsia="Open Sans" w:hAnsi="Open Sans" w:cs="Open Sans"/>
                <w:b w:val="0"/>
                <w:bCs w:val="0"/>
                <w:color w:val="FFFFFF"/>
                <w:sz w:val="22"/>
                <w:szCs w:val="22"/>
              </w:rPr>
              <w:t>Comunitat</w:t>
            </w:r>
            <w:proofErr w:type="spellEnd"/>
            <w:r>
              <w:rPr>
                <w:rFonts w:ascii="Open Sans" w:eastAsia="Open Sans" w:hAnsi="Open Sans" w:cs="Open Sans"/>
                <w:b w:val="0"/>
                <w:bCs w:val="0"/>
                <w:color w:val="FFFFFF"/>
                <w:sz w:val="22"/>
                <w:szCs w:val="22"/>
              </w:rPr>
              <w:t xml:space="preserve"> Valenciana</w:t>
            </w:r>
          </w:p>
        </w:tc>
        <w:tc>
          <w:tcPr>
            <w:tcW w:w="2135" w:type="dxa"/>
            <w:shd w:val="clear" w:color="auto" w:fill="auto"/>
            <w:vAlign w:val="bottom"/>
          </w:tcPr>
          <w:p w14:paraId="63A53915"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11.404 €</w:t>
            </w:r>
          </w:p>
        </w:tc>
        <w:tc>
          <w:tcPr>
            <w:tcW w:w="2135" w:type="dxa"/>
            <w:shd w:val="clear" w:color="auto" w:fill="auto"/>
            <w:vAlign w:val="bottom"/>
          </w:tcPr>
          <w:p w14:paraId="548BD1C4"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11.921 €</w:t>
            </w:r>
          </w:p>
        </w:tc>
        <w:tc>
          <w:tcPr>
            <w:tcW w:w="2009" w:type="dxa"/>
            <w:shd w:val="clear" w:color="auto" w:fill="auto"/>
            <w:vAlign w:val="bottom"/>
          </w:tcPr>
          <w:p w14:paraId="12FB2A2B"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4,5%</w:t>
            </w:r>
          </w:p>
        </w:tc>
      </w:tr>
      <w:tr w:rsidR="009737A2" w14:paraId="7CB84193" w14:textId="77777777" w:rsidTr="009737A2">
        <w:trPr>
          <w:trHeight w:val="111"/>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72714A7F" w14:textId="77777777" w:rsidR="009737A2" w:rsidRDefault="00000000">
            <w:pPr>
              <w:rPr>
                <w:rFonts w:ascii="Open Sans" w:eastAsia="Open Sans" w:hAnsi="Open Sans" w:cs="Open Sans"/>
                <w:color w:val="FFFFFF"/>
                <w:sz w:val="22"/>
                <w:szCs w:val="22"/>
              </w:rPr>
            </w:pPr>
            <w:r>
              <w:rPr>
                <w:rFonts w:ascii="Open Sans" w:eastAsia="Open Sans" w:hAnsi="Open Sans" w:cs="Open Sans"/>
                <w:b w:val="0"/>
                <w:bCs w:val="0"/>
                <w:color w:val="FFFFFF"/>
                <w:sz w:val="22"/>
                <w:szCs w:val="22"/>
              </w:rPr>
              <w:t>Andalucía</w:t>
            </w:r>
          </w:p>
        </w:tc>
        <w:tc>
          <w:tcPr>
            <w:tcW w:w="2135" w:type="dxa"/>
            <w:shd w:val="clear" w:color="auto" w:fill="D5DCE4"/>
            <w:vAlign w:val="bottom"/>
          </w:tcPr>
          <w:p w14:paraId="7F43CCF7"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15.057 €</w:t>
            </w:r>
          </w:p>
        </w:tc>
        <w:tc>
          <w:tcPr>
            <w:tcW w:w="2135" w:type="dxa"/>
            <w:shd w:val="clear" w:color="auto" w:fill="D5DCE4"/>
            <w:vAlign w:val="bottom"/>
          </w:tcPr>
          <w:p w14:paraId="671B100C"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15.561 €</w:t>
            </w:r>
          </w:p>
        </w:tc>
        <w:tc>
          <w:tcPr>
            <w:tcW w:w="2009" w:type="dxa"/>
            <w:shd w:val="clear" w:color="auto" w:fill="D5DCE4"/>
            <w:vAlign w:val="bottom"/>
          </w:tcPr>
          <w:p w14:paraId="144380FE"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3,3%</w:t>
            </w:r>
          </w:p>
        </w:tc>
      </w:tr>
      <w:tr w:rsidR="009737A2" w14:paraId="41EA69AC" w14:textId="77777777" w:rsidTr="009737A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43B8922C" w14:textId="77777777" w:rsidR="009737A2" w:rsidRDefault="00000000">
            <w:pPr>
              <w:rPr>
                <w:rFonts w:ascii="Open Sans" w:eastAsia="Open Sans" w:hAnsi="Open Sans" w:cs="Open Sans"/>
                <w:color w:val="FFFFFF"/>
                <w:sz w:val="22"/>
                <w:szCs w:val="22"/>
              </w:rPr>
            </w:pPr>
            <w:r>
              <w:rPr>
                <w:rFonts w:ascii="Open Sans" w:eastAsia="Open Sans" w:hAnsi="Open Sans" w:cs="Open Sans"/>
                <w:b w:val="0"/>
                <w:bCs w:val="0"/>
                <w:color w:val="FFFFFF"/>
                <w:sz w:val="22"/>
                <w:szCs w:val="22"/>
              </w:rPr>
              <w:t>Extremadura</w:t>
            </w:r>
          </w:p>
        </w:tc>
        <w:tc>
          <w:tcPr>
            <w:tcW w:w="2135" w:type="dxa"/>
            <w:shd w:val="clear" w:color="auto" w:fill="auto"/>
            <w:vAlign w:val="bottom"/>
          </w:tcPr>
          <w:p w14:paraId="1ACC7FDF"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14.763 €</w:t>
            </w:r>
          </w:p>
        </w:tc>
        <w:tc>
          <w:tcPr>
            <w:tcW w:w="2135" w:type="dxa"/>
            <w:shd w:val="clear" w:color="auto" w:fill="auto"/>
            <w:vAlign w:val="bottom"/>
          </w:tcPr>
          <w:p w14:paraId="32525857"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14.921 €</w:t>
            </w:r>
          </w:p>
        </w:tc>
        <w:tc>
          <w:tcPr>
            <w:tcW w:w="2009" w:type="dxa"/>
            <w:shd w:val="clear" w:color="auto" w:fill="auto"/>
            <w:vAlign w:val="bottom"/>
          </w:tcPr>
          <w:p w14:paraId="1C13E2A4"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1,1%</w:t>
            </w:r>
          </w:p>
        </w:tc>
      </w:tr>
      <w:tr w:rsidR="009737A2" w14:paraId="0E122536" w14:textId="77777777" w:rsidTr="009737A2">
        <w:trPr>
          <w:trHeight w:val="204"/>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58E4B8E2" w14:textId="77777777" w:rsidR="009737A2" w:rsidRDefault="00000000">
            <w:pPr>
              <w:rPr>
                <w:rFonts w:ascii="Open Sans" w:eastAsia="Open Sans" w:hAnsi="Open Sans" w:cs="Open Sans"/>
                <w:color w:val="FFFFFF"/>
                <w:sz w:val="22"/>
                <w:szCs w:val="22"/>
              </w:rPr>
            </w:pPr>
            <w:r>
              <w:rPr>
                <w:rFonts w:ascii="Open Sans" w:eastAsia="Open Sans" w:hAnsi="Open Sans" w:cs="Open Sans"/>
                <w:b w:val="0"/>
                <w:bCs w:val="0"/>
                <w:color w:val="FFFFFF"/>
                <w:sz w:val="22"/>
                <w:szCs w:val="22"/>
              </w:rPr>
              <w:t>Castilla-La Mancha</w:t>
            </w:r>
          </w:p>
        </w:tc>
        <w:tc>
          <w:tcPr>
            <w:tcW w:w="2135" w:type="dxa"/>
            <w:shd w:val="clear" w:color="auto" w:fill="D5DCE4"/>
            <w:vAlign w:val="bottom"/>
          </w:tcPr>
          <w:p w14:paraId="5995A84B"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9.786 €</w:t>
            </w:r>
          </w:p>
        </w:tc>
        <w:tc>
          <w:tcPr>
            <w:tcW w:w="2135" w:type="dxa"/>
            <w:shd w:val="clear" w:color="auto" w:fill="D5DCE4"/>
            <w:vAlign w:val="bottom"/>
          </w:tcPr>
          <w:p w14:paraId="5D661831"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9.876 €</w:t>
            </w:r>
          </w:p>
        </w:tc>
        <w:tc>
          <w:tcPr>
            <w:tcW w:w="2009" w:type="dxa"/>
            <w:shd w:val="clear" w:color="auto" w:fill="D5DCE4"/>
            <w:vAlign w:val="bottom"/>
          </w:tcPr>
          <w:p w14:paraId="30BAEC90"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0,9%</w:t>
            </w:r>
          </w:p>
        </w:tc>
      </w:tr>
      <w:tr w:rsidR="009737A2" w14:paraId="1E465F4A" w14:textId="77777777" w:rsidTr="009737A2">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692A3460" w14:textId="77777777" w:rsidR="009737A2" w:rsidRDefault="00000000">
            <w:pPr>
              <w:rPr>
                <w:rFonts w:ascii="Open Sans" w:eastAsia="Open Sans" w:hAnsi="Open Sans" w:cs="Open Sans"/>
                <w:color w:val="FFFFFF"/>
                <w:sz w:val="22"/>
                <w:szCs w:val="22"/>
              </w:rPr>
            </w:pPr>
            <w:r>
              <w:rPr>
                <w:rFonts w:ascii="Open Sans" w:eastAsia="Open Sans" w:hAnsi="Open Sans" w:cs="Open Sans"/>
                <w:b w:val="0"/>
                <w:bCs w:val="0"/>
                <w:color w:val="FFFFFF"/>
                <w:sz w:val="22"/>
                <w:szCs w:val="22"/>
              </w:rPr>
              <w:t>Navarra</w:t>
            </w:r>
          </w:p>
        </w:tc>
        <w:tc>
          <w:tcPr>
            <w:tcW w:w="2135" w:type="dxa"/>
            <w:shd w:val="clear" w:color="auto" w:fill="auto"/>
            <w:vAlign w:val="bottom"/>
          </w:tcPr>
          <w:p w14:paraId="132823B7"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13.664 €</w:t>
            </w:r>
          </w:p>
        </w:tc>
        <w:tc>
          <w:tcPr>
            <w:tcW w:w="2135" w:type="dxa"/>
            <w:shd w:val="clear" w:color="auto" w:fill="auto"/>
            <w:vAlign w:val="bottom"/>
          </w:tcPr>
          <w:p w14:paraId="05EED8FC"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13.748 €</w:t>
            </w:r>
          </w:p>
        </w:tc>
        <w:tc>
          <w:tcPr>
            <w:tcW w:w="2009" w:type="dxa"/>
            <w:shd w:val="clear" w:color="auto" w:fill="auto"/>
            <w:vAlign w:val="bottom"/>
          </w:tcPr>
          <w:p w14:paraId="3706E32F"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0,6%</w:t>
            </w:r>
          </w:p>
        </w:tc>
      </w:tr>
      <w:tr w:rsidR="009737A2" w14:paraId="2D04A76E" w14:textId="77777777" w:rsidTr="009737A2">
        <w:trPr>
          <w:trHeight w:val="142"/>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0CC24BDD" w14:textId="77777777" w:rsidR="009737A2" w:rsidRDefault="00000000">
            <w:pPr>
              <w:rPr>
                <w:rFonts w:ascii="Open Sans" w:eastAsia="Open Sans" w:hAnsi="Open Sans" w:cs="Open Sans"/>
                <w:color w:val="FFFFFF"/>
                <w:sz w:val="22"/>
                <w:szCs w:val="22"/>
              </w:rPr>
            </w:pPr>
            <w:r>
              <w:rPr>
                <w:rFonts w:ascii="Open Sans" w:eastAsia="Open Sans" w:hAnsi="Open Sans" w:cs="Open Sans"/>
                <w:b w:val="0"/>
                <w:bCs w:val="0"/>
                <w:color w:val="FFFFFF"/>
                <w:sz w:val="22"/>
                <w:szCs w:val="22"/>
              </w:rPr>
              <w:t>Cataluña</w:t>
            </w:r>
          </w:p>
        </w:tc>
        <w:tc>
          <w:tcPr>
            <w:tcW w:w="2135" w:type="dxa"/>
            <w:shd w:val="clear" w:color="auto" w:fill="D5DCE4"/>
            <w:vAlign w:val="bottom"/>
          </w:tcPr>
          <w:p w14:paraId="14E516AF"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13.852 €</w:t>
            </w:r>
          </w:p>
        </w:tc>
        <w:tc>
          <w:tcPr>
            <w:tcW w:w="2135" w:type="dxa"/>
            <w:shd w:val="clear" w:color="auto" w:fill="D5DCE4"/>
            <w:vAlign w:val="bottom"/>
          </w:tcPr>
          <w:p w14:paraId="33A3F04C"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13.734 €</w:t>
            </w:r>
          </w:p>
        </w:tc>
        <w:tc>
          <w:tcPr>
            <w:tcW w:w="2009" w:type="dxa"/>
            <w:shd w:val="clear" w:color="auto" w:fill="D5DCE4"/>
            <w:vAlign w:val="bottom"/>
          </w:tcPr>
          <w:p w14:paraId="33465A58"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-0,8%</w:t>
            </w:r>
          </w:p>
        </w:tc>
      </w:tr>
      <w:tr w:rsidR="009737A2" w14:paraId="4DB4C117" w14:textId="77777777" w:rsidTr="009737A2">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2697E90D" w14:textId="77777777" w:rsidR="009737A2" w:rsidRDefault="00000000">
            <w:pPr>
              <w:rPr>
                <w:rFonts w:ascii="Open Sans" w:eastAsia="Open Sans" w:hAnsi="Open Sans" w:cs="Open Sans"/>
                <w:color w:val="FFFFFF"/>
                <w:sz w:val="22"/>
                <w:szCs w:val="22"/>
              </w:rPr>
            </w:pPr>
            <w:r>
              <w:rPr>
                <w:rFonts w:ascii="Open Sans" w:eastAsia="Open Sans" w:hAnsi="Open Sans" w:cs="Open Sans"/>
                <w:b w:val="0"/>
                <w:bCs w:val="0"/>
                <w:color w:val="FFFFFF"/>
                <w:sz w:val="22"/>
                <w:szCs w:val="22"/>
              </w:rPr>
              <w:t>País Vasco</w:t>
            </w:r>
          </w:p>
        </w:tc>
        <w:tc>
          <w:tcPr>
            <w:tcW w:w="2135" w:type="dxa"/>
            <w:shd w:val="clear" w:color="auto" w:fill="auto"/>
            <w:vAlign w:val="bottom"/>
          </w:tcPr>
          <w:p w14:paraId="2CD45324"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21.097 €</w:t>
            </w:r>
          </w:p>
        </w:tc>
        <w:tc>
          <w:tcPr>
            <w:tcW w:w="2135" w:type="dxa"/>
            <w:shd w:val="clear" w:color="auto" w:fill="auto"/>
            <w:vAlign w:val="bottom"/>
          </w:tcPr>
          <w:p w14:paraId="6886677D"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20.635 €</w:t>
            </w:r>
          </w:p>
        </w:tc>
        <w:tc>
          <w:tcPr>
            <w:tcW w:w="2009" w:type="dxa"/>
            <w:shd w:val="clear" w:color="auto" w:fill="auto"/>
            <w:vAlign w:val="bottom"/>
          </w:tcPr>
          <w:p w14:paraId="073D1755"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-2,2%</w:t>
            </w:r>
          </w:p>
        </w:tc>
      </w:tr>
      <w:tr w:rsidR="009737A2" w14:paraId="27333E12" w14:textId="77777777" w:rsidTr="009737A2">
        <w:trPr>
          <w:trHeight w:val="63"/>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2A606573" w14:textId="77777777" w:rsidR="009737A2" w:rsidRDefault="00000000">
            <w:pPr>
              <w:rPr>
                <w:rFonts w:ascii="Open Sans" w:eastAsia="Open Sans" w:hAnsi="Open Sans" w:cs="Open Sans"/>
                <w:color w:val="FFFFFF"/>
                <w:sz w:val="22"/>
                <w:szCs w:val="22"/>
              </w:rPr>
            </w:pPr>
            <w:r>
              <w:rPr>
                <w:rFonts w:ascii="Open Sans" w:eastAsia="Open Sans" w:hAnsi="Open Sans" w:cs="Open Sans"/>
                <w:b w:val="0"/>
                <w:bCs w:val="0"/>
                <w:color w:val="FFFFFF"/>
                <w:sz w:val="22"/>
                <w:szCs w:val="22"/>
              </w:rPr>
              <w:t>Asturias</w:t>
            </w:r>
          </w:p>
        </w:tc>
        <w:tc>
          <w:tcPr>
            <w:tcW w:w="2135" w:type="dxa"/>
            <w:shd w:val="clear" w:color="auto" w:fill="D5DCE4"/>
            <w:vAlign w:val="bottom"/>
          </w:tcPr>
          <w:p w14:paraId="4F20BB4D"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15.046 €</w:t>
            </w:r>
          </w:p>
        </w:tc>
        <w:tc>
          <w:tcPr>
            <w:tcW w:w="2135" w:type="dxa"/>
            <w:shd w:val="clear" w:color="auto" w:fill="D5DCE4"/>
            <w:vAlign w:val="bottom"/>
          </w:tcPr>
          <w:p w14:paraId="35BE6099"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14.429 €</w:t>
            </w:r>
          </w:p>
        </w:tc>
        <w:tc>
          <w:tcPr>
            <w:tcW w:w="2009" w:type="dxa"/>
            <w:shd w:val="clear" w:color="auto" w:fill="D5DCE4"/>
            <w:vAlign w:val="bottom"/>
          </w:tcPr>
          <w:p w14:paraId="638CAF70"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-4,1%</w:t>
            </w:r>
          </w:p>
        </w:tc>
      </w:tr>
      <w:tr w:rsidR="009737A2" w14:paraId="17A5DC36" w14:textId="77777777" w:rsidTr="009737A2">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73E0FEF8" w14:textId="77777777" w:rsidR="009737A2" w:rsidRDefault="00000000">
            <w:pPr>
              <w:rPr>
                <w:rFonts w:ascii="Open Sans" w:eastAsia="Open Sans" w:hAnsi="Open Sans" w:cs="Open Sans"/>
                <w:color w:val="FFFFFF"/>
                <w:sz w:val="22"/>
                <w:szCs w:val="22"/>
              </w:rPr>
            </w:pPr>
            <w:r>
              <w:rPr>
                <w:rFonts w:ascii="Open Sans" w:eastAsia="Open Sans" w:hAnsi="Open Sans" w:cs="Open Sans"/>
                <w:b w:val="0"/>
                <w:bCs w:val="0"/>
                <w:color w:val="FFFFFF"/>
                <w:sz w:val="22"/>
                <w:szCs w:val="22"/>
              </w:rPr>
              <w:t>Aragón</w:t>
            </w:r>
          </w:p>
        </w:tc>
        <w:tc>
          <w:tcPr>
            <w:tcW w:w="2135" w:type="dxa"/>
            <w:shd w:val="clear" w:color="auto" w:fill="auto"/>
            <w:vAlign w:val="bottom"/>
          </w:tcPr>
          <w:p w14:paraId="19A26668"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12.684 €</w:t>
            </w:r>
          </w:p>
        </w:tc>
        <w:tc>
          <w:tcPr>
            <w:tcW w:w="2135" w:type="dxa"/>
            <w:shd w:val="clear" w:color="auto" w:fill="auto"/>
            <w:vAlign w:val="bottom"/>
          </w:tcPr>
          <w:p w14:paraId="063F766E"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11.987 €</w:t>
            </w:r>
          </w:p>
        </w:tc>
        <w:tc>
          <w:tcPr>
            <w:tcW w:w="2009" w:type="dxa"/>
            <w:shd w:val="clear" w:color="auto" w:fill="auto"/>
            <w:vAlign w:val="bottom"/>
          </w:tcPr>
          <w:p w14:paraId="4BAF1AD9" w14:textId="77777777" w:rsidR="009737A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-5,5%</w:t>
            </w:r>
          </w:p>
        </w:tc>
      </w:tr>
      <w:tr w:rsidR="009737A2" w14:paraId="1588B3D5" w14:textId="77777777" w:rsidTr="009737A2">
        <w:trPr>
          <w:trHeight w:val="188"/>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50FDD43D" w14:textId="77777777" w:rsidR="009737A2" w:rsidRDefault="00000000">
            <w:pPr>
              <w:rPr>
                <w:rFonts w:ascii="Open Sans" w:eastAsia="Open Sans" w:hAnsi="Open Sans" w:cs="Open Sans"/>
                <w:color w:val="FFFFFF"/>
                <w:sz w:val="22"/>
                <w:szCs w:val="22"/>
              </w:rPr>
            </w:pPr>
            <w:r>
              <w:rPr>
                <w:rFonts w:ascii="Open Sans" w:eastAsia="Open Sans" w:hAnsi="Open Sans" w:cs="Open Sans"/>
                <w:b w:val="0"/>
                <w:bCs w:val="0"/>
                <w:color w:val="FFFFFF"/>
                <w:sz w:val="22"/>
                <w:szCs w:val="22"/>
              </w:rPr>
              <w:t>España</w:t>
            </w:r>
          </w:p>
        </w:tc>
        <w:tc>
          <w:tcPr>
            <w:tcW w:w="2135" w:type="dxa"/>
            <w:shd w:val="clear" w:color="auto" w:fill="D5DCE4"/>
            <w:vAlign w:val="bottom"/>
          </w:tcPr>
          <w:p w14:paraId="34C41315"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13.770 €</w:t>
            </w:r>
          </w:p>
        </w:tc>
        <w:tc>
          <w:tcPr>
            <w:tcW w:w="2135" w:type="dxa"/>
            <w:shd w:val="clear" w:color="auto" w:fill="D5DCE4"/>
            <w:vAlign w:val="bottom"/>
          </w:tcPr>
          <w:p w14:paraId="611CEE2F"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14.011 €</w:t>
            </w:r>
          </w:p>
        </w:tc>
        <w:tc>
          <w:tcPr>
            <w:tcW w:w="2009" w:type="dxa"/>
            <w:shd w:val="clear" w:color="auto" w:fill="D5DCE4"/>
            <w:vAlign w:val="bottom"/>
          </w:tcPr>
          <w:p w14:paraId="2DEA6DF2" w14:textId="77777777" w:rsidR="009737A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1,7%</w:t>
            </w:r>
          </w:p>
        </w:tc>
      </w:tr>
    </w:tbl>
    <w:p w14:paraId="3867C0D4" w14:textId="77777777" w:rsidR="009737A2" w:rsidRDefault="009737A2">
      <w:pPr>
        <w:pBdr>
          <w:top w:val="nil"/>
          <w:left w:val="nil"/>
          <w:bottom w:val="nil"/>
          <w:right w:val="nil"/>
          <w:between w:val="nil"/>
        </w:pBdr>
        <w:spacing w:line="276" w:lineRule="auto"/>
        <w:ind w:right="-567"/>
        <w:jc w:val="both"/>
        <w:rPr>
          <w:rFonts w:ascii="Open Sans" w:eastAsia="Open Sans" w:hAnsi="Open Sans" w:cs="Open Sans"/>
        </w:rPr>
      </w:pPr>
    </w:p>
    <w:p w14:paraId="7F5D65AB" w14:textId="77777777" w:rsidR="009737A2" w:rsidRDefault="00000000">
      <w:pPr>
        <w:pBdr>
          <w:top w:val="nil"/>
          <w:left w:val="nil"/>
          <w:bottom w:val="nil"/>
          <w:right w:val="nil"/>
          <w:between w:val="nil"/>
        </w:pBdr>
        <w:spacing w:line="276" w:lineRule="auto"/>
        <w:ind w:right="-567"/>
        <w:jc w:val="both"/>
        <w:rPr>
          <w:rFonts w:ascii="Open Sans" w:eastAsia="Open Sans" w:hAnsi="Open Sans" w:cs="Open Sans"/>
          <w:b/>
          <w:bCs/>
        </w:rPr>
      </w:pPr>
      <w:r>
        <w:rPr>
          <w:rFonts w:ascii="Open Sans" w:eastAsia="Open Sans" w:hAnsi="Open Sans" w:cs="Open Sans"/>
        </w:rPr>
        <w:lastRenderedPageBreak/>
        <w:t xml:space="preserve">"Aunque el precio de los garajes sigue su tendencia al ascender por quinto año consecutivo, 2025 marca un punto de inflexión con la subida más moderada del último lustro (1,7%). Estamos ante una clara estabilización del mercado tras el fuerte repunte de 2024. Sin embargo, la brecha territorial sigue siendo enorme, ya que mientras en Madrid o Barcelona vemos ajustes a la baja en barrios específicos como Fuencarral o Sant Andreu, en ciudades como Cádiz o Donostia la escasez de oferta mantiene los precios por encima de los 25.000 euros, convirtiendo el garaje en un activo casi de lujo”, </w:t>
      </w:r>
      <w:r>
        <w:rPr>
          <w:rFonts w:ascii="Open Sans" w:eastAsia="Open Sans" w:hAnsi="Open Sans" w:cs="Open Sans"/>
          <w:b/>
          <w:bCs/>
        </w:rPr>
        <w:t xml:space="preserve">comenta María Matos, directora de Estudios y Portavoz de </w:t>
      </w:r>
      <w:hyperlink r:id="rId13">
        <w:r w:rsidR="009737A2">
          <w:rPr>
            <w:rFonts w:ascii="Open Sans" w:eastAsia="Open Sans" w:hAnsi="Open Sans" w:cs="Open Sans"/>
            <w:b/>
            <w:bCs/>
            <w:color w:val="0000FF"/>
            <w:u w:val="single"/>
          </w:rPr>
          <w:t>Fotocasa</w:t>
        </w:r>
      </w:hyperlink>
      <w:r>
        <w:rPr>
          <w:rFonts w:ascii="Open Sans" w:eastAsia="Open Sans" w:hAnsi="Open Sans" w:cs="Open Sans"/>
          <w:b/>
          <w:bCs/>
        </w:rPr>
        <w:t xml:space="preserve">. </w:t>
      </w:r>
    </w:p>
    <w:p w14:paraId="3D125D76" w14:textId="77777777" w:rsidR="009737A2" w:rsidRDefault="00000000">
      <w:pPr>
        <w:pBdr>
          <w:top w:val="nil"/>
          <w:left w:val="nil"/>
          <w:bottom w:val="nil"/>
          <w:right w:val="nil"/>
          <w:between w:val="nil"/>
        </w:pBdr>
        <w:shd w:val="clear" w:color="auto" w:fill="FFFFFF"/>
        <w:spacing w:before="280" w:after="280" w:line="276" w:lineRule="auto"/>
        <w:ind w:right="-574"/>
        <w:jc w:val="both"/>
        <w:rPr>
          <w:rFonts w:ascii="National" w:eastAsia="National" w:hAnsi="National" w:cs="National"/>
          <w:b/>
          <w:bCs/>
          <w:color w:val="303AB2"/>
          <w:sz w:val="30"/>
          <w:szCs w:val="30"/>
        </w:rPr>
      </w:pPr>
      <w:r>
        <w:rPr>
          <w:rFonts w:ascii="National" w:eastAsia="National" w:hAnsi="National" w:cs="National"/>
          <w:b/>
          <w:bCs/>
          <w:color w:val="303AB2"/>
          <w:sz w:val="30"/>
          <w:szCs w:val="30"/>
        </w:rPr>
        <w:t xml:space="preserve">Los canarios son los más notan la subida de los precios </w:t>
      </w:r>
    </w:p>
    <w:p w14:paraId="049859F4" w14:textId="77777777" w:rsidR="009737A2"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rPr>
      </w:pPr>
      <w:r>
        <w:rPr>
          <w:rFonts w:ascii="Open Sans" w:eastAsia="Open Sans" w:hAnsi="Open Sans" w:cs="Open Sans"/>
          <w:b/>
          <w:bCs/>
          <w:color w:val="000000"/>
        </w:rPr>
        <w:t xml:space="preserve">Las 13 comunidades en las que el precio de los garajes se ha incrementado, según el estudio de </w:t>
      </w:r>
      <w:hyperlink r:id="rId14">
        <w:r w:rsidR="009737A2">
          <w:rPr>
            <w:rFonts w:ascii="Open Sans" w:eastAsia="Open Sans" w:hAnsi="Open Sans" w:cs="Open Sans"/>
            <w:b/>
            <w:bCs/>
            <w:color w:val="0000FF"/>
            <w:u w:val="single"/>
          </w:rPr>
          <w:t>Fotocasa</w:t>
        </w:r>
      </w:hyperlink>
      <w:r>
        <w:rPr>
          <w:rFonts w:ascii="Open Sans" w:eastAsia="Open Sans" w:hAnsi="Open Sans" w:cs="Open Sans"/>
          <w:b/>
          <w:bCs/>
          <w:color w:val="000000"/>
        </w:rPr>
        <w:t>:</w:t>
      </w:r>
      <w:r>
        <w:rPr>
          <w:rFonts w:ascii="Open Sans" w:eastAsia="Open Sans" w:hAnsi="Open Sans" w:cs="Open Sans"/>
          <w:color w:val="000000"/>
        </w:rPr>
        <w:t xml:space="preserve"> son: Canarias (20,4%), La Rioja (10,5%), Región de Murcia (7,0%), Castilla y León (6,7%), Madrid (6,2%), Baleares (5,5%), Galicia (5,4%), Cantabria (5,3%),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(4,5%), Andalucía (3,3%), Extremadura (1,1%), Castilla-La Mancha (0,9%) y Navarra (0,6%). Por otro lado, en cuatro comunidades se producen descensos anuales en el precio de los garajes y son: Aragón (-5,5%), Asturias (-4,1%), País Vasco (-2,2%) y Cataluña (-0,8%).</w:t>
      </w:r>
    </w:p>
    <w:p w14:paraId="63BF9033" w14:textId="77777777" w:rsidR="009737A2"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rPr>
      </w:pPr>
      <w:r>
        <w:rPr>
          <w:rFonts w:ascii="Open Sans" w:eastAsia="Open Sans" w:hAnsi="Open Sans" w:cs="Open Sans"/>
          <w:color w:val="000000"/>
        </w:rPr>
        <w:t>En cuanto a los precios en 2025, las CCAA con el precio medio de los garajes por encima de los 15.000 euros son: País Vasco con 20.635 euros, Baleares con 19.712 euros, Cantabria con 17.522 euros, Galicia con 16.517 euros, Andalucía con 15.561 euros, Canarias con 15.520 euros y Castilla y León con 15.413 euros. Por otro lado, las CCAA en donde el precio medio de los garajes son los más económicos son Castilla-La Mancha con 9.876 euros y Región de Murcia con 9.792 euros.</w:t>
      </w:r>
    </w:p>
    <w:p w14:paraId="470BD4F6" w14:textId="77777777" w:rsidR="009737A2"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National" w:eastAsia="National" w:hAnsi="National" w:cs="National"/>
          <w:b/>
          <w:bCs/>
          <w:color w:val="303AB2"/>
          <w:sz w:val="30"/>
          <w:szCs w:val="30"/>
        </w:rPr>
        <w:t>Por capitales de provincia</w:t>
      </w:r>
    </w:p>
    <w:p w14:paraId="2BF5B271" w14:textId="77777777" w:rsidR="009737A2"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rPr>
      </w:pPr>
      <w:r>
        <w:rPr>
          <w:rFonts w:ascii="Open Sans" w:eastAsia="Open Sans" w:hAnsi="Open Sans" w:cs="Open Sans"/>
          <w:color w:val="000000"/>
        </w:rPr>
        <w:t>En el 71% de las ciudades españolas el precio de los garajes sube en 2025. Las diez ciudades que experimentan las mayores subidas anuales son: A Coruña capital (22,7%), Logroño (18,9%), Sevilla capital (18,1%), Huelva capital (17,7%), Ávila capital (15,6%), Guadalajara capital (14,4%), Jaén capital (13,4%), Ciudad Real capital (13,2%), Cuenca capital (12,7%) y Las Palmas de Gran Canaria (11,8%), todas ellas por encima del 10%.</w:t>
      </w:r>
    </w:p>
    <w:p w14:paraId="0BCB610F" w14:textId="77777777" w:rsidR="009737A2"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rPr>
      </w:pPr>
      <w:r>
        <w:rPr>
          <w:rFonts w:ascii="Open Sans" w:eastAsia="Open Sans" w:hAnsi="Open Sans" w:cs="Open Sans"/>
          <w:color w:val="000000"/>
        </w:rPr>
        <w:t>Por otro lado, el resto de las capitales que en 2025 experimentaron caídas son: Zamora capital (-7,9%), Santander (-7,1%), León capital (-5,9%), Vitoria - Gasteiz (-</w:t>
      </w:r>
      <w:r>
        <w:rPr>
          <w:rFonts w:ascii="Open Sans" w:eastAsia="Open Sans" w:hAnsi="Open Sans" w:cs="Open Sans"/>
          <w:color w:val="000000"/>
        </w:rPr>
        <w:lastRenderedPageBreak/>
        <w:t>4,5%), Granada capital (-4,1%), Zaragoza capital (-4,1%), Pontevedra capital (-4,0%), Segovia capital (-2,5%), Almería capital (-2,4%), Donostia - San Sebastián (-2,2%), Córdoba capital (-1,9%), Tarragona capital (-0,9%), Lleida capital (-0,5%) y Santa Cruz de Tenerife capital (-0,1%).</w:t>
      </w:r>
    </w:p>
    <w:p w14:paraId="14574548" w14:textId="77777777" w:rsidR="009737A2"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cuanto a los precios medios de los garajes por capitales de provincia, vemos que </w:t>
      </w:r>
      <w:r>
        <w:rPr>
          <w:rFonts w:ascii="Open Sans" w:eastAsia="Open Sans" w:hAnsi="Open Sans" w:cs="Open Sans"/>
          <w:b/>
          <w:bCs/>
          <w:color w:val="000000"/>
        </w:rPr>
        <w:t>los tres más caros en 2025 corresponden a las ciudades de Cádiz capital (27.282 euros), Donostia - San Sebastián (25.220 euros),</w:t>
      </w:r>
      <w:r>
        <w:rPr>
          <w:rFonts w:ascii="Open Sans" w:eastAsia="Open Sans" w:hAnsi="Open Sans" w:cs="Open Sans"/>
          <w:color w:val="000000"/>
        </w:rPr>
        <w:t xml:space="preserve"> Palma de Mallorca (24.509 euros), Granada capital (24.349 euros), Salamanca capital (23.944 euros), Bilbao (23.568 euros), Jaén capital (21.775 euros), Pontevedra capital (21.600 euros), Ourense capital (21.588 euros) y Almería capital (21.150 euros).</w:t>
      </w:r>
    </w:p>
    <w:p w14:paraId="7309A3E9" w14:textId="77777777" w:rsidR="009737A2"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rPr>
      </w:pPr>
      <w:r>
        <w:rPr>
          <w:rFonts w:ascii="Open Sans" w:eastAsia="Open Sans" w:hAnsi="Open Sans" w:cs="Open Sans"/>
          <w:color w:val="000000"/>
        </w:rPr>
        <w:t xml:space="preserve">Por otro lado, las tres ciudades en donde los garajes son más económicos para comprar son: Ávila capital (7.224), Castellón de la Plana / Castelló de la Plana (8.293) y Murcia capital (9.354). </w:t>
      </w:r>
    </w:p>
    <w:p w14:paraId="53E209CB" w14:textId="77777777" w:rsidR="009737A2" w:rsidRDefault="00000000">
      <w:pPr>
        <w:pBdr>
          <w:top w:val="nil"/>
          <w:left w:val="nil"/>
          <w:bottom w:val="nil"/>
          <w:right w:val="nil"/>
          <w:between w:val="nil"/>
        </w:pBdr>
        <w:spacing w:line="276" w:lineRule="auto"/>
        <w:ind w:right="-574"/>
        <w:jc w:val="center"/>
        <w:rPr>
          <w:rFonts w:ascii="National" w:eastAsia="National" w:hAnsi="National" w:cs="National"/>
          <w:b/>
          <w:bCs/>
          <w:color w:val="FF0000"/>
          <w:sz w:val="28"/>
          <w:szCs w:val="28"/>
        </w:rPr>
      </w:pPr>
      <w:r>
        <w:rPr>
          <w:rFonts w:ascii="National" w:eastAsia="National" w:hAnsi="National" w:cs="National"/>
          <w:b/>
          <w:bCs/>
          <w:color w:val="303AB2"/>
          <w:sz w:val="28"/>
          <w:szCs w:val="28"/>
        </w:rPr>
        <w:t xml:space="preserve">Capitales con precio y porcentaje anual 2025 (%) </w:t>
      </w:r>
      <w:r>
        <w:rPr>
          <w:rFonts w:ascii="National" w:eastAsia="National" w:hAnsi="National" w:cs="National"/>
          <w:b/>
          <w:bCs/>
          <w:color w:val="FF0000"/>
          <w:sz w:val="28"/>
          <w:szCs w:val="28"/>
        </w:rPr>
        <w:t xml:space="preserve"> </w:t>
      </w:r>
    </w:p>
    <w:p w14:paraId="219E9D2B" w14:textId="77777777" w:rsidR="009737A2" w:rsidRDefault="009737A2">
      <w:pPr>
        <w:pBdr>
          <w:top w:val="nil"/>
          <w:left w:val="nil"/>
          <w:bottom w:val="nil"/>
          <w:right w:val="nil"/>
          <w:between w:val="nil"/>
        </w:pBdr>
        <w:spacing w:line="276" w:lineRule="auto"/>
        <w:ind w:right="-574"/>
        <w:jc w:val="center"/>
        <w:rPr>
          <w:rFonts w:ascii="National" w:eastAsia="National" w:hAnsi="National" w:cs="National"/>
          <w:b/>
          <w:bCs/>
          <w:color w:val="FF0000"/>
          <w:sz w:val="28"/>
          <w:szCs w:val="28"/>
        </w:rPr>
      </w:pPr>
    </w:p>
    <w:tbl>
      <w:tblPr>
        <w:tblStyle w:val="a0"/>
        <w:tblW w:w="8961" w:type="dxa"/>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400" w:firstRow="0" w:lastRow="0" w:firstColumn="0" w:lastColumn="0" w:noHBand="0" w:noVBand="1"/>
      </w:tblPr>
      <w:tblGrid>
        <w:gridCol w:w="2967"/>
        <w:gridCol w:w="2268"/>
        <w:gridCol w:w="1843"/>
        <w:gridCol w:w="1883"/>
      </w:tblGrid>
      <w:tr w:rsidR="009737A2" w14:paraId="10EB1A62" w14:textId="77777777">
        <w:trPr>
          <w:trHeight w:val="601"/>
        </w:trPr>
        <w:tc>
          <w:tcPr>
            <w:tcW w:w="2967" w:type="dxa"/>
            <w:shd w:val="clear" w:color="auto" w:fill="8496B0"/>
            <w:vAlign w:val="center"/>
          </w:tcPr>
          <w:p w14:paraId="5D004E17"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Municipio</w:t>
            </w:r>
          </w:p>
        </w:tc>
        <w:tc>
          <w:tcPr>
            <w:tcW w:w="2268" w:type="dxa"/>
            <w:shd w:val="clear" w:color="auto" w:fill="8496B0"/>
            <w:vAlign w:val="center"/>
          </w:tcPr>
          <w:p w14:paraId="6FC0AF87" w14:textId="77777777" w:rsidR="009737A2"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 xml:space="preserve">Precio medio </w:t>
            </w:r>
          </w:p>
          <w:p w14:paraId="4E1AD2D1" w14:textId="77777777" w:rsidR="009737A2"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Garaje 2024</w:t>
            </w:r>
          </w:p>
        </w:tc>
        <w:tc>
          <w:tcPr>
            <w:tcW w:w="1843" w:type="dxa"/>
            <w:shd w:val="clear" w:color="auto" w:fill="8496B0"/>
            <w:vAlign w:val="center"/>
          </w:tcPr>
          <w:p w14:paraId="761670AB" w14:textId="77777777" w:rsidR="009737A2"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 xml:space="preserve">Precio medio </w:t>
            </w:r>
          </w:p>
          <w:p w14:paraId="55ED3AAB" w14:textId="77777777" w:rsidR="009737A2" w:rsidRDefault="00000000">
            <w:pPr>
              <w:jc w:val="center"/>
              <w:rPr>
                <w:rFonts w:ascii="Open Sans" w:eastAsia="Open Sans" w:hAnsi="Open Sans" w:cs="Open Sans"/>
                <w:b/>
                <w:bCs/>
                <w:color w:val="FFFFFF"/>
                <w:sz w:val="22"/>
                <w:szCs w:val="22"/>
              </w:rPr>
            </w:pPr>
            <w:r>
              <w:rPr>
                <w:rFonts w:ascii="Open Sans" w:eastAsia="Open Sans" w:hAnsi="Open Sans" w:cs="Open Sans"/>
                <w:color w:val="FFFFFF"/>
                <w:sz w:val="22"/>
                <w:szCs w:val="22"/>
              </w:rPr>
              <w:t>Garaje 2025</w:t>
            </w:r>
          </w:p>
        </w:tc>
        <w:tc>
          <w:tcPr>
            <w:tcW w:w="1883" w:type="dxa"/>
            <w:shd w:val="clear" w:color="auto" w:fill="8496B0"/>
            <w:vAlign w:val="center"/>
          </w:tcPr>
          <w:p w14:paraId="08F0975A" w14:textId="77777777" w:rsidR="009737A2"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Variación anual Garaje 2025</w:t>
            </w:r>
          </w:p>
        </w:tc>
      </w:tr>
      <w:tr w:rsidR="009737A2" w14:paraId="5028AABF" w14:textId="77777777">
        <w:trPr>
          <w:trHeight w:val="307"/>
        </w:trPr>
        <w:tc>
          <w:tcPr>
            <w:tcW w:w="2967" w:type="dxa"/>
            <w:shd w:val="clear" w:color="auto" w:fill="8496B0"/>
            <w:vAlign w:val="bottom"/>
          </w:tcPr>
          <w:p w14:paraId="265FEE68"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A Coruña capital</w:t>
            </w:r>
          </w:p>
        </w:tc>
        <w:tc>
          <w:tcPr>
            <w:tcW w:w="2268" w:type="dxa"/>
            <w:vAlign w:val="bottom"/>
          </w:tcPr>
          <w:p w14:paraId="4949C63A"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15.144 €</w:t>
            </w:r>
          </w:p>
        </w:tc>
        <w:tc>
          <w:tcPr>
            <w:tcW w:w="1843" w:type="dxa"/>
            <w:vAlign w:val="bottom"/>
          </w:tcPr>
          <w:p w14:paraId="2E466C9F"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18.582 €</w:t>
            </w:r>
          </w:p>
        </w:tc>
        <w:tc>
          <w:tcPr>
            <w:tcW w:w="1883" w:type="dxa"/>
            <w:vAlign w:val="bottom"/>
          </w:tcPr>
          <w:p w14:paraId="5EC1E986"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22,7%</w:t>
            </w:r>
          </w:p>
        </w:tc>
      </w:tr>
      <w:tr w:rsidR="009737A2" w14:paraId="1482F7F3" w14:textId="77777777">
        <w:trPr>
          <w:trHeight w:val="226"/>
        </w:trPr>
        <w:tc>
          <w:tcPr>
            <w:tcW w:w="2967" w:type="dxa"/>
            <w:shd w:val="clear" w:color="auto" w:fill="8496B0"/>
            <w:vAlign w:val="bottom"/>
          </w:tcPr>
          <w:p w14:paraId="432B3EE6"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Logroño</w:t>
            </w:r>
          </w:p>
        </w:tc>
        <w:tc>
          <w:tcPr>
            <w:tcW w:w="2268" w:type="dxa"/>
            <w:shd w:val="clear" w:color="auto" w:fill="D6DCE4"/>
            <w:vAlign w:val="bottom"/>
          </w:tcPr>
          <w:p w14:paraId="6D18CB67"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12.078 €</w:t>
            </w:r>
          </w:p>
        </w:tc>
        <w:tc>
          <w:tcPr>
            <w:tcW w:w="1843" w:type="dxa"/>
            <w:shd w:val="clear" w:color="auto" w:fill="D6DCE4"/>
            <w:vAlign w:val="bottom"/>
          </w:tcPr>
          <w:p w14:paraId="6B40240E"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14.361 €</w:t>
            </w:r>
          </w:p>
        </w:tc>
        <w:tc>
          <w:tcPr>
            <w:tcW w:w="1883" w:type="dxa"/>
            <w:shd w:val="clear" w:color="auto" w:fill="D6DCE4"/>
            <w:vAlign w:val="bottom"/>
          </w:tcPr>
          <w:p w14:paraId="16B40DD2"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18,9%</w:t>
            </w:r>
          </w:p>
        </w:tc>
      </w:tr>
      <w:tr w:rsidR="009737A2" w14:paraId="104B0067" w14:textId="77777777">
        <w:trPr>
          <w:trHeight w:val="307"/>
        </w:trPr>
        <w:tc>
          <w:tcPr>
            <w:tcW w:w="2967" w:type="dxa"/>
            <w:shd w:val="clear" w:color="auto" w:fill="8496B0"/>
            <w:vAlign w:val="bottom"/>
          </w:tcPr>
          <w:p w14:paraId="7F6EE3C4"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Sevilla capital</w:t>
            </w:r>
          </w:p>
        </w:tc>
        <w:tc>
          <w:tcPr>
            <w:tcW w:w="2268" w:type="dxa"/>
            <w:vAlign w:val="bottom"/>
          </w:tcPr>
          <w:p w14:paraId="5C24C2C6"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12.427 €</w:t>
            </w:r>
          </w:p>
        </w:tc>
        <w:tc>
          <w:tcPr>
            <w:tcW w:w="1843" w:type="dxa"/>
            <w:vAlign w:val="bottom"/>
          </w:tcPr>
          <w:p w14:paraId="0951076A"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14.681 €</w:t>
            </w:r>
          </w:p>
        </w:tc>
        <w:tc>
          <w:tcPr>
            <w:tcW w:w="1883" w:type="dxa"/>
            <w:vAlign w:val="bottom"/>
          </w:tcPr>
          <w:p w14:paraId="04962D0D"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18,1%</w:t>
            </w:r>
          </w:p>
        </w:tc>
      </w:tr>
      <w:tr w:rsidR="009737A2" w14:paraId="7441D9B8" w14:textId="77777777">
        <w:trPr>
          <w:trHeight w:val="307"/>
        </w:trPr>
        <w:tc>
          <w:tcPr>
            <w:tcW w:w="2967" w:type="dxa"/>
            <w:shd w:val="clear" w:color="auto" w:fill="8496B0"/>
            <w:vAlign w:val="bottom"/>
          </w:tcPr>
          <w:p w14:paraId="285B1722"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Huelva capital</w:t>
            </w:r>
          </w:p>
        </w:tc>
        <w:tc>
          <w:tcPr>
            <w:tcW w:w="2268" w:type="dxa"/>
            <w:shd w:val="clear" w:color="auto" w:fill="D6DCE4"/>
            <w:vAlign w:val="bottom"/>
          </w:tcPr>
          <w:p w14:paraId="4993312B"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14.462 €</w:t>
            </w:r>
          </w:p>
        </w:tc>
        <w:tc>
          <w:tcPr>
            <w:tcW w:w="1843" w:type="dxa"/>
            <w:shd w:val="clear" w:color="auto" w:fill="D6DCE4"/>
            <w:vAlign w:val="bottom"/>
          </w:tcPr>
          <w:p w14:paraId="2ED212D8"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17.029 €</w:t>
            </w:r>
          </w:p>
        </w:tc>
        <w:tc>
          <w:tcPr>
            <w:tcW w:w="1883" w:type="dxa"/>
            <w:shd w:val="clear" w:color="auto" w:fill="D6DCE4"/>
            <w:vAlign w:val="bottom"/>
          </w:tcPr>
          <w:p w14:paraId="4C29A23D"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17,7%</w:t>
            </w:r>
          </w:p>
        </w:tc>
      </w:tr>
      <w:tr w:rsidR="009737A2" w14:paraId="2D6D400F" w14:textId="77777777">
        <w:trPr>
          <w:trHeight w:val="307"/>
        </w:trPr>
        <w:tc>
          <w:tcPr>
            <w:tcW w:w="2967" w:type="dxa"/>
            <w:shd w:val="clear" w:color="auto" w:fill="8496B0"/>
            <w:vAlign w:val="bottom"/>
          </w:tcPr>
          <w:p w14:paraId="1D4A66B3"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Ávila capital</w:t>
            </w:r>
          </w:p>
        </w:tc>
        <w:tc>
          <w:tcPr>
            <w:tcW w:w="2268" w:type="dxa"/>
            <w:vAlign w:val="bottom"/>
          </w:tcPr>
          <w:p w14:paraId="4A52A86F"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6.251 €</w:t>
            </w:r>
          </w:p>
        </w:tc>
        <w:tc>
          <w:tcPr>
            <w:tcW w:w="1843" w:type="dxa"/>
            <w:vAlign w:val="bottom"/>
          </w:tcPr>
          <w:p w14:paraId="60148822"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7.224 €</w:t>
            </w:r>
          </w:p>
        </w:tc>
        <w:tc>
          <w:tcPr>
            <w:tcW w:w="1883" w:type="dxa"/>
            <w:vAlign w:val="bottom"/>
          </w:tcPr>
          <w:p w14:paraId="0EB76A14"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15,6%</w:t>
            </w:r>
          </w:p>
        </w:tc>
      </w:tr>
      <w:tr w:rsidR="009737A2" w14:paraId="69A6C7C6" w14:textId="77777777">
        <w:trPr>
          <w:trHeight w:val="307"/>
        </w:trPr>
        <w:tc>
          <w:tcPr>
            <w:tcW w:w="2967" w:type="dxa"/>
            <w:shd w:val="clear" w:color="auto" w:fill="8496B0"/>
            <w:vAlign w:val="bottom"/>
          </w:tcPr>
          <w:p w14:paraId="533F3B2B"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Guadalajara capital</w:t>
            </w:r>
          </w:p>
        </w:tc>
        <w:tc>
          <w:tcPr>
            <w:tcW w:w="2268" w:type="dxa"/>
            <w:shd w:val="clear" w:color="auto" w:fill="D6DCE4"/>
            <w:vAlign w:val="bottom"/>
          </w:tcPr>
          <w:p w14:paraId="3BCDB18B"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8.957 €</w:t>
            </w:r>
          </w:p>
        </w:tc>
        <w:tc>
          <w:tcPr>
            <w:tcW w:w="1843" w:type="dxa"/>
            <w:shd w:val="clear" w:color="auto" w:fill="D6DCE4"/>
            <w:vAlign w:val="bottom"/>
          </w:tcPr>
          <w:p w14:paraId="5D2101ED"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10.251 €</w:t>
            </w:r>
          </w:p>
        </w:tc>
        <w:tc>
          <w:tcPr>
            <w:tcW w:w="1883" w:type="dxa"/>
            <w:shd w:val="clear" w:color="auto" w:fill="D6DCE4"/>
            <w:vAlign w:val="bottom"/>
          </w:tcPr>
          <w:p w14:paraId="5653D888"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14,4%</w:t>
            </w:r>
          </w:p>
        </w:tc>
      </w:tr>
      <w:tr w:rsidR="009737A2" w14:paraId="6997C6B1" w14:textId="77777777">
        <w:trPr>
          <w:trHeight w:val="307"/>
        </w:trPr>
        <w:tc>
          <w:tcPr>
            <w:tcW w:w="2967" w:type="dxa"/>
            <w:shd w:val="clear" w:color="auto" w:fill="8496B0"/>
            <w:vAlign w:val="bottom"/>
          </w:tcPr>
          <w:p w14:paraId="3E4AE620"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Jaén capital</w:t>
            </w:r>
          </w:p>
        </w:tc>
        <w:tc>
          <w:tcPr>
            <w:tcW w:w="2268" w:type="dxa"/>
            <w:vAlign w:val="bottom"/>
          </w:tcPr>
          <w:p w14:paraId="5A6B2261"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19.206 €</w:t>
            </w:r>
          </w:p>
        </w:tc>
        <w:tc>
          <w:tcPr>
            <w:tcW w:w="1843" w:type="dxa"/>
            <w:vAlign w:val="bottom"/>
          </w:tcPr>
          <w:p w14:paraId="5B12CB63"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21.775 €</w:t>
            </w:r>
          </w:p>
        </w:tc>
        <w:tc>
          <w:tcPr>
            <w:tcW w:w="1883" w:type="dxa"/>
            <w:vAlign w:val="bottom"/>
          </w:tcPr>
          <w:p w14:paraId="7B11813C"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13,4%</w:t>
            </w:r>
          </w:p>
        </w:tc>
      </w:tr>
      <w:tr w:rsidR="009737A2" w14:paraId="3611CB23" w14:textId="77777777">
        <w:trPr>
          <w:trHeight w:val="307"/>
        </w:trPr>
        <w:tc>
          <w:tcPr>
            <w:tcW w:w="2967" w:type="dxa"/>
            <w:shd w:val="clear" w:color="auto" w:fill="8496B0"/>
            <w:vAlign w:val="bottom"/>
          </w:tcPr>
          <w:p w14:paraId="7EAE63B7"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Ciudad Real capital</w:t>
            </w:r>
          </w:p>
        </w:tc>
        <w:tc>
          <w:tcPr>
            <w:tcW w:w="2268" w:type="dxa"/>
            <w:shd w:val="clear" w:color="auto" w:fill="D6DCE4"/>
            <w:vAlign w:val="bottom"/>
          </w:tcPr>
          <w:p w14:paraId="03346782"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14.445 €</w:t>
            </w:r>
          </w:p>
        </w:tc>
        <w:tc>
          <w:tcPr>
            <w:tcW w:w="1843" w:type="dxa"/>
            <w:shd w:val="clear" w:color="auto" w:fill="D6DCE4"/>
            <w:vAlign w:val="bottom"/>
          </w:tcPr>
          <w:p w14:paraId="0C739BCE"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16.357 €</w:t>
            </w:r>
          </w:p>
        </w:tc>
        <w:tc>
          <w:tcPr>
            <w:tcW w:w="1883" w:type="dxa"/>
            <w:shd w:val="clear" w:color="auto" w:fill="D6DCE4"/>
            <w:vAlign w:val="bottom"/>
          </w:tcPr>
          <w:p w14:paraId="4A2CDC72"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13,2%</w:t>
            </w:r>
          </w:p>
        </w:tc>
      </w:tr>
      <w:tr w:rsidR="009737A2" w14:paraId="76AA622A" w14:textId="77777777">
        <w:trPr>
          <w:trHeight w:val="307"/>
        </w:trPr>
        <w:tc>
          <w:tcPr>
            <w:tcW w:w="2967" w:type="dxa"/>
            <w:shd w:val="clear" w:color="auto" w:fill="8496B0"/>
            <w:vAlign w:val="bottom"/>
          </w:tcPr>
          <w:p w14:paraId="63AABE14"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Cuenca capital</w:t>
            </w:r>
          </w:p>
        </w:tc>
        <w:tc>
          <w:tcPr>
            <w:tcW w:w="2268" w:type="dxa"/>
            <w:vAlign w:val="bottom"/>
          </w:tcPr>
          <w:p w14:paraId="284AE03B"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16.770 €</w:t>
            </w:r>
          </w:p>
        </w:tc>
        <w:tc>
          <w:tcPr>
            <w:tcW w:w="1843" w:type="dxa"/>
            <w:vAlign w:val="bottom"/>
          </w:tcPr>
          <w:p w14:paraId="5B88FE8A"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18.903 €</w:t>
            </w:r>
          </w:p>
        </w:tc>
        <w:tc>
          <w:tcPr>
            <w:tcW w:w="1883" w:type="dxa"/>
            <w:vAlign w:val="bottom"/>
          </w:tcPr>
          <w:p w14:paraId="3199DC6F"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12,7%</w:t>
            </w:r>
          </w:p>
        </w:tc>
      </w:tr>
      <w:tr w:rsidR="009737A2" w14:paraId="3C84BFFE" w14:textId="77777777">
        <w:trPr>
          <w:trHeight w:val="307"/>
        </w:trPr>
        <w:tc>
          <w:tcPr>
            <w:tcW w:w="2967" w:type="dxa"/>
            <w:shd w:val="clear" w:color="auto" w:fill="8496B0"/>
            <w:vAlign w:val="bottom"/>
          </w:tcPr>
          <w:p w14:paraId="0184EF48"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Las Palmas de Gran Canaria</w:t>
            </w:r>
          </w:p>
        </w:tc>
        <w:tc>
          <w:tcPr>
            <w:tcW w:w="2268" w:type="dxa"/>
            <w:shd w:val="clear" w:color="auto" w:fill="D6DCE4"/>
            <w:vAlign w:val="bottom"/>
          </w:tcPr>
          <w:p w14:paraId="63DC40BF"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18.332 €</w:t>
            </w:r>
          </w:p>
        </w:tc>
        <w:tc>
          <w:tcPr>
            <w:tcW w:w="1843" w:type="dxa"/>
            <w:shd w:val="clear" w:color="auto" w:fill="D6DCE4"/>
            <w:vAlign w:val="bottom"/>
          </w:tcPr>
          <w:p w14:paraId="13ACC3F2"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20.505 €</w:t>
            </w:r>
          </w:p>
        </w:tc>
        <w:tc>
          <w:tcPr>
            <w:tcW w:w="1883" w:type="dxa"/>
            <w:shd w:val="clear" w:color="auto" w:fill="D6DCE4"/>
            <w:vAlign w:val="bottom"/>
          </w:tcPr>
          <w:p w14:paraId="65E5D0B6"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11,8%</w:t>
            </w:r>
          </w:p>
        </w:tc>
      </w:tr>
      <w:tr w:rsidR="009737A2" w14:paraId="286CB4E0" w14:textId="77777777">
        <w:trPr>
          <w:trHeight w:val="307"/>
        </w:trPr>
        <w:tc>
          <w:tcPr>
            <w:tcW w:w="2967" w:type="dxa"/>
            <w:shd w:val="clear" w:color="auto" w:fill="8496B0"/>
            <w:vAlign w:val="bottom"/>
          </w:tcPr>
          <w:p w14:paraId="4BC64000"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Valencia capital</w:t>
            </w:r>
          </w:p>
        </w:tc>
        <w:tc>
          <w:tcPr>
            <w:tcW w:w="2268" w:type="dxa"/>
            <w:vAlign w:val="bottom"/>
          </w:tcPr>
          <w:p w14:paraId="0F9219D8"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18.965 €</w:t>
            </w:r>
          </w:p>
        </w:tc>
        <w:tc>
          <w:tcPr>
            <w:tcW w:w="1843" w:type="dxa"/>
            <w:vAlign w:val="bottom"/>
          </w:tcPr>
          <w:p w14:paraId="72F61EC6"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20.792 €</w:t>
            </w:r>
          </w:p>
        </w:tc>
        <w:tc>
          <w:tcPr>
            <w:tcW w:w="1883" w:type="dxa"/>
            <w:vAlign w:val="bottom"/>
          </w:tcPr>
          <w:p w14:paraId="670791AE"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9,6%</w:t>
            </w:r>
          </w:p>
        </w:tc>
      </w:tr>
      <w:tr w:rsidR="009737A2" w14:paraId="3A261970" w14:textId="77777777">
        <w:trPr>
          <w:trHeight w:val="307"/>
        </w:trPr>
        <w:tc>
          <w:tcPr>
            <w:tcW w:w="2967" w:type="dxa"/>
            <w:shd w:val="clear" w:color="auto" w:fill="8496B0"/>
            <w:vAlign w:val="bottom"/>
          </w:tcPr>
          <w:p w14:paraId="6D63C818"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Alicante / Alacant</w:t>
            </w:r>
          </w:p>
        </w:tc>
        <w:tc>
          <w:tcPr>
            <w:tcW w:w="2268" w:type="dxa"/>
            <w:shd w:val="clear" w:color="auto" w:fill="D6DCE4"/>
            <w:vAlign w:val="bottom"/>
          </w:tcPr>
          <w:p w14:paraId="28002EF1"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17.873 €</w:t>
            </w:r>
          </w:p>
        </w:tc>
        <w:tc>
          <w:tcPr>
            <w:tcW w:w="1843" w:type="dxa"/>
            <w:shd w:val="clear" w:color="auto" w:fill="D6DCE4"/>
            <w:vAlign w:val="bottom"/>
          </w:tcPr>
          <w:p w14:paraId="2A158E85"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19.434 €</w:t>
            </w:r>
          </w:p>
        </w:tc>
        <w:tc>
          <w:tcPr>
            <w:tcW w:w="1883" w:type="dxa"/>
            <w:shd w:val="clear" w:color="auto" w:fill="D6DCE4"/>
            <w:vAlign w:val="bottom"/>
          </w:tcPr>
          <w:p w14:paraId="18095C49"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8,7%</w:t>
            </w:r>
          </w:p>
        </w:tc>
      </w:tr>
      <w:tr w:rsidR="009737A2" w14:paraId="66FEF65D" w14:textId="77777777">
        <w:trPr>
          <w:trHeight w:val="307"/>
        </w:trPr>
        <w:tc>
          <w:tcPr>
            <w:tcW w:w="2967" w:type="dxa"/>
            <w:shd w:val="clear" w:color="auto" w:fill="8496B0"/>
            <w:vAlign w:val="bottom"/>
          </w:tcPr>
          <w:p w14:paraId="62AAAB03"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Málaga capital</w:t>
            </w:r>
          </w:p>
        </w:tc>
        <w:tc>
          <w:tcPr>
            <w:tcW w:w="2268" w:type="dxa"/>
            <w:vAlign w:val="bottom"/>
          </w:tcPr>
          <w:p w14:paraId="486F7D50"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18.768 €</w:t>
            </w:r>
          </w:p>
        </w:tc>
        <w:tc>
          <w:tcPr>
            <w:tcW w:w="1843" w:type="dxa"/>
            <w:vAlign w:val="bottom"/>
          </w:tcPr>
          <w:p w14:paraId="78273D20"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20.375 €</w:t>
            </w:r>
          </w:p>
        </w:tc>
        <w:tc>
          <w:tcPr>
            <w:tcW w:w="1883" w:type="dxa"/>
            <w:vAlign w:val="bottom"/>
          </w:tcPr>
          <w:p w14:paraId="1460F761"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8,6%</w:t>
            </w:r>
          </w:p>
        </w:tc>
      </w:tr>
      <w:tr w:rsidR="009737A2" w14:paraId="3382F91C" w14:textId="77777777">
        <w:trPr>
          <w:trHeight w:val="310"/>
        </w:trPr>
        <w:tc>
          <w:tcPr>
            <w:tcW w:w="2967" w:type="dxa"/>
            <w:shd w:val="clear" w:color="auto" w:fill="8496B0"/>
            <w:vAlign w:val="bottom"/>
          </w:tcPr>
          <w:p w14:paraId="5E3E3B7B"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Burgos capital</w:t>
            </w:r>
          </w:p>
        </w:tc>
        <w:tc>
          <w:tcPr>
            <w:tcW w:w="2268" w:type="dxa"/>
            <w:shd w:val="clear" w:color="auto" w:fill="D6DCE4"/>
            <w:vAlign w:val="bottom"/>
          </w:tcPr>
          <w:p w14:paraId="147CB487"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14.171 €</w:t>
            </w:r>
          </w:p>
        </w:tc>
        <w:tc>
          <w:tcPr>
            <w:tcW w:w="1843" w:type="dxa"/>
            <w:shd w:val="clear" w:color="auto" w:fill="D6DCE4"/>
            <w:vAlign w:val="bottom"/>
          </w:tcPr>
          <w:p w14:paraId="0F266687"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15.298 €</w:t>
            </w:r>
          </w:p>
        </w:tc>
        <w:tc>
          <w:tcPr>
            <w:tcW w:w="1883" w:type="dxa"/>
            <w:shd w:val="clear" w:color="auto" w:fill="D6DCE4"/>
            <w:vAlign w:val="bottom"/>
          </w:tcPr>
          <w:p w14:paraId="4F380775"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8,0%</w:t>
            </w:r>
          </w:p>
        </w:tc>
      </w:tr>
      <w:tr w:rsidR="009737A2" w14:paraId="446557C9" w14:textId="77777777">
        <w:trPr>
          <w:trHeight w:val="307"/>
        </w:trPr>
        <w:tc>
          <w:tcPr>
            <w:tcW w:w="2967" w:type="dxa"/>
            <w:shd w:val="clear" w:color="auto" w:fill="8496B0"/>
            <w:vAlign w:val="bottom"/>
          </w:tcPr>
          <w:p w14:paraId="429B6656"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Huesca capital</w:t>
            </w:r>
          </w:p>
        </w:tc>
        <w:tc>
          <w:tcPr>
            <w:tcW w:w="2268" w:type="dxa"/>
            <w:vAlign w:val="bottom"/>
          </w:tcPr>
          <w:p w14:paraId="5EB1CFCD"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14.163 €</w:t>
            </w:r>
          </w:p>
        </w:tc>
        <w:tc>
          <w:tcPr>
            <w:tcW w:w="1843" w:type="dxa"/>
            <w:vAlign w:val="bottom"/>
          </w:tcPr>
          <w:p w14:paraId="667DCE27"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15.252 €</w:t>
            </w:r>
          </w:p>
        </w:tc>
        <w:tc>
          <w:tcPr>
            <w:tcW w:w="1883" w:type="dxa"/>
            <w:vAlign w:val="bottom"/>
          </w:tcPr>
          <w:p w14:paraId="035A907A"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7,7%</w:t>
            </w:r>
          </w:p>
        </w:tc>
      </w:tr>
      <w:tr w:rsidR="009737A2" w14:paraId="11A52BCA" w14:textId="77777777">
        <w:trPr>
          <w:trHeight w:val="307"/>
        </w:trPr>
        <w:tc>
          <w:tcPr>
            <w:tcW w:w="2967" w:type="dxa"/>
            <w:shd w:val="clear" w:color="auto" w:fill="8496B0"/>
            <w:vAlign w:val="bottom"/>
          </w:tcPr>
          <w:p w14:paraId="7EE58E16"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Ourense capital</w:t>
            </w:r>
          </w:p>
        </w:tc>
        <w:tc>
          <w:tcPr>
            <w:tcW w:w="2268" w:type="dxa"/>
            <w:shd w:val="clear" w:color="auto" w:fill="D6DCE4"/>
            <w:vAlign w:val="bottom"/>
          </w:tcPr>
          <w:p w14:paraId="4788DA8D"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20.332 €</w:t>
            </w:r>
          </w:p>
        </w:tc>
        <w:tc>
          <w:tcPr>
            <w:tcW w:w="1843" w:type="dxa"/>
            <w:shd w:val="clear" w:color="auto" w:fill="D6DCE4"/>
            <w:vAlign w:val="bottom"/>
          </w:tcPr>
          <w:p w14:paraId="6835371A"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21.588 €</w:t>
            </w:r>
          </w:p>
        </w:tc>
        <w:tc>
          <w:tcPr>
            <w:tcW w:w="1883" w:type="dxa"/>
            <w:shd w:val="clear" w:color="auto" w:fill="D6DCE4"/>
            <w:vAlign w:val="bottom"/>
          </w:tcPr>
          <w:p w14:paraId="5C8FBF27"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6,2%</w:t>
            </w:r>
          </w:p>
        </w:tc>
      </w:tr>
      <w:tr w:rsidR="009737A2" w14:paraId="3169537E" w14:textId="77777777">
        <w:trPr>
          <w:trHeight w:val="307"/>
        </w:trPr>
        <w:tc>
          <w:tcPr>
            <w:tcW w:w="2967" w:type="dxa"/>
            <w:shd w:val="clear" w:color="auto" w:fill="8496B0"/>
            <w:vAlign w:val="bottom"/>
          </w:tcPr>
          <w:p w14:paraId="088D9816"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Valladolid capital</w:t>
            </w:r>
          </w:p>
        </w:tc>
        <w:tc>
          <w:tcPr>
            <w:tcW w:w="2268" w:type="dxa"/>
            <w:vAlign w:val="bottom"/>
          </w:tcPr>
          <w:p w14:paraId="3B104435"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17.524 €</w:t>
            </w:r>
          </w:p>
        </w:tc>
        <w:tc>
          <w:tcPr>
            <w:tcW w:w="1843" w:type="dxa"/>
            <w:vAlign w:val="bottom"/>
          </w:tcPr>
          <w:p w14:paraId="7A157247"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18.472 €</w:t>
            </w:r>
          </w:p>
        </w:tc>
        <w:tc>
          <w:tcPr>
            <w:tcW w:w="1883" w:type="dxa"/>
            <w:vAlign w:val="bottom"/>
          </w:tcPr>
          <w:p w14:paraId="23CE0382"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5,4%</w:t>
            </w:r>
          </w:p>
        </w:tc>
      </w:tr>
      <w:tr w:rsidR="009737A2" w14:paraId="08D9C36F" w14:textId="77777777">
        <w:trPr>
          <w:trHeight w:val="272"/>
        </w:trPr>
        <w:tc>
          <w:tcPr>
            <w:tcW w:w="2967" w:type="dxa"/>
            <w:shd w:val="clear" w:color="auto" w:fill="8496B0"/>
            <w:vAlign w:val="bottom"/>
          </w:tcPr>
          <w:p w14:paraId="30B4C445"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Murcia capital</w:t>
            </w:r>
          </w:p>
        </w:tc>
        <w:tc>
          <w:tcPr>
            <w:tcW w:w="2268" w:type="dxa"/>
            <w:shd w:val="clear" w:color="auto" w:fill="D6DCE4"/>
            <w:vAlign w:val="bottom"/>
          </w:tcPr>
          <w:p w14:paraId="21DA4716"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8.912 €</w:t>
            </w:r>
          </w:p>
        </w:tc>
        <w:tc>
          <w:tcPr>
            <w:tcW w:w="1843" w:type="dxa"/>
            <w:shd w:val="clear" w:color="auto" w:fill="D6DCE4"/>
            <w:vAlign w:val="bottom"/>
          </w:tcPr>
          <w:p w14:paraId="4DE5DD6D"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9.354 €</w:t>
            </w:r>
          </w:p>
        </w:tc>
        <w:tc>
          <w:tcPr>
            <w:tcW w:w="1883" w:type="dxa"/>
            <w:shd w:val="clear" w:color="auto" w:fill="D6DCE4"/>
            <w:vAlign w:val="bottom"/>
          </w:tcPr>
          <w:p w14:paraId="066C6E8D"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5,0%</w:t>
            </w:r>
          </w:p>
        </w:tc>
      </w:tr>
      <w:tr w:rsidR="009737A2" w14:paraId="49C2B6CB" w14:textId="77777777">
        <w:trPr>
          <w:trHeight w:val="307"/>
        </w:trPr>
        <w:tc>
          <w:tcPr>
            <w:tcW w:w="2967" w:type="dxa"/>
            <w:shd w:val="clear" w:color="auto" w:fill="8496B0"/>
            <w:vAlign w:val="bottom"/>
          </w:tcPr>
          <w:p w14:paraId="252B333F"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Cáceres capital</w:t>
            </w:r>
          </w:p>
        </w:tc>
        <w:tc>
          <w:tcPr>
            <w:tcW w:w="2268" w:type="dxa"/>
            <w:vAlign w:val="bottom"/>
          </w:tcPr>
          <w:p w14:paraId="0559BB07"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16.093 €</w:t>
            </w:r>
          </w:p>
        </w:tc>
        <w:tc>
          <w:tcPr>
            <w:tcW w:w="1843" w:type="dxa"/>
            <w:vAlign w:val="bottom"/>
          </w:tcPr>
          <w:p w14:paraId="5E68A56D"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16.811 €</w:t>
            </w:r>
          </w:p>
        </w:tc>
        <w:tc>
          <w:tcPr>
            <w:tcW w:w="1883" w:type="dxa"/>
            <w:vAlign w:val="bottom"/>
          </w:tcPr>
          <w:p w14:paraId="6F9F350A"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4,5%</w:t>
            </w:r>
          </w:p>
        </w:tc>
      </w:tr>
      <w:tr w:rsidR="009737A2" w14:paraId="34D37507" w14:textId="77777777">
        <w:trPr>
          <w:trHeight w:val="307"/>
        </w:trPr>
        <w:tc>
          <w:tcPr>
            <w:tcW w:w="2967" w:type="dxa"/>
            <w:shd w:val="clear" w:color="auto" w:fill="8496B0"/>
            <w:vAlign w:val="bottom"/>
          </w:tcPr>
          <w:p w14:paraId="4DEB74D1"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Badajoz capital</w:t>
            </w:r>
          </w:p>
        </w:tc>
        <w:tc>
          <w:tcPr>
            <w:tcW w:w="2268" w:type="dxa"/>
            <w:shd w:val="clear" w:color="auto" w:fill="D6DCE4"/>
            <w:vAlign w:val="bottom"/>
          </w:tcPr>
          <w:p w14:paraId="5CED656B"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17.823 €</w:t>
            </w:r>
          </w:p>
        </w:tc>
        <w:tc>
          <w:tcPr>
            <w:tcW w:w="1843" w:type="dxa"/>
            <w:shd w:val="clear" w:color="auto" w:fill="D6DCE4"/>
            <w:vAlign w:val="bottom"/>
          </w:tcPr>
          <w:p w14:paraId="1A589E81"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18.488 €</w:t>
            </w:r>
          </w:p>
        </w:tc>
        <w:tc>
          <w:tcPr>
            <w:tcW w:w="1883" w:type="dxa"/>
            <w:shd w:val="clear" w:color="auto" w:fill="D6DCE4"/>
            <w:vAlign w:val="bottom"/>
          </w:tcPr>
          <w:p w14:paraId="54C56C2A"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3,7%</w:t>
            </w:r>
          </w:p>
        </w:tc>
      </w:tr>
      <w:tr w:rsidR="009737A2" w14:paraId="129ABA44" w14:textId="77777777">
        <w:trPr>
          <w:trHeight w:val="314"/>
        </w:trPr>
        <w:tc>
          <w:tcPr>
            <w:tcW w:w="2967" w:type="dxa"/>
            <w:shd w:val="clear" w:color="auto" w:fill="8496B0"/>
            <w:vAlign w:val="bottom"/>
          </w:tcPr>
          <w:p w14:paraId="2F3D6B5B"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lastRenderedPageBreak/>
              <w:t>Palencia capital</w:t>
            </w:r>
          </w:p>
        </w:tc>
        <w:tc>
          <w:tcPr>
            <w:tcW w:w="2268" w:type="dxa"/>
            <w:vAlign w:val="bottom"/>
          </w:tcPr>
          <w:p w14:paraId="624C456B"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18.788 €</w:t>
            </w:r>
          </w:p>
        </w:tc>
        <w:tc>
          <w:tcPr>
            <w:tcW w:w="1843" w:type="dxa"/>
            <w:vAlign w:val="bottom"/>
          </w:tcPr>
          <w:p w14:paraId="230FFF07"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19.453 €</w:t>
            </w:r>
          </w:p>
        </w:tc>
        <w:tc>
          <w:tcPr>
            <w:tcW w:w="1883" w:type="dxa"/>
            <w:vAlign w:val="bottom"/>
          </w:tcPr>
          <w:p w14:paraId="37B76B43"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3,5%</w:t>
            </w:r>
          </w:p>
        </w:tc>
      </w:tr>
      <w:tr w:rsidR="009737A2" w14:paraId="6DB63498" w14:textId="77777777">
        <w:trPr>
          <w:trHeight w:val="307"/>
        </w:trPr>
        <w:tc>
          <w:tcPr>
            <w:tcW w:w="2967" w:type="dxa"/>
            <w:shd w:val="clear" w:color="auto" w:fill="8496B0"/>
            <w:vAlign w:val="bottom"/>
          </w:tcPr>
          <w:p w14:paraId="54E87CC6"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Lugo capital</w:t>
            </w:r>
          </w:p>
        </w:tc>
        <w:tc>
          <w:tcPr>
            <w:tcW w:w="2268" w:type="dxa"/>
            <w:shd w:val="clear" w:color="auto" w:fill="D6DCE4"/>
            <w:vAlign w:val="bottom"/>
          </w:tcPr>
          <w:p w14:paraId="76078900"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13.972 €</w:t>
            </w:r>
          </w:p>
        </w:tc>
        <w:tc>
          <w:tcPr>
            <w:tcW w:w="1843" w:type="dxa"/>
            <w:shd w:val="clear" w:color="auto" w:fill="D6DCE4"/>
            <w:vAlign w:val="bottom"/>
          </w:tcPr>
          <w:p w14:paraId="1A1FB35F"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14.453 €</w:t>
            </w:r>
          </w:p>
        </w:tc>
        <w:tc>
          <w:tcPr>
            <w:tcW w:w="1883" w:type="dxa"/>
            <w:shd w:val="clear" w:color="auto" w:fill="D6DCE4"/>
            <w:vAlign w:val="bottom"/>
          </w:tcPr>
          <w:p w14:paraId="4D310C6B"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3,4%</w:t>
            </w:r>
          </w:p>
        </w:tc>
      </w:tr>
      <w:tr w:rsidR="009737A2" w14:paraId="73A72BA0" w14:textId="77777777">
        <w:trPr>
          <w:trHeight w:val="307"/>
        </w:trPr>
        <w:tc>
          <w:tcPr>
            <w:tcW w:w="2967" w:type="dxa"/>
            <w:shd w:val="clear" w:color="auto" w:fill="8496B0"/>
            <w:vAlign w:val="bottom"/>
          </w:tcPr>
          <w:p w14:paraId="020C8F41"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Pamplona / Iruña</w:t>
            </w:r>
          </w:p>
        </w:tc>
        <w:tc>
          <w:tcPr>
            <w:tcW w:w="2268" w:type="dxa"/>
            <w:vAlign w:val="bottom"/>
          </w:tcPr>
          <w:p w14:paraId="36E0509C"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13.772 €</w:t>
            </w:r>
          </w:p>
        </w:tc>
        <w:tc>
          <w:tcPr>
            <w:tcW w:w="1843" w:type="dxa"/>
            <w:vAlign w:val="bottom"/>
          </w:tcPr>
          <w:p w14:paraId="568139A7"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14.222 €</w:t>
            </w:r>
          </w:p>
        </w:tc>
        <w:tc>
          <w:tcPr>
            <w:tcW w:w="1883" w:type="dxa"/>
            <w:vAlign w:val="bottom"/>
          </w:tcPr>
          <w:p w14:paraId="368DA95D"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3,3%</w:t>
            </w:r>
          </w:p>
        </w:tc>
      </w:tr>
      <w:tr w:rsidR="009737A2" w14:paraId="2B04352B" w14:textId="77777777">
        <w:trPr>
          <w:trHeight w:val="307"/>
        </w:trPr>
        <w:tc>
          <w:tcPr>
            <w:tcW w:w="2967" w:type="dxa"/>
            <w:shd w:val="clear" w:color="auto" w:fill="8496B0"/>
            <w:vAlign w:val="bottom"/>
          </w:tcPr>
          <w:p w14:paraId="6F4186F8"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Cádiz capital</w:t>
            </w:r>
          </w:p>
        </w:tc>
        <w:tc>
          <w:tcPr>
            <w:tcW w:w="2268" w:type="dxa"/>
            <w:shd w:val="clear" w:color="auto" w:fill="D6DCE4"/>
            <w:vAlign w:val="bottom"/>
          </w:tcPr>
          <w:p w14:paraId="3FE3BD06"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26.552 €</w:t>
            </w:r>
          </w:p>
        </w:tc>
        <w:tc>
          <w:tcPr>
            <w:tcW w:w="1843" w:type="dxa"/>
            <w:shd w:val="clear" w:color="auto" w:fill="D6DCE4"/>
            <w:vAlign w:val="bottom"/>
          </w:tcPr>
          <w:p w14:paraId="1ED75C6F"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27.282 €</w:t>
            </w:r>
          </w:p>
        </w:tc>
        <w:tc>
          <w:tcPr>
            <w:tcW w:w="1883" w:type="dxa"/>
            <w:shd w:val="clear" w:color="auto" w:fill="D6DCE4"/>
            <w:vAlign w:val="bottom"/>
          </w:tcPr>
          <w:p w14:paraId="4701CC37"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2,7%</w:t>
            </w:r>
          </w:p>
        </w:tc>
      </w:tr>
      <w:tr w:rsidR="009737A2" w14:paraId="683ADABC" w14:textId="77777777">
        <w:trPr>
          <w:trHeight w:val="307"/>
        </w:trPr>
        <w:tc>
          <w:tcPr>
            <w:tcW w:w="2967" w:type="dxa"/>
            <w:shd w:val="clear" w:color="auto" w:fill="8496B0"/>
            <w:vAlign w:val="bottom"/>
          </w:tcPr>
          <w:p w14:paraId="5B788EA2"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Oviedo</w:t>
            </w:r>
          </w:p>
        </w:tc>
        <w:tc>
          <w:tcPr>
            <w:tcW w:w="2268" w:type="dxa"/>
            <w:vAlign w:val="bottom"/>
          </w:tcPr>
          <w:p w14:paraId="3B04B8CA"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15.774 €</w:t>
            </w:r>
          </w:p>
        </w:tc>
        <w:tc>
          <w:tcPr>
            <w:tcW w:w="1843" w:type="dxa"/>
            <w:vAlign w:val="bottom"/>
          </w:tcPr>
          <w:p w14:paraId="3F31F25A"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16.201 €</w:t>
            </w:r>
          </w:p>
        </w:tc>
        <w:tc>
          <w:tcPr>
            <w:tcW w:w="1883" w:type="dxa"/>
            <w:vAlign w:val="bottom"/>
          </w:tcPr>
          <w:p w14:paraId="7A2B3FC8"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2,7%</w:t>
            </w:r>
          </w:p>
        </w:tc>
      </w:tr>
      <w:tr w:rsidR="009737A2" w14:paraId="22DC03F4" w14:textId="77777777">
        <w:trPr>
          <w:trHeight w:val="307"/>
        </w:trPr>
        <w:tc>
          <w:tcPr>
            <w:tcW w:w="2967" w:type="dxa"/>
            <w:shd w:val="clear" w:color="auto" w:fill="8496B0"/>
            <w:vAlign w:val="bottom"/>
          </w:tcPr>
          <w:p w14:paraId="34E63A89"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Girona capital</w:t>
            </w:r>
          </w:p>
        </w:tc>
        <w:tc>
          <w:tcPr>
            <w:tcW w:w="2268" w:type="dxa"/>
            <w:shd w:val="clear" w:color="auto" w:fill="D6DCE4"/>
            <w:vAlign w:val="bottom"/>
          </w:tcPr>
          <w:p w14:paraId="7F60643F"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18.058 €</w:t>
            </w:r>
          </w:p>
        </w:tc>
        <w:tc>
          <w:tcPr>
            <w:tcW w:w="1843" w:type="dxa"/>
            <w:shd w:val="clear" w:color="auto" w:fill="D6DCE4"/>
            <w:vAlign w:val="bottom"/>
          </w:tcPr>
          <w:p w14:paraId="2FF2B3DB"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18.504 €</w:t>
            </w:r>
          </w:p>
        </w:tc>
        <w:tc>
          <w:tcPr>
            <w:tcW w:w="1883" w:type="dxa"/>
            <w:shd w:val="clear" w:color="auto" w:fill="D6DCE4"/>
            <w:vAlign w:val="bottom"/>
          </w:tcPr>
          <w:p w14:paraId="0CEAB2DA"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2,5%</w:t>
            </w:r>
          </w:p>
        </w:tc>
      </w:tr>
      <w:tr w:rsidR="009737A2" w14:paraId="55B8A8EA" w14:textId="77777777">
        <w:trPr>
          <w:trHeight w:val="307"/>
        </w:trPr>
        <w:tc>
          <w:tcPr>
            <w:tcW w:w="2967" w:type="dxa"/>
            <w:shd w:val="clear" w:color="auto" w:fill="8496B0"/>
            <w:vAlign w:val="bottom"/>
          </w:tcPr>
          <w:p w14:paraId="6D90684D"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Albacete capital</w:t>
            </w:r>
          </w:p>
        </w:tc>
        <w:tc>
          <w:tcPr>
            <w:tcW w:w="2268" w:type="dxa"/>
            <w:vAlign w:val="bottom"/>
          </w:tcPr>
          <w:p w14:paraId="57FE48CF"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17.086 €</w:t>
            </w:r>
          </w:p>
        </w:tc>
        <w:tc>
          <w:tcPr>
            <w:tcW w:w="1843" w:type="dxa"/>
            <w:vAlign w:val="bottom"/>
          </w:tcPr>
          <w:p w14:paraId="513C0A56"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17.477 €</w:t>
            </w:r>
          </w:p>
        </w:tc>
        <w:tc>
          <w:tcPr>
            <w:tcW w:w="1883" w:type="dxa"/>
            <w:vAlign w:val="bottom"/>
          </w:tcPr>
          <w:p w14:paraId="0765569E"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2,3%</w:t>
            </w:r>
          </w:p>
        </w:tc>
      </w:tr>
      <w:tr w:rsidR="009737A2" w14:paraId="0FBA8FEC" w14:textId="77777777">
        <w:trPr>
          <w:trHeight w:val="307"/>
        </w:trPr>
        <w:tc>
          <w:tcPr>
            <w:tcW w:w="2967" w:type="dxa"/>
            <w:shd w:val="clear" w:color="auto" w:fill="8496B0"/>
            <w:vAlign w:val="bottom"/>
          </w:tcPr>
          <w:p w14:paraId="2834F7B8"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 capital</w:t>
            </w:r>
          </w:p>
        </w:tc>
        <w:tc>
          <w:tcPr>
            <w:tcW w:w="2268" w:type="dxa"/>
            <w:shd w:val="clear" w:color="auto" w:fill="D6DCE4"/>
            <w:vAlign w:val="bottom"/>
          </w:tcPr>
          <w:p w14:paraId="1310181A"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18.636 €</w:t>
            </w:r>
          </w:p>
        </w:tc>
        <w:tc>
          <w:tcPr>
            <w:tcW w:w="1843" w:type="dxa"/>
            <w:shd w:val="clear" w:color="auto" w:fill="D6DCE4"/>
            <w:vAlign w:val="bottom"/>
          </w:tcPr>
          <w:p w14:paraId="6B795125"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19.037 €</w:t>
            </w:r>
          </w:p>
        </w:tc>
        <w:tc>
          <w:tcPr>
            <w:tcW w:w="1883" w:type="dxa"/>
            <w:shd w:val="clear" w:color="auto" w:fill="D6DCE4"/>
            <w:vAlign w:val="bottom"/>
          </w:tcPr>
          <w:p w14:paraId="282ADF05"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2,2%</w:t>
            </w:r>
          </w:p>
        </w:tc>
      </w:tr>
      <w:tr w:rsidR="009737A2" w14:paraId="09E466BE" w14:textId="77777777">
        <w:trPr>
          <w:trHeight w:val="307"/>
        </w:trPr>
        <w:tc>
          <w:tcPr>
            <w:tcW w:w="2967" w:type="dxa"/>
            <w:shd w:val="clear" w:color="auto" w:fill="8496B0"/>
            <w:vAlign w:val="bottom"/>
          </w:tcPr>
          <w:p w14:paraId="033000B1"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Toledo capital</w:t>
            </w:r>
          </w:p>
        </w:tc>
        <w:tc>
          <w:tcPr>
            <w:tcW w:w="2268" w:type="dxa"/>
            <w:vAlign w:val="bottom"/>
          </w:tcPr>
          <w:p w14:paraId="6397435E"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11.171 €</w:t>
            </w:r>
          </w:p>
        </w:tc>
        <w:tc>
          <w:tcPr>
            <w:tcW w:w="1843" w:type="dxa"/>
            <w:vAlign w:val="bottom"/>
          </w:tcPr>
          <w:p w14:paraId="3D00486A"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color w:val="000000"/>
                <w:sz w:val="22"/>
                <w:szCs w:val="22"/>
              </w:rPr>
              <w:t>11.407 €</w:t>
            </w:r>
          </w:p>
        </w:tc>
        <w:tc>
          <w:tcPr>
            <w:tcW w:w="1883" w:type="dxa"/>
            <w:vAlign w:val="bottom"/>
          </w:tcPr>
          <w:p w14:paraId="4EE6DE21"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2,1%</w:t>
            </w:r>
          </w:p>
        </w:tc>
      </w:tr>
      <w:tr w:rsidR="009737A2" w14:paraId="206A581F" w14:textId="77777777">
        <w:trPr>
          <w:trHeight w:val="307"/>
        </w:trPr>
        <w:tc>
          <w:tcPr>
            <w:tcW w:w="2967" w:type="dxa"/>
            <w:shd w:val="clear" w:color="auto" w:fill="8496B0"/>
            <w:vAlign w:val="bottom"/>
          </w:tcPr>
          <w:p w14:paraId="1A4636D5"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Palma de Mallorca</w:t>
            </w:r>
          </w:p>
        </w:tc>
        <w:tc>
          <w:tcPr>
            <w:tcW w:w="2268" w:type="dxa"/>
            <w:shd w:val="clear" w:color="auto" w:fill="D6DCE4"/>
            <w:vAlign w:val="bottom"/>
          </w:tcPr>
          <w:p w14:paraId="12B23883"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24.081 €</w:t>
            </w:r>
          </w:p>
        </w:tc>
        <w:tc>
          <w:tcPr>
            <w:tcW w:w="1843" w:type="dxa"/>
            <w:shd w:val="clear" w:color="auto" w:fill="D6DCE4"/>
            <w:vAlign w:val="bottom"/>
          </w:tcPr>
          <w:p w14:paraId="5A2EB6BB" w14:textId="77777777" w:rsidR="009737A2" w:rsidRDefault="00000000">
            <w:pPr>
              <w:jc w:val="center"/>
              <w:rPr>
                <w:rFonts w:ascii="Open Sans" w:eastAsia="Open Sans" w:hAnsi="Open Sans" w:cs="Open Sans"/>
                <w:b/>
                <w:bCs/>
                <w:color w:val="C00000"/>
                <w:sz w:val="22"/>
                <w:szCs w:val="22"/>
              </w:rPr>
            </w:pPr>
            <w:r>
              <w:rPr>
                <w:rFonts w:ascii="Open Sans" w:eastAsia="Open Sans" w:hAnsi="Open Sans" w:cs="Open Sans"/>
                <w:color w:val="000000"/>
                <w:sz w:val="22"/>
                <w:szCs w:val="22"/>
              </w:rPr>
              <w:t>24.509 €</w:t>
            </w:r>
          </w:p>
        </w:tc>
        <w:tc>
          <w:tcPr>
            <w:tcW w:w="1883" w:type="dxa"/>
            <w:shd w:val="clear" w:color="auto" w:fill="D6DCE4"/>
            <w:vAlign w:val="bottom"/>
          </w:tcPr>
          <w:p w14:paraId="4D25062A"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1,8%</w:t>
            </w:r>
          </w:p>
        </w:tc>
      </w:tr>
      <w:tr w:rsidR="009737A2" w14:paraId="3B92C1E2" w14:textId="77777777">
        <w:trPr>
          <w:trHeight w:val="307"/>
        </w:trPr>
        <w:tc>
          <w:tcPr>
            <w:tcW w:w="2967" w:type="dxa"/>
            <w:shd w:val="clear" w:color="auto" w:fill="8496B0"/>
            <w:vAlign w:val="bottom"/>
          </w:tcPr>
          <w:p w14:paraId="2AC34F17"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Castellón de la Plana / Castelló de la Plana</w:t>
            </w:r>
          </w:p>
        </w:tc>
        <w:tc>
          <w:tcPr>
            <w:tcW w:w="2268" w:type="dxa"/>
            <w:vAlign w:val="bottom"/>
          </w:tcPr>
          <w:p w14:paraId="21BDF72E"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8.155 €</w:t>
            </w:r>
          </w:p>
        </w:tc>
        <w:tc>
          <w:tcPr>
            <w:tcW w:w="1843" w:type="dxa"/>
            <w:vAlign w:val="bottom"/>
          </w:tcPr>
          <w:p w14:paraId="0FC060AD" w14:textId="77777777" w:rsidR="009737A2" w:rsidRDefault="00000000">
            <w:pPr>
              <w:jc w:val="center"/>
              <w:rPr>
                <w:rFonts w:ascii="Open Sans" w:eastAsia="Open Sans" w:hAnsi="Open Sans" w:cs="Open Sans"/>
                <w:b/>
                <w:bCs/>
                <w:color w:val="C00000"/>
                <w:sz w:val="22"/>
                <w:szCs w:val="22"/>
              </w:rPr>
            </w:pPr>
            <w:r>
              <w:rPr>
                <w:rFonts w:ascii="Open Sans" w:eastAsia="Open Sans" w:hAnsi="Open Sans" w:cs="Open Sans"/>
                <w:color w:val="000000"/>
                <w:sz w:val="22"/>
                <w:szCs w:val="22"/>
              </w:rPr>
              <w:t>8.293 €</w:t>
            </w:r>
          </w:p>
        </w:tc>
        <w:tc>
          <w:tcPr>
            <w:tcW w:w="1883" w:type="dxa"/>
            <w:vAlign w:val="bottom"/>
          </w:tcPr>
          <w:p w14:paraId="624992D4"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1,7%</w:t>
            </w:r>
          </w:p>
        </w:tc>
      </w:tr>
      <w:tr w:rsidR="009737A2" w14:paraId="0D686681" w14:textId="77777777">
        <w:trPr>
          <w:trHeight w:val="307"/>
        </w:trPr>
        <w:tc>
          <w:tcPr>
            <w:tcW w:w="2967" w:type="dxa"/>
            <w:shd w:val="clear" w:color="auto" w:fill="8496B0"/>
            <w:vAlign w:val="bottom"/>
          </w:tcPr>
          <w:p w14:paraId="0824C00A"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Bilbao</w:t>
            </w:r>
          </w:p>
        </w:tc>
        <w:tc>
          <w:tcPr>
            <w:tcW w:w="2268" w:type="dxa"/>
            <w:shd w:val="clear" w:color="auto" w:fill="D6DCE4"/>
            <w:vAlign w:val="bottom"/>
          </w:tcPr>
          <w:p w14:paraId="04E7F74F"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23.251 €</w:t>
            </w:r>
          </w:p>
        </w:tc>
        <w:tc>
          <w:tcPr>
            <w:tcW w:w="1843" w:type="dxa"/>
            <w:shd w:val="clear" w:color="auto" w:fill="D6DCE4"/>
            <w:vAlign w:val="bottom"/>
          </w:tcPr>
          <w:p w14:paraId="5207439A" w14:textId="77777777" w:rsidR="009737A2" w:rsidRDefault="00000000">
            <w:pPr>
              <w:jc w:val="center"/>
              <w:rPr>
                <w:rFonts w:ascii="Open Sans" w:eastAsia="Open Sans" w:hAnsi="Open Sans" w:cs="Open Sans"/>
                <w:b/>
                <w:bCs/>
                <w:color w:val="C00000"/>
                <w:sz w:val="22"/>
                <w:szCs w:val="22"/>
              </w:rPr>
            </w:pPr>
            <w:r>
              <w:rPr>
                <w:rFonts w:ascii="Open Sans" w:eastAsia="Open Sans" w:hAnsi="Open Sans" w:cs="Open Sans"/>
                <w:color w:val="000000"/>
                <w:sz w:val="22"/>
                <w:szCs w:val="22"/>
              </w:rPr>
              <w:t>23.568 €</w:t>
            </w:r>
          </w:p>
        </w:tc>
        <w:tc>
          <w:tcPr>
            <w:tcW w:w="1883" w:type="dxa"/>
            <w:shd w:val="clear" w:color="auto" w:fill="D6DCE4"/>
            <w:vAlign w:val="bottom"/>
          </w:tcPr>
          <w:p w14:paraId="7BB943BB"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1,4%</w:t>
            </w:r>
          </w:p>
        </w:tc>
      </w:tr>
      <w:tr w:rsidR="009737A2" w14:paraId="52A8415D" w14:textId="77777777">
        <w:trPr>
          <w:trHeight w:val="307"/>
        </w:trPr>
        <w:tc>
          <w:tcPr>
            <w:tcW w:w="2967" w:type="dxa"/>
            <w:shd w:val="clear" w:color="auto" w:fill="8496B0"/>
            <w:vAlign w:val="bottom"/>
          </w:tcPr>
          <w:p w14:paraId="79312938"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Barcelona capital</w:t>
            </w:r>
          </w:p>
        </w:tc>
        <w:tc>
          <w:tcPr>
            <w:tcW w:w="2268" w:type="dxa"/>
            <w:vAlign w:val="bottom"/>
          </w:tcPr>
          <w:p w14:paraId="6E0738AF"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17.922 €</w:t>
            </w:r>
          </w:p>
        </w:tc>
        <w:tc>
          <w:tcPr>
            <w:tcW w:w="1843" w:type="dxa"/>
            <w:vAlign w:val="bottom"/>
          </w:tcPr>
          <w:p w14:paraId="26168EC8" w14:textId="77777777" w:rsidR="009737A2" w:rsidRDefault="00000000">
            <w:pPr>
              <w:jc w:val="center"/>
              <w:rPr>
                <w:rFonts w:ascii="Open Sans" w:eastAsia="Open Sans" w:hAnsi="Open Sans" w:cs="Open Sans"/>
                <w:b/>
                <w:bCs/>
                <w:color w:val="C00000"/>
                <w:sz w:val="22"/>
                <w:szCs w:val="22"/>
              </w:rPr>
            </w:pPr>
            <w:r>
              <w:rPr>
                <w:rFonts w:ascii="Open Sans" w:eastAsia="Open Sans" w:hAnsi="Open Sans" w:cs="Open Sans"/>
                <w:color w:val="000000"/>
                <w:sz w:val="22"/>
                <w:szCs w:val="22"/>
              </w:rPr>
              <w:t>17.950 €</w:t>
            </w:r>
          </w:p>
        </w:tc>
        <w:tc>
          <w:tcPr>
            <w:tcW w:w="1883" w:type="dxa"/>
            <w:vAlign w:val="bottom"/>
          </w:tcPr>
          <w:p w14:paraId="4A705636"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0,2%</w:t>
            </w:r>
          </w:p>
        </w:tc>
      </w:tr>
      <w:tr w:rsidR="009737A2" w14:paraId="73E846F5" w14:textId="77777777">
        <w:trPr>
          <w:trHeight w:val="307"/>
        </w:trPr>
        <w:tc>
          <w:tcPr>
            <w:tcW w:w="2967" w:type="dxa"/>
            <w:shd w:val="clear" w:color="auto" w:fill="8496B0"/>
            <w:vAlign w:val="bottom"/>
          </w:tcPr>
          <w:p w14:paraId="1BE06E45"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Salamanca capital</w:t>
            </w:r>
          </w:p>
        </w:tc>
        <w:tc>
          <w:tcPr>
            <w:tcW w:w="2268" w:type="dxa"/>
            <w:shd w:val="clear" w:color="auto" w:fill="D6DCE4"/>
            <w:vAlign w:val="bottom"/>
          </w:tcPr>
          <w:p w14:paraId="0BF30C9C"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23.908 €</w:t>
            </w:r>
          </w:p>
        </w:tc>
        <w:tc>
          <w:tcPr>
            <w:tcW w:w="1843" w:type="dxa"/>
            <w:shd w:val="clear" w:color="auto" w:fill="D6DCE4"/>
            <w:vAlign w:val="bottom"/>
          </w:tcPr>
          <w:p w14:paraId="0637715A" w14:textId="77777777" w:rsidR="009737A2" w:rsidRDefault="00000000">
            <w:pPr>
              <w:jc w:val="center"/>
              <w:rPr>
                <w:rFonts w:ascii="Open Sans" w:eastAsia="Open Sans" w:hAnsi="Open Sans" w:cs="Open Sans"/>
                <w:b/>
                <w:bCs/>
                <w:color w:val="C00000"/>
                <w:sz w:val="22"/>
                <w:szCs w:val="22"/>
              </w:rPr>
            </w:pPr>
            <w:r>
              <w:rPr>
                <w:rFonts w:ascii="Open Sans" w:eastAsia="Open Sans" w:hAnsi="Open Sans" w:cs="Open Sans"/>
                <w:color w:val="000000"/>
                <w:sz w:val="22"/>
                <w:szCs w:val="22"/>
              </w:rPr>
              <w:t>23.944 €</w:t>
            </w:r>
          </w:p>
        </w:tc>
        <w:tc>
          <w:tcPr>
            <w:tcW w:w="1883" w:type="dxa"/>
            <w:shd w:val="clear" w:color="auto" w:fill="D6DCE4"/>
            <w:vAlign w:val="bottom"/>
          </w:tcPr>
          <w:p w14:paraId="18043169"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0,1%</w:t>
            </w:r>
          </w:p>
        </w:tc>
      </w:tr>
      <w:tr w:rsidR="009737A2" w14:paraId="5212E94B" w14:textId="77777777">
        <w:trPr>
          <w:trHeight w:val="307"/>
        </w:trPr>
        <w:tc>
          <w:tcPr>
            <w:tcW w:w="2967" w:type="dxa"/>
            <w:shd w:val="clear" w:color="auto" w:fill="8496B0"/>
            <w:vAlign w:val="bottom"/>
          </w:tcPr>
          <w:p w14:paraId="30F71F96"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Santa Cruz de Tenerife capital</w:t>
            </w:r>
          </w:p>
        </w:tc>
        <w:tc>
          <w:tcPr>
            <w:tcW w:w="2268" w:type="dxa"/>
            <w:vAlign w:val="bottom"/>
          </w:tcPr>
          <w:p w14:paraId="13839DA1"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19.332 €</w:t>
            </w:r>
          </w:p>
        </w:tc>
        <w:tc>
          <w:tcPr>
            <w:tcW w:w="1843" w:type="dxa"/>
            <w:vAlign w:val="bottom"/>
          </w:tcPr>
          <w:p w14:paraId="3B42DEB0" w14:textId="77777777" w:rsidR="009737A2" w:rsidRDefault="00000000">
            <w:pPr>
              <w:jc w:val="center"/>
              <w:rPr>
                <w:rFonts w:ascii="Open Sans" w:eastAsia="Open Sans" w:hAnsi="Open Sans" w:cs="Open Sans"/>
                <w:b/>
                <w:bCs/>
                <w:color w:val="C00000"/>
                <w:sz w:val="22"/>
                <w:szCs w:val="22"/>
              </w:rPr>
            </w:pPr>
            <w:r>
              <w:rPr>
                <w:rFonts w:ascii="Open Sans" w:eastAsia="Open Sans" w:hAnsi="Open Sans" w:cs="Open Sans"/>
                <w:color w:val="000000"/>
                <w:sz w:val="22"/>
                <w:szCs w:val="22"/>
              </w:rPr>
              <w:t>19.316 €</w:t>
            </w:r>
          </w:p>
        </w:tc>
        <w:tc>
          <w:tcPr>
            <w:tcW w:w="1883" w:type="dxa"/>
            <w:vAlign w:val="bottom"/>
          </w:tcPr>
          <w:p w14:paraId="0F65DE6E"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9C0006"/>
                <w:sz w:val="22"/>
                <w:szCs w:val="22"/>
              </w:rPr>
              <w:t>-0,1%</w:t>
            </w:r>
          </w:p>
        </w:tc>
      </w:tr>
      <w:tr w:rsidR="009737A2" w14:paraId="21850FE7" w14:textId="77777777">
        <w:trPr>
          <w:trHeight w:val="307"/>
        </w:trPr>
        <w:tc>
          <w:tcPr>
            <w:tcW w:w="2967" w:type="dxa"/>
            <w:shd w:val="clear" w:color="auto" w:fill="8496B0"/>
            <w:vAlign w:val="bottom"/>
          </w:tcPr>
          <w:p w14:paraId="3A8CB917"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Lleida capital</w:t>
            </w:r>
          </w:p>
        </w:tc>
        <w:tc>
          <w:tcPr>
            <w:tcW w:w="2268" w:type="dxa"/>
            <w:shd w:val="clear" w:color="auto" w:fill="D6DCE4"/>
            <w:vAlign w:val="bottom"/>
          </w:tcPr>
          <w:p w14:paraId="43A56ED6"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10.895 €</w:t>
            </w:r>
          </w:p>
        </w:tc>
        <w:tc>
          <w:tcPr>
            <w:tcW w:w="1843" w:type="dxa"/>
            <w:shd w:val="clear" w:color="auto" w:fill="D6DCE4"/>
            <w:vAlign w:val="bottom"/>
          </w:tcPr>
          <w:p w14:paraId="3C99EC85" w14:textId="77777777" w:rsidR="009737A2" w:rsidRDefault="00000000">
            <w:pPr>
              <w:jc w:val="center"/>
              <w:rPr>
                <w:rFonts w:ascii="Open Sans" w:eastAsia="Open Sans" w:hAnsi="Open Sans" w:cs="Open Sans"/>
                <w:b/>
                <w:bCs/>
                <w:color w:val="C00000"/>
                <w:sz w:val="22"/>
                <w:szCs w:val="22"/>
              </w:rPr>
            </w:pPr>
            <w:r>
              <w:rPr>
                <w:rFonts w:ascii="Open Sans" w:eastAsia="Open Sans" w:hAnsi="Open Sans" w:cs="Open Sans"/>
                <w:color w:val="000000"/>
                <w:sz w:val="22"/>
                <w:szCs w:val="22"/>
              </w:rPr>
              <w:t>10.839 €</w:t>
            </w:r>
          </w:p>
        </w:tc>
        <w:tc>
          <w:tcPr>
            <w:tcW w:w="1883" w:type="dxa"/>
            <w:shd w:val="clear" w:color="auto" w:fill="D6DCE4"/>
            <w:vAlign w:val="bottom"/>
          </w:tcPr>
          <w:p w14:paraId="78138FEB"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9C0006"/>
                <w:sz w:val="22"/>
                <w:szCs w:val="22"/>
              </w:rPr>
              <w:t>-0,5%</w:t>
            </w:r>
          </w:p>
        </w:tc>
      </w:tr>
      <w:tr w:rsidR="009737A2" w14:paraId="4C3E1FC5" w14:textId="77777777">
        <w:trPr>
          <w:trHeight w:val="307"/>
        </w:trPr>
        <w:tc>
          <w:tcPr>
            <w:tcW w:w="2967" w:type="dxa"/>
            <w:shd w:val="clear" w:color="auto" w:fill="8496B0"/>
            <w:vAlign w:val="bottom"/>
          </w:tcPr>
          <w:p w14:paraId="08BFC931"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Tarragona capital</w:t>
            </w:r>
          </w:p>
        </w:tc>
        <w:tc>
          <w:tcPr>
            <w:tcW w:w="2268" w:type="dxa"/>
            <w:vAlign w:val="bottom"/>
          </w:tcPr>
          <w:p w14:paraId="40962016"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15.463 €</w:t>
            </w:r>
          </w:p>
        </w:tc>
        <w:tc>
          <w:tcPr>
            <w:tcW w:w="1843" w:type="dxa"/>
            <w:vAlign w:val="bottom"/>
          </w:tcPr>
          <w:p w14:paraId="5A59CA2D" w14:textId="77777777" w:rsidR="009737A2" w:rsidRDefault="00000000">
            <w:pPr>
              <w:jc w:val="center"/>
              <w:rPr>
                <w:rFonts w:ascii="Open Sans" w:eastAsia="Open Sans" w:hAnsi="Open Sans" w:cs="Open Sans"/>
                <w:b/>
                <w:bCs/>
                <w:color w:val="C00000"/>
                <w:sz w:val="22"/>
                <w:szCs w:val="22"/>
              </w:rPr>
            </w:pPr>
            <w:r>
              <w:rPr>
                <w:rFonts w:ascii="Open Sans" w:eastAsia="Open Sans" w:hAnsi="Open Sans" w:cs="Open Sans"/>
                <w:color w:val="000000"/>
                <w:sz w:val="22"/>
                <w:szCs w:val="22"/>
              </w:rPr>
              <w:t>15.323 €</w:t>
            </w:r>
          </w:p>
        </w:tc>
        <w:tc>
          <w:tcPr>
            <w:tcW w:w="1883" w:type="dxa"/>
            <w:vAlign w:val="bottom"/>
          </w:tcPr>
          <w:p w14:paraId="41AE068D"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9C0006"/>
                <w:sz w:val="22"/>
                <w:szCs w:val="22"/>
              </w:rPr>
              <w:t>-0,9%</w:t>
            </w:r>
          </w:p>
        </w:tc>
      </w:tr>
      <w:tr w:rsidR="009737A2" w14:paraId="0067506C" w14:textId="77777777">
        <w:trPr>
          <w:trHeight w:val="307"/>
        </w:trPr>
        <w:tc>
          <w:tcPr>
            <w:tcW w:w="2967" w:type="dxa"/>
            <w:shd w:val="clear" w:color="auto" w:fill="8496B0"/>
            <w:vAlign w:val="bottom"/>
          </w:tcPr>
          <w:p w14:paraId="0655AC86"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Córdoba capital</w:t>
            </w:r>
          </w:p>
        </w:tc>
        <w:tc>
          <w:tcPr>
            <w:tcW w:w="2268" w:type="dxa"/>
            <w:shd w:val="clear" w:color="auto" w:fill="D6DCE4"/>
            <w:vAlign w:val="bottom"/>
          </w:tcPr>
          <w:p w14:paraId="1FC84FFF"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20.936 €</w:t>
            </w:r>
          </w:p>
        </w:tc>
        <w:tc>
          <w:tcPr>
            <w:tcW w:w="1843" w:type="dxa"/>
            <w:shd w:val="clear" w:color="auto" w:fill="D6DCE4"/>
            <w:vAlign w:val="bottom"/>
          </w:tcPr>
          <w:p w14:paraId="62B1AFC5" w14:textId="77777777" w:rsidR="009737A2" w:rsidRDefault="00000000">
            <w:pPr>
              <w:jc w:val="center"/>
              <w:rPr>
                <w:rFonts w:ascii="Open Sans" w:eastAsia="Open Sans" w:hAnsi="Open Sans" w:cs="Open Sans"/>
                <w:b/>
                <w:bCs/>
                <w:color w:val="C00000"/>
                <w:sz w:val="22"/>
                <w:szCs w:val="22"/>
              </w:rPr>
            </w:pPr>
            <w:r>
              <w:rPr>
                <w:rFonts w:ascii="Open Sans" w:eastAsia="Open Sans" w:hAnsi="Open Sans" w:cs="Open Sans"/>
                <w:color w:val="000000"/>
                <w:sz w:val="22"/>
                <w:szCs w:val="22"/>
              </w:rPr>
              <w:t>20.528 €</w:t>
            </w:r>
          </w:p>
        </w:tc>
        <w:tc>
          <w:tcPr>
            <w:tcW w:w="1883" w:type="dxa"/>
            <w:shd w:val="clear" w:color="auto" w:fill="D6DCE4"/>
            <w:vAlign w:val="bottom"/>
          </w:tcPr>
          <w:p w14:paraId="55B0F301"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9C0006"/>
                <w:sz w:val="22"/>
                <w:szCs w:val="22"/>
              </w:rPr>
              <w:t>-1,9%</w:t>
            </w:r>
          </w:p>
        </w:tc>
      </w:tr>
      <w:tr w:rsidR="009737A2" w14:paraId="10FB0632" w14:textId="77777777">
        <w:trPr>
          <w:trHeight w:val="307"/>
        </w:trPr>
        <w:tc>
          <w:tcPr>
            <w:tcW w:w="2967" w:type="dxa"/>
            <w:shd w:val="clear" w:color="auto" w:fill="8496B0"/>
            <w:vAlign w:val="bottom"/>
          </w:tcPr>
          <w:p w14:paraId="1684F7A9"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Donostia - San Sebastián</w:t>
            </w:r>
          </w:p>
        </w:tc>
        <w:tc>
          <w:tcPr>
            <w:tcW w:w="2268" w:type="dxa"/>
            <w:vAlign w:val="bottom"/>
          </w:tcPr>
          <w:p w14:paraId="061DB942"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25.775 €</w:t>
            </w:r>
          </w:p>
        </w:tc>
        <w:tc>
          <w:tcPr>
            <w:tcW w:w="1843" w:type="dxa"/>
            <w:vAlign w:val="bottom"/>
          </w:tcPr>
          <w:p w14:paraId="3D58D6ED" w14:textId="77777777" w:rsidR="009737A2" w:rsidRDefault="00000000">
            <w:pPr>
              <w:jc w:val="center"/>
              <w:rPr>
                <w:rFonts w:ascii="Open Sans" w:eastAsia="Open Sans" w:hAnsi="Open Sans" w:cs="Open Sans"/>
                <w:b/>
                <w:bCs/>
                <w:color w:val="C00000"/>
                <w:sz w:val="22"/>
                <w:szCs w:val="22"/>
              </w:rPr>
            </w:pPr>
            <w:r>
              <w:rPr>
                <w:rFonts w:ascii="Open Sans" w:eastAsia="Open Sans" w:hAnsi="Open Sans" w:cs="Open Sans"/>
                <w:color w:val="000000"/>
                <w:sz w:val="22"/>
                <w:szCs w:val="22"/>
              </w:rPr>
              <w:t>25.220 €</w:t>
            </w:r>
          </w:p>
        </w:tc>
        <w:tc>
          <w:tcPr>
            <w:tcW w:w="1883" w:type="dxa"/>
            <w:vAlign w:val="bottom"/>
          </w:tcPr>
          <w:p w14:paraId="143A05BE"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9C0006"/>
                <w:sz w:val="22"/>
                <w:szCs w:val="22"/>
              </w:rPr>
              <w:t>-2,2%</w:t>
            </w:r>
          </w:p>
        </w:tc>
      </w:tr>
      <w:tr w:rsidR="009737A2" w14:paraId="0338F5A8" w14:textId="77777777">
        <w:trPr>
          <w:trHeight w:val="307"/>
        </w:trPr>
        <w:tc>
          <w:tcPr>
            <w:tcW w:w="2967" w:type="dxa"/>
            <w:shd w:val="clear" w:color="auto" w:fill="8496B0"/>
            <w:vAlign w:val="bottom"/>
          </w:tcPr>
          <w:p w14:paraId="09295A2C"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Almería capital</w:t>
            </w:r>
          </w:p>
        </w:tc>
        <w:tc>
          <w:tcPr>
            <w:tcW w:w="2268" w:type="dxa"/>
            <w:shd w:val="clear" w:color="auto" w:fill="D6DCE4"/>
            <w:vAlign w:val="bottom"/>
          </w:tcPr>
          <w:p w14:paraId="127511B2"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21.668 €</w:t>
            </w:r>
          </w:p>
        </w:tc>
        <w:tc>
          <w:tcPr>
            <w:tcW w:w="1843" w:type="dxa"/>
            <w:shd w:val="clear" w:color="auto" w:fill="D6DCE4"/>
            <w:vAlign w:val="bottom"/>
          </w:tcPr>
          <w:p w14:paraId="3034869F" w14:textId="77777777" w:rsidR="009737A2" w:rsidRDefault="00000000">
            <w:pPr>
              <w:jc w:val="center"/>
              <w:rPr>
                <w:rFonts w:ascii="Open Sans" w:eastAsia="Open Sans" w:hAnsi="Open Sans" w:cs="Open Sans"/>
                <w:b/>
                <w:bCs/>
                <w:color w:val="C00000"/>
                <w:sz w:val="22"/>
                <w:szCs w:val="22"/>
              </w:rPr>
            </w:pPr>
            <w:r>
              <w:rPr>
                <w:rFonts w:ascii="Open Sans" w:eastAsia="Open Sans" w:hAnsi="Open Sans" w:cs="Open Sans"/>
                <w:color w:val="000000"/>
                <w:sz w:val="22"/>
                <w:szCs w:val="22"/>
              </w:rPr>
              <w:t>21.150 €</w:t>
            </w:r>
          </w:p>
        </w:tc>
        <w:tc>
          <w:tcPr>
            <w:tcW w:w="1883" w:type="dxa"/>
            <w:shd w:val="clear" w:color="auto" w:fill="D6DCE4"/>
            <w:vAlign w:val="bottom"/>
          </w:tcPr>
          <w:p w14:paraId="6A1D5B00"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9C0006"/>
                <w:sz w:val="22"/>
                <w:szCs w:val="22"/>
              </w:rPr>
              <w:t>-2,4%</w:t>
            </w:r>
          </w:p>
        </w:tc>
      </w:tr>
      <w:tr w:rsidR="009737A2" w14:paraId="17F0D53A" w14:textId="77777777">
        <w:trPr>
          <w:trHeight w:val="307"/>
        </w:trPr>
        <w:tc>
          <w:tcPr>
            <w:tcW w:w="2967" w:type="dxa"/>
            <w:shd w:val="clear" w:color="auto" w:fill="8496B0"/>
            <w:vAlign w:val="bottom"/>
          </w:tcPr>
          <w:p w14:paraId="3B34DBAA"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Segovia capital</w:t>
            </w:r>
          </w:p>
        </w:tc>
        <w:tc>
          <w:tcPr>
            <w:tcW w:w="2268" w:type="dxa"/>
            <w:vAlign w:val="bottom"/>
          </w:tcPr>
          <w:p w14:paraId="75DBD3FC"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18.249 €</w:t>
            </w:r>
          </w:p>
        </w:tc>
        <w:tc>
          <w:tcPr>
            <w:tcW w:w="1843" w:type="dxa"/>
            <w:vAlign w:val="bottom"/>
          </w:tcPr>
          <w:p w14:paraId="0D60697B" w14:textId="77777777" w:rsidR="009737A2" w:rsidRDefault="00000000">
            <w:pPr>
              <w:jc w:val="center"/>
              <w:rPr>
                <w:rFonts w:ascii="Open Sans" w:eastAsia="Open Sans" w:hAnsi="Open Sans" w:cs="Open Sans"/>
                <w:b/>
                <w:bCs/>
                <w:color w:val="C00000"/>
                <w:sz w:val="22"/>
                <w:szCs w:val="22"/>
              </w:rPr>
            </w:pPr>
            <w:r>
              <w:rPr>
                <w:rFonts w:ascii="Open Sans" w:eastAsia="Open Sans" w:hAnsi="Open Sans" w:cs="Open Sans"/>
                <w:color w:val="000000"/>
                <w:sz w:val="22"/>
                <w:szCs w:val="22"/>
              </w:rPr>
              <w:t>17.802 €</w:t>
            </w:r>
          </w:p>
        </w:tc>
        <w:tc>
          <w:tcPr>
            <w:tcW w:w="1883" w:type="dxa"/>
            <w:vAlign w:val="bottom"/>
          </w:tcPr>
          <w:p w14:paraId="46BB3BC5"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9C0006"/>
                <w:sz w:val="22"/>
                <w:szCs w:val="22"/>
              </w:rPr>
              <w:t>-2,5%</w:t>
            </w:r>
          </w:p>
        </w:tc>
      </w:tr>
      <w:tr w:rsidR="009737A2" w14:paraId="4DE933C5" w14:textId="77777777">
        <w:trPr>
          <w:trHeight w:val="307"/>
        </w:trPr>
        <w:tc>
          <w:tcPr>
            <w:tcW w:w="2967" w:type="dxa"/>
            <w:shd w:val="clear" w:color="auto" w:fill="8496B0"/>
            <w:vAlign w:val="bottom"/>
          </w:tcPr>
          <w:p w14:paraId="0D30D1B0"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Pontevedra capital</w:t>
            </w:r>
          </w:p>
        </w:tc>
        <w:tc>
          <w:tcPr>
            <w:tcW w:w="2268" w:type="dxa"/>
            <w:shd w:val="clear" w:color="auto" w:fill="D6DCE4"/>
            <w:vAlign w:val="bottom"/>
          </w:tcPr>
          <w:p w14:paraId="24E90895"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22.489 €</w:t>
            </w:r>
          </w:p>
        </w:tc>
        <w:tc>
          <w:tcPr>
            <w:tcW w:w="1843" w:type="dxa"/>
            <w:shd w:val="clear" w:color="auto" w:fill="D6DCE4"/>
            <w:vAlign w:val="bottom"/>
          </w:tcPr>
          <w:p w14:paraId="1AFB0616" w14:textId="77777777" w:rsidR="009737A2" w:rsidRDefault="00000000">
            <w:pPr>
              <w:jc w:val="center"/>
              <w:rPr>
                <w:rFonts w:ascii="Open Sans" w:eastAsia="Open Sans" w:hAnsi="Open Sans" w:cs="Open Sans"/>
                <w:b/>
                <w:bCs/>
                <w:color w:val="C00000"/>
                <w:sz w:val="22"/>
                <w:szCs w:val="22"/>
              </w:rPr>
            </w:pPr>
            <w:r>
              <w:rPr>
                <w:rFonts w:ascii="Open Sans" w:eastAsia="Open Sans" w:hAnsi="Open Sans" w:cs="Open Sans"/>
                <w:color w:val="000000"/>
                <w:sz w:val="22"/>
                <w:szCs w:val="22"/>
              </w:rPr>
              <w:t>21.600 €</w:t>
            </w:r>
          </w:p>
        </w:tc>
        <w:tc>
          <w:tcPr>
            <w:tcW w:w="1883" w:type="dxa"/>
            <w:shd w:val="clear" w:color="auto" w:fill="D6DCE4"/>
            <w:vAlign w:val="bottom"/>
          </w:tcPr>
          <w:p w14:paraId="2B25382F"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9C0006"/>
                <w:sz w:val="22"/>
                <w:szCs w:val="22"/>
              </w:rPr>
              <w:t>-4,0%</w:t>
            </w:r>
          </w:p>
        </w:tc>
      </w:tr>
      <w:tr w:rsidR="009737A2" w14:paraId="17554F0E" w14:textId="77777777">
        <w:trPr>
          <w:trHeight w:val="307"/>
        </w:trPr>
        <w:tc>
          <w:tcPr>
            <w:tcW w:w="2967" w:type="dxa"/>
            <w:shd w:val="clear" w:color="auto" w:fill="8496B0"/>
            <w:vAlign w:val="bottom"/>
          </w:tcPr>
          <w:p w14:paraId="0673FE76"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Zaragoza capital</w:t>
            </w:r>
          </w:p>
        </w:tc>
        <w:tc>
          <w:tcPr>
            <w:tcW w:w="2268" w:type="dxa"/>
            <w:vAlign w:val="bottom"/>
          </w:tcPr>
          <w:p w14:paraId="2AF5ABF1"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15.023 €</w:t>
            </w:r>
          </w:p>
        </w:tc>
        <w:tc>
          <w:tcPr>
            <w:tcW w:w="1843" w:type="dxa"/>
            <w:vAlign w:val="bottom"/>
          </w:tcPr>
          <w:p w14:paraId="2DD2036F" w14:textId="77777777" w:rsidR="009737A2" w:rsidRDefault="00000000">
            <w:pPr>
              <w:jc w:val="center"/>
              <w:rPr>
                <w:rFonts w:ascii="Open Sans" w:eastAsia="Open Sans" w:hAnsi="Open Sans" w:cs="Open Sans"/>
                <w:b/>
                <w:bCs/>
                <w:color w:val="C00000"/>
                <w:sz w:val="22"/>
                <w:szCs w:val="22"/>
              </w:rPr>
            </w:pPr>
            <w:r>
              <w:rPr>
                <w:rFonts w:ascii="Open Sans" w:eastAsia="Open Sans" w:hAnsi="Open Sans" w:cs="Open Sans"/>
                <w:color w:val="000000"/>
                <w:sz w:val="22"/>
                <w:szCs w:val="22"/>
              </w:rPr>
              <w:t>14.407 €</w:t>
            </w:r>
          </w:p>
        </w:tc>
        <w:tc>
          <w:tcPr>
            <w:tcW w:w="1883" w:type="dxa"/>
            <w:vAlign w:val="bottom"/>
          </w:tcPr>
          <w:p w14:paraId="6CDA8CB8"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9C0006"/>
                <w:sz w:val="22"/>
                <w:szCs w:val="22"/>
              </w:rPr>
              <w:t>-4,1%</w:t>
            </w:r>
          </w:p>
        </w:tc>
      </w:tr>
      <w:tr w:rsidR="009737A2" w14:paraId="7896FA10" w14:textId="77777777">
        <w:trPr>
          <w:trHeight w:val="307"/>
        </w:trPr>
        <w:tc>
          <w:tcPr>
            <w:tcW w:w="2967" w:type="dxa"/>
            <w:shd w:val="clear" w:color="auto" w:fill="8496B0"/>
            <w:vAlign w:val="bottom"/>
          </w:tcPr>
          <w:p w14:paraId="3EC68841"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Granada capital</w:t>
            </w:r>
          </w:p>
        </w:tc>
        <w:tc>
          <w:tcPr>
            <w:tcW w:w="2268" w:type="dxa"/>
            <w:shd w:val="clear" w:color="auto" w:fill="D6DCE4"/>
            <w:vAlign w:val="bottom"/>
          </w:tcPr>
          <w:p w14:paraId="6165F9FB"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25.395 €</w:t>
            </w:r>
          </w:p>
        </w:tc>
        <w:tc>
          <w:tcPr>
            <w:tcW w:w="1843" w:type="dxa"/>
            <w:shd w:val="clear" w:color="auto" w:fill="D6DCE4"/>
            <w:vAlign w:val="bottom"/>
          </w:tcPr>
          <w:p w14:paraId="20340041" w14:textId="77777777" w:rsidR="009737A2" w:rsidRDefault="00000000">
            <w:pPr>
              <w:jc w:val="center"/>
              <w:rPr>
                <w:rFonts w:ascii="Open Sans" w:eastAsia="Open Sans" w:hAnsi="Open Sans" w:cs="Open Sans"/>
                <w:b/>
                <w:bCs/>
                <w:color w:val="C00000"/>
                <w:sz w:val="22"/>
                <w:szCs w:val="22"/>
              </w:rPr>
            </w:pPr>
            <w:r>
              <w:rPr>
                <w:rFonts w:ascii="Open Sans" w:eastAsia="Open Sans" w:hAnsi="Open Sans" w:cs="Open Sans"/>
                <w:color w:val="000000"/>
                <w:sz w:val="22"/>
                <w:szCs w:val="22"/>
              </w:rPr>
              <w:t>24.349 €</w:t>
            </w:r>
          </w:p>
        </w:tc>
        <w:tc>
          <w:tcPr>
            <w:tcW w:w="1883" w:type="dxa"/>
            <w:shd w:val="clear" w:color="auto" w:fill="D6DCE4"/>
            <w:vAlign w:val="bottom"/>
          </w:tcPr>
          <w:p w14:paraId="05FA90F0"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9C0006"/>
                <w:sz w:val="22"/>
                <w:szCs w:val="22"/>
              </w:rPr>
              <w:t>-4,1%</w:t>
            </w:r>
          </w:p>
        </w:tc>
      </w:tr>
      <w:tr w:rsidR="009737A2" w14:paraId="2E29658B" w14:textId="77777777">
        <w:trPr>
          <w:trHeight w:val="307"/>
        </w:trPr>
        <w:tc>
          <w:tcPr>
            <w:tcW w:w="2967" w:type="dxa"/>
            <w:shd w:val="clear" w:color="auto" w:fill="8496B0"/>
            <w:vAlign w:val="bottom"/>
          </w:tcPr>
          <w:p w14:paraId="53041E77"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Vitoria - Gasteiz</w:t>
            </w:r>
          </w:p>
        </w:tc>
        <w:tc>
          <w:tcPr>
            <w:tcW w:w="2268" w:type="dxa"/>
            <w:vAlign w:val="bottom"/>
          </w:tcPr>
          <w:p w14:paraId="60118F60"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19.540 €</w:t>
            </w:r>
          </w:p>
        </w:tc>
        <w:tc>
          <w:tcPr>
            <w:tcW w:w="1843" w:type="dxa"/>
            <w:vAlign w:val="bottom"/>
          </w:tcPr>
          <w:p w14:paraId="1CB62F0B" w14:textId="77777777" w:rsidR="009737A2" w:rsidRDefault="00000000">
            <w:pPr>
              <w:jc w:val="center"/>
              <w:rPr>
                <w:rFonts w:ascii="Open Sans" w:eastAsia="Open Sans" w:hAnsi="Open Sans" w:cs="Open Sans"/>
                <w:b/>
                <w:bCs/>
                <w:color w:val="C00000"/>
                <w:sz w:val="22"/>
                <w:szCs w:val="22"/>
              </w:rPr>
            </w:pPr>
            <w:r>
              <w:rPr>
                <w:rFonts w:ascii="Open Sans" w:eastAsia="Open Sans" w:hAnsi="Open Sans" w:cs="Open Sans"/>
                <w:color w:val="000000"/>
                <w:sz w:val="22"/>
                <w:szCs w:val="22"/>
              </w:rPr>
              <w:t>18.664 €</w:t>
            </w:r>
          </w:p>
        </w:tc>
        <w:tc>
          <w:tcPr>
            <w:tcW w:w="1883" w:type="dxa"/>
            <w:vAlign w:val="bottom"/>
          </w:tcPr>
          <w:p w14:paraId="14377252"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9C0006"/>
                <w:sz w:val="22"/>
                <w:szCs w:val="22"/>
              </w:rPr>
              <w:t>-4,5%</w:t>
            </w:r>
          </w:p>
        </w:tc>
      </w:tr>
      <w:tr w:rsidR="009737A2" w14:paraId="748E7C1B" w14:textId="77777777">
        <w:trPr>
          <w:trHeight w:val="307"/>
        </w:trPr>
        <w:tc>
          <w:tcPr>
            <w:tcW w:w="2967" w:type="dxa"/>
            <w:shd w:val="clear" w:color="auto" w:fill="8496B0"/>
            <w:vAlign w:val="bottom"/>
          </w:tcPr>
          <w:p w14:paraId="0529505A"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León capital</w:t>
            </w:r>
          </w:p>
        </w:tc>
        <w:tc>
          <w:tcPr>
            <w:tcW w:w="2268" w:type="dxa"/>
            <w:shd w:val="clear" w:color="auto" w:fill="D5DCE4"/>
            <w:vAlign w:val="bottom"/>
          </w:tcPr>
          <w:p w14:paraId="1CFC51C8"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17.142 €</w:t>
            </w:r>
          </w:p>
        </w:tc>
        <w:tc>
          <w:tcPr>
            <w:tcW w:w="1843" w:type="dxa"/>
            <w:shd w:val="clear" w:color="auto" w:fill="D5DCE4"/>
            <w:vAlign w:val="bottom"/>
          </w:tcPr>
          <w:p w14:paraId="16DA2B44"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16.130 €</w:t>
            </w:r>
          </w:p>
        </w:tc>
        <w:tc>
          <w:tcPr>
            <w:tcW w:w="1883" w:type="dxa"/>
            <w:shd w:val="clear" w:color="auto" w:fill="D5DCE4"/>
            <w:vAlign w:val="bottom"/>
          </w:tcPr>
          <w:p w14:paraId="4ABA9FBA" w14:textId="77777777" w:rsidR="009737A2" w:rsidRDefault="00000000">
            <w:pPr>
              <w:jc w:val="center"/>
              <w:rPr>
                <w:rFonts w:ascii="Open Sans" w:eastAsia="Open Sans" w:hAnsi="Open Sans" w:cs="Open Sans"/>
                <w:b/>
                <w:bCs/>
                <w:color w:val="9C0006"/>
                <w:sz w:val="22"/>
                <w:szCs w:val="22"/>
              </w:rPr>
            </w:pPr>
            <w:r>
              <w:rPr>
                <w:rFonts w:ascii="Open Sans" w:eastAsia="Open Sans" w:hAnsi="Open Sans" w:cs="Open Sans"/>
                <w:b/>
                <w:bCs/>
                <w:color w:val="9C0006"/>
                <w:sz w:val="22"/>
                <w:szCs w:val="22"/>
              </w:rPr>
              <w:t>-5,9%</w:t>
            </w:r>
          </w:p>
        </w:tc>
      </w:tr>
      <w:tr w:rsidR="009737A2" w14:paraId="05FFD2FF" w14:textId="77777777">
        <w:trPr>
          <w:trHeight w:val="307"/>
        </w:trPr>
        <w:tc>
          <w:tcPr>
            <w:tcW w:w="2967" w:type="dxa"/>
            <w:shd w:val="clear" w:color="auto" w:fill="8496B0"/>
            <w:vAlign w:val="bottom"/>
          </w:tcPr>
          <w:p w14:paraId="193C1A56"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Santander</w:t>
            </w:r>
          </w:p>
        </w:tc>
        <w:tc>
          <w:tcPr>
            <w:tcW w:w="2268" w:type="dxa"/>
            <w:vAlign w:val="bottom"/>
          </w:tcPr>
          <w:p w14:paraId="31CB18E7"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21.135 €</w:t>
            </w:r>
          </w:p>
        </w:tc>
        <w:tc>
          <w:tcPr>
            <w:tcW w:w="1843" w:type="dxa"/>
            <w:vAlign w:val="bottom"/>
          </w:tcPr>
          <w:p w14:paraId="57873095"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19.641 €</w:t>
            </w:r>
          </w:p>
        </w:tc>
        <w:tc>
          <w:tcPr>
            <w:tcW w:w="1883" w:type="dxa"/>
            <w:vAlign w:val="bottom"/>
          </w:tcPr>
          <w:p w14:paraId="785F95B9" w14:textId="77777777" w:rsidR="009737A2" w:rsidRDefault="00000000">
            <w:pPr>
              <w:jc w:val="center"/>
              <w:rPr>
                <w:rFonts w:ascii="Open Sans" w:eastAsia="Open Sans" w:hAnsi="Open Sans" w:cs="Open Sans"/>
                <w:b/>
                <w:bCs/>
                <w:color w:val="9C0006"/>
                <w:sz w:val="22"/>
                <w:szCs w:val="22"/>
              </w:rPr>
            </w:pPr>
            <w:r>
              <w:rPr>
                <w:rFonts w:ascii="Open Sans" w:eastAsia="Open Sans" w:hAnsi="Open Sans" w:cs="Open Sans"/>
                <w:b/>
                <w:bCs/>
                <w:color w:val="9C0006"/>
                <w:sz w:val="22"/>
                <w:szCs w:val="22"/>
              </w:rPr>
              <w:t>-7,1%</w:t>
            </w:r>
          </w:p>
        </w:tc>
      </w:tr>
      <w:tr w:rsidR="009737A2" w14:paraId="6C706479" w14:textId="77777777">
        <w:trPr>
          <w:trHeight w:val="307"/>
        </w:trPr>
        <w:tc>
          <w:tcPr>
            <w:tcW w:w="2967" w:type="dxa"/>
            <w:shd w:val="clear" w:color="auto" w:fill="8496B0"/>
            <w:vAlign w:val="bottom"/>
          </w:tcPr>
          <w:p w14:paraId="424E2C9F"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Zamora capital</w:t>
            </w:r>
          </w:p>
        </w:tc>
        <w:tc>
          <w:tcPr>
            <w:tcW w:w="2268" w:type="dxa"/>
            <w:shd w:val="clear" w:color="auto" w:fill="D5DCE4"/>
            <w:vAlign w:val="bottom"/>
          </w:tcPr>
          <w:p w14:paraId="4C129B24"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15.136 €</w:t>
            </w:r>
          </w:p>
        </w:tc>
        <w:tc>
          <w:tcPr>
            <w:tcW w:w="1843" w:type="dxa"/>
            <w:shd w:val="clear" w:color="auto" w:fill="D5DCE4"/>
            <w:vAlign w:val="bottom"/>
          </w:tcPr>
          <w:p w14:paraId="00D68395"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13.942 €</w:t>
            </w:r>
          </w:p>
        </w:tc>
        <w:tc>
          <w:tcPr>
            <w:tcW w:w="1883" w:type="dxa"/>
            <w:shd w:val="clear" w:color="auto" w:fill="D5DCE4"/>
            <w:vAlign w:val="bottom"/>
          </w:tcPr>
          <w:p w14:paraId="408293E4" w14:textId="77777777" w:rsidR="009737A2" w:rsidRDefault="00000000">
            <w:pPr>
              <w:jc w:val="center"/>
              <w:rPr>
                <w:rFonts w:ascii="Open Sans" w:eastAsia="Open Sans" w:hAnsi="Open Sans" w:cs="Open Sans"/>
                <w:b/>
                <w:bCs/>
                <w:color w:val="9C0006"/>
                <w:sz w:val="22"/>
                <w:szCs w:val="22"/>
              </w:rPr>
            </w:pPr>
            <w:r>
              <w:rPr>
                <w:rFonts w:ascii="Open Sans" w:eastAsia="Open Sans" w:hAnsi="Open Sans" w:cs="Open Sans"/>
                <w:b/>
                <w:bCs/>
                <w:color w:val="9C0006"/>
                <w:sz w:val="22"/>
                <w:szCs w:val="22"/>
              </w:rPr>
              <w:t>-7,9%</w:t>
            </w:r>
          </w:p>
        </w:tc>
      </w:tr>
    </w:tbl>
    <w:p w14:paraId="4C7B6BEB" w14:textId="77777777" w:rsidR="009737A2" w:rsidRDefault="00000000">
      <w:pPr>
        <w:pBdr>
          <w:top w:val="nil"/>
          <w:left w:val="nil"/>
          <w:bottom w:val="nil"/>
          <w:right w:val="nil"/>
          <w:between w:val="nil"/>
        </w:pBdr>
        <w:shd w:val="clear" w:color="auto" w:fill="FFFFFF"/>
        <w:spacing w:before="280" w:after="280" w:line="276" w:lineRule="auto"/>
        <w:ind w:right="-574"/>
        <w:jc w:val="both"/>
        <w:rPr>
          <w:rFonts w:ascii="National" w:eastAsia="National" w:hAnsi="National" w:cs="National"/>
          <w:b/>
          <w:bCs/>
          <w:color w:val="303AB2"/>
          <w:sz w:val="30"/>
          <w:szCs w:val="30"/>
        </w:rPr>
      </w:pPr>
      <w:r>
        <w:rPr>
          <w:rFonts w:ascii="National" w:eastAsia="National" w:hAnsi="National" w:cs="National"/>
          <w:b/>
          <w:bCs/>
          <w:color w:val="303AB2"/>
          <w:sz w:val="30"/>
          <w:szCs w:val="30"/>
        </w:rPr>
        <w:t xml:space="preserve">Por distritos de Madrid </w:t>
      </w:r>
    </w:p>
    <w:p w14:paraId="35E8039E" w14:textId="77777777" w:rsidR="009737A2"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12 de los 19 distritos analizados de Madrid el precio de los garajes subió en 2025. </w:t>
      </w:r>
      <w:r>
        <w:rPr>
          <w:rFonts w:ascii="Open Sans" w:eastAsia="Open Sans" w:hAnsi="Open Sans" w:cs="Open Sans"/>
          <w:b/>
          <w:bCs/>
          <w:color w:val="000000"/>
          <w:sz w:val="22"/>
          <w:szCs w:val="22"/>
        </w:rPr>
        <w:t>El distrito con mayor caída de precios anual es Villaverde (18,2%), Usera (17,4%), Puente de Vallecas (16,7%), Vicálvaro (10,2%), Retiro (10,0%),</w:t>
      </w:r>
      <w:r>
        <w:rPr>
          <w:rFonts w:ascii="Open Sans" w:eastAsia="Open Sans" w:hAnsi="Open Sans" w:cs="Open Sans"/>
          <w:color w:val="000000"/>
          <w:sz w:val="22"/>
          <w:szCs w:val="22"/>
        </w:rPr>
        <w:t xml:space="preserve"> Arganzuela (6,6%), Hortaleza (5,8%), Chamartín (3,0%), Tetuán (2,9%), Centro (2,8%), Chamberí (2,6%) y Ciudad Lineal (2,2%). Por otro lado, el precio de los garajes descendió en los barrios de Fuencarral - El Pardo (-8,7%), Moncloa - Aravaca (-6,7%), Carabanchel (-5,0%), San Blas (-4,6%), Villa de Vallecas (-2,9%), Barrio de Salamanca (-1,7%) y Latina (-0,6%).</w:t>
      </w:r>
    </w:p>
    <w:p w14:paraId="20DF97CC" w14:textId="77777777" w:rsidR="009737A2"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Así, </w:t>
      </w:r>
      <w:r>
        <w:rPr>
          <w:rFonts w:ascii="Open Sans" w:eastAsia="Open Sans" w:hAnsi="Open Sans" w:cs="Open Sans"/>
          <w:b/>
          <w:bCs/>
          <w:color w:val="000000"/>
          <w:sz w:val="22"/>
          <w:szCs w:val="22"/>
        </w:rPr>
        <w:t>los residentes del distrito de Villaverde, en el que se ha producido el mayor incremento anual, debían pagar por un garaje una media de 11.498 euros en 2024, frente a los 13.596 euros que se ha pagado como media en 2025.</w:t>
      </w:r>
    </w:p>
    <w:p w14:paraId="3CCF26F4" w14:textId="77777777" w:rsidR="009737A2"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cuanto a los precios, los garajes en venta más caros se encuentran en el distrito de Centro con un precio de 28.674 euros, mientras que en Villa de Vallecas la media de los garajes en venta era de 11.089 euros en 2025.</w:t>
      </w:r>
    </w:p>
    <w:p w14:paraId="678052B3" w14:textId="77777777" w:rsidR="009737A2"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rPr>
      </w:pPr>
      <w:r>
        <w:rPr>
          <w:rFonts w:ascii="National" w:eastAsia="National" w:hAnsi="National" w:cs="National"/>
          <w:b/>
          <w:bCs/>
          <w:color w:val="303AB2"/>
          <w:sz w:val="28"/>
          <w:szCs w:val="28"/>
        </w:rPr>
        <w:t>Precio medio de los garajes por distritos de Madrid en 2025</w:t>
      </w:r>
    </w:p>
    <w:p w14:paraId="40F1846E" w14:textId="77777777" w:rsidR="009737A2"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Times New Roman" w:eastAsia="Times New Roman" w:hAnsi="Times New Roman" w:cs="Times New Roman"/>
          <w:noProof/>
          <w:color w:val="000000"/>
        </w:rPr>
        <w:drawing>
          <wp:inline distT="0" distB="0" distL="0" distR="0" wp14:anchorId="5B950DE4" wp14:editId="0042DD71">
            <wp:extent cx="5772632" cy="2421255"/>
            <wp:effectExtent l="0" t="0" r="0" b="0"/>
            <wp:docPr id="2070805671" name="Gráfico 20708056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C723CEA" w14:textId="77777777" w:rsidR="009737A2" w:rsidRDefault="00000000">
      <w:pPr>
        <w:pBdr>
          <w:top w:val="nil"/>
          <w:left w:val="nil"/>
          <w:bottom w:val="nil"/>
          <w:right w:val="nil"/>
          <w:between w:val="nil"/>
        </w:pBdr>
        <w:spacing w:line="276" w:lineRule="auto"/>
        <w:ind w:right="-574"/>
        <w:jc w:val="center"/>
        <w:rPr>
          <w:rFonts w:ascii="National" w:eastAsia="National" w:hAnsi="National" w:cs="National"/>
          <w:b/>
          <w:bCs/>
          <w:color w:val="303AB2"/>
          <w:sz w:val="28"/>
          <w:szCs w:val="28"/>
        </w:rPr>
      </w:pPr>
      <w:r>
        <w:rPr>
          <w:rFonts w:ascii="National" w:eastAsia="National" w:hAnsi="National" w:cs="National"/>
          <w:b/>
          <w:bCs/>
          <w:color w:val="303AB2"/>
          <w:sz w:val="28"/>
          <w:szCs w:val="28"/>
        </w:rPr>
        <w:t>Precio medio y variación anual de los garajes por distritos de Madrid</w:t>
      </w:r>
    </w:p>
    <w:p w14:paraId="1597A564" w14:textId="77777777" w:rsidR="009737A2" w:rsidRDefault="009737A2">
      <w:pPr>
        <w:pBdr>
          <w:top w:val="nil"/>
          <w:left w:val="nil"/>
          <w:bottom w:val="nil"/>
          <w:right w:val="nil"/>
          <w:between w:val="nil"/>
        </w:pBdr>
        <w:spacing w:line="276" w:lineRule="auto"/>
        <w:ind w:right="-574"/>
        <w:jc w:val="center"/>
        <w:rPr>
          <w:rFonts w:ascii="National" w:eastAsia="National" w:hAnsi="National" w:cs="National"/>
          <w:b/>
          <w:bCs/>
          <w:color w:val="303AB2"/>
          <w:sz w:val="28"/>
          <w:szCs w:val="28"/>
        </w:rPr>
      </w:pPr>
    </w:p>
    <w:tbl>
      <w:tblPr>
        <w:tblStyle w:val="a1"/>
        <w:tblW w:w="9089" w:type="dxa"/>
        <w:tblInd w:w="0"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00" w:firstRow="0" w:lastRow="0" w:firstColumn="0" w:lastColumn="0" w:noHBand="0" w:noVBand="1"/>
      </w:tblPr>
      <w:tblGrid>
        <w:gridCol w:w="2400"/>
        <w:gridCol w:w="2268"/>
        <w:gridCol w:w="2218"/>
        <w:gridCol w:w="2203"/>
      </w:tblGrid>
      <w:tr w:rsidR="009737A2" w14:paraId="4D0AC120" w14:textId="77777777">
        <w:trPr>
          <w:trHeight w:val="772"/>
        </w:trPr>
        <w:tc>
          <w:tcPr>
            <w:tcW w:w="2400" w:type="dxa"/>
            <w:shd w:val="clear" w:color="auto" w:fill="8496B0"/>
            <w:vAlign w:val="center"/>
          </w:tcPr>
          <w:p w14:paraId="75B0B2A2"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Distrito</w:t>
            </w:r>
          </w:p>
        </w:tc>
        <w:tc>
          <w:tcPr>
            <w:tcW w:w="2268" w:type="dxa"/>
            <w:shd w:val="clear" w:color="auto" w:fill="8496B0"/>
            <w:vAlign w:val="center"/>
          </w:tcPr>
          <w:p w14:paraId="16C1F1BB" w14:textId="77777777" w:rsidR="009737A2"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 xml:space="preserve">Precio medio </w:t>
            </w:r>
          </w:p>
          <w:p w14:paraId="29635698" w14:textId="77777777" w:rsidR="009737A2"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Garaje 2024</w:t>
            </w:r>
          </w:p>
        </w:tc>
        <w:tc>
          <w:tcPr>
            <w:tcW w:w="2218" w:type="dxa"/>
            <w:shd w:val="clear" w:color="auto" w:fill="8496B0"/>
            <w:vAlign w:val="center"/>
          </w:tcPr>
          <w:p w14:paraId="62FDDFE1" w14:textId="77777777" w:rsidR="009737A2"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 xml:space="preserve">Precio medio </w:t>
            </w:r>
          </w:p>
          <w:p w14:paraId="4082B2B3" w14:textId="77777777" w:rsidR="009737A2"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Garaje 2025</w:t>
            </w:r>
          </w:p>
        </w:tc>
        <w:tc>
          <w:tcPr>
            <w:tcW w:w="2203" w:type="dxa"/>
            <w:shd w:val="clear" w:color="auto" w:fill="8496B0"/>
            <w:vAlign w:val="center"/>
          </w:tcPr>
          <w:p w14:paraId="710E4F72" w14:textId="77777777" w:rsidR="009737A2" w:rsidRDefault="00000000">
            <w:pPr>
              <w:jc w:val="center"/>
              <w:rPr>
                <w:rFonts w:ascii="Open Sans" w:eastAsia="Open Sans" w:hAnsi="Open Sans" w:cs="Open Sans"/>
                <w:b/>
                <w:bCs/>
                <w:color w:val="FFFFFF"/>
                <w:sz w:val="22"/>
                <w:szCs w:val="22"/>
              </w:rPr>
            </w:pPr>
            <w:r>
              <w:rPr>
                <w:rFonts w:ascii="Open Sans" w:eastAsia="Open Sans" w:hAnsi="Open Sans" w:cs="Open Sans"/>
                <w:color w:val="FFFFFF"/>
                <w:sz w:val="22"/>
                <w:szCs w:val="22"/>
              </w:rPr>
              <w:t>Variación anual Garaje 2025</w:t>
            </w:r>
          </w:p>
        </w:tc>
      </w:tr>
      <w:tr w:rsidR="009737A2" w14:paraId="53C14BDF" w14:textId="77777777">
        <w:trPr>
          <w:trHeight w:val="226"/>
        </w:trPr>
        <w:tc>
          <w:tcPr>
            <w:tcW w:w="2400" w:type="dxa"/>
            <w:shd w:val="clear" w:color="auto" w:fill="8496B0"/>
            <w:vAlign w:val="bottom"/>
          </w:tcPr>
          <w:p w14:paraId="309FB414"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Villaverde</w:t>
            </w:r>
          </w:p>
        </w:tc>
        <w:tc>
          <w:tcPr>
            <w:tcW w:w="2268" w:type="dxa"/>
            <w:vAlign w:val="bottom"/>
          </w:tcPr>
          <w:p w14:paraId="79CC39BB"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11.498 €</w:t>
            </w:r>
          </w:p>
        </w:tc>
        <w:tc>
          <w:tcPr>
            <w:tcW w:w="2218" w:type="dxa"/>
            <w:vAlign w:val="bottom"/>
          </w:tcPr>
          <w:p w14:paraId="2ACFAC4D" w14:textId="77777777" w:rsidR="009737A2"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13.596 €</w:t>
            </w:r>
          </w:p>
        </w:tc>
        <w:tc>
          <w:tcPr>
            <w:tcW w:w="2203" w:type="dxa"/>
            <w:vAlign w:val="bottom"/>
          </w:tcPr>
          <w:p w14:paraId="7C11D911" w14:textId="77777777" w:rsidR="009737A2" w:rsidRDefault="00000000">
            <w:pPr>
              <w:jc w:val="center"/>
              <w:rPr>
                <w:rFonts w:ascii="Open Sans" w:eastAsia="Open Sans" w:hAnsi="Open Sans" w:cs="Open Sans"/>
                <w:b/>
                <w:bCs/>
                <w:color w:val="9C0006"/>
                <w:sz w:val="22"/>
                <w:szCs w:val="22"/>
              </w:rPr>
            </w:pPr>
            <w:r>
              <w:rPr>
                <w:rFonts w:ascii="Open Sans" w:eastAsia="Open Sans" w:hAnsi="Open Sans" w:cs="Open Sans"/>
                <w:b/>
                <w:bCs/>
                <w:color w:val="000000"/>
                <w:sz w:val="22"/>
                <w:szCs w:val="22"/>
              </w:rPr>
              <w:t>18,2%</w:t>
            </w:r>
          </w:p>
        </w:tc>
      </w:tr>
      <w:tr w:rsidR="009737A2" w14:paraId="112F55A9" w14:textId="77777777">
        <w:trPr>
          <w:trHeight w:val="226"/>
        </w:trPr>
        <w:tc>
          <w:tcPr>
            <w:tcW w:w="2400" w:type="dxa"/>
            <w:shd w:val="clear" w:color="auto" w:fill="8496B0"/>
            <w:vAlign w:val="bottom"/>
          </w:tcPr>
          <w:p w14:paraId="39889D07"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Usera</w:t>
            </w:r>
          </w:p>
        </w:tc>
        <w:tc>
          <w:tcPr>
            <w:tcW w:w="2268" w:type="dxa"/>
            <w:shd w:val="clear" w:color="auto" w:fill="D5DCE4"/>
            <w:vAlign w:val="bottom"/>
          </w:tcPr>
          <w:p w14:paraId="48FCE86A"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14.676 €</w:t>
            </w:r>
          </w:p>
        </w:tc>
        <w:tc>
          <w:tcPr>
            <w:tcW w:w="2218" w:type="dxa"/>
            <w:shd w:val="clear" w:color="auto" w:fill="D5DCE4"/>
            <w:vAlign w:val="bottom"/>
          </w:tcPr>
          <w:p w14:paraId="296D004D" w14:textId="77777777" w:rsidR="009737A2"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17.231 €</w:t>
            </w:r>
          </w:p>
        </w:tc>
        <w:tc>
          <w:tcPr>
            <w:tcW w:w="2203" w:type="dxa"/>
            <w:shd w:val="clear" w:color="auto" w:fill="D5DCE4"/>
            <w:vAlign w:val="bottom"/>
          </w:tcPr>
          <w:p w14:paraId="55B162FD" w14:textId="77777777" w:rsidR="009737A2" w:rsidRDefault="00000000">
            <w:pPr>
              <w:jc w:val="center"/>
              <w:rPr>
                <w:rFonts w:ascii="Open Sans" w:eastAsia="Open Sans" w:hAnsi="Open Sans" w:cs="Open Sans"/>
                <w:b/>
                <w:bCs/>
                <w:color w:val="9C0006"/>
                <w:sz w:val="22"/>
                <w:szCs w:val="22"/>
              </w:rPr>
            </w:pPr>
            <w:r>
              <w:rPr>
                <w:rFonts w:ascii="Open Sans" w:eastAsia="Open Sans" w:hAnsi="Open Sans" w:cs="Open Sans"/>
                <w:b/>
                <w:bCs/>
                <w:color w:val="000000"/>
                <w:sz w:val="22"/>
                <w:szCs w:val="22"/>
              </w:rPr>
              <w:t>17,4%</w:t>
            </w:r>
          </w:p>
        </w:tc>
      </w:tr>
      <w:tr w:rsidR="009737A2" w14:paraId="7C6A85DB" w14:textId="77777777">
        <w:trPr>
          <w:trHeight w:val="226"/>
        </w:trPr>
        <w:tc>
          <w:tcPr>
            <w:tcW w:w="2400" w:type="dxa"/>
            <w:shd w:val="clear" w:color="auto" w:fill="8496B0"/>
            <w:vAlign w:val="bottom"/>
          </w:tcPr>
          <w:p w14:paraId="5FF5EE63"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Puente de Vallecas</w:t>
            </w:r>
          </w:p>
        </w:tc>
        <w:tc>
          <w:tcPr>
            <w:tcW w:w="2268" w:type="dxa"/>
            <w:vAlign w:val="bottom"/>
          </w:tcPr>
          <w:p w14:paraId="78C73C6E"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14.828 €</w:t>
            </w:r>
          </w:p>
        </w:tc>
        <w:tc>
          <w:tcPr>
            <w:tcW w:w="2218" w:type="dxa"/>
            <w:vAlign w:val="bottom"/>
          </w:tcPr>
          <w:p w14:paraId="0E663A74" w14:textId="77777777" w:rsidR="009737A2"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17.307 €</w:t>
            </w:r>
          </w:p>
        </w:tc>
        <w:tc>
          <w:tcPr>
            <w:tcW w:w="2203" w:type="dxa"/>
            <w:vAlign w:val="bottom"/>
          </w:tcPr>
          <w:p w14:paraId="02DD3C9A" w14:textId="77777777" w:rsidR="009737A2" w:rsidRDefault="00000000">
            <w:pPr>
              <w:jc w:val="center"/>
              <w:rPr>
                <w:rFonts w:ascii="Open Sans" w:eastAsia="Open Sans" w:hAnsi="Open Sans" w:cs="Open Sans"/>
                <w:b/>
                <w:bCs/>
                <w:color w:val="9C0006"/>
                <w:sz w:val="22"/>
                <w:szCs w:val="22"/>
              </w:rPr>
            </w:pPr>
            <w:r>
              <w:rPr>
                <w:rFonts w:ascii="Open Sans" w:eastAsia="Open Sans" w:hAnsi="Open Sans" w:cs="Open Sans"/>
                <w:b/>
                <w:bCs/>
                <w:color w:val="000000"/>
                <w:sz w:val="22"/>
                <w:szCs w:val="22"/>
              </w:rPr>
              <w:t>16,7%</w:t>
            </w:r>
          </w:p>
        </w:tc>
      </w:tr>
      <w:tr w:rsidR="009737A2" w14:paraId="33E8A02C" w14:textId="77777777">
        <w:trPr>
          <w:trHeight w:val="226"/>
        </w:trPr>
        <w:tc>
          <w:tcPr>
            <w:tcW w:w="2400" w:type="dxa"/>
            <w:shd w:val="clear" w:color="auto" w:fill="8496B0"/>
            <w:vAlign w:val="bottom"/>
          </w:tcPr>
          <w:p w14:paraId="1D9E1F52"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Vicálvaro</w:t>
            </w:r>
          </w:p>
        </w:tc>
        <w:tc>
          <w:tcPr>
            <w:tcW w:w="2268" w:type="dxa"/>
            <w:shd w:val="clear" w:color="auto" w:fill="D5DCE4"/>
            <w:vAlign w:val="bottom"/>
          </w:tcPr>
          <w:p w14:paraId="56244176"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14.828 €</w:t>
            </w:r>
          </w:p>
        </w:tc>
        <w:tc>
          <w:tcPr>
            <w:tcW w:w="2218" w:type="dxa"/>
            <w:shd w:val="clear" w:color="auto" w:fill="D5DCE4"/>
            <w:vAlign w:val="bottom"/>
          </w:tcPr>
          <w:p w14:paraId="47F0404E" w14:textId="77777777" w:rsidR="009737A2"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16.337 €</w:t>
            </w:r>
          </w:p>
        </w:tc>
        <w:tc>
          <w:tcPr>
            <w:tcW w:w="2203" w:type="dxa"/>
            <w:shd w:val="clear" w:color="auto" w:fill="D5DCE4"/>
            <w:vAlign w:val="bottom"/>
          </w:tcPr>
          <w:p w14:paraId="66DFD483" w14:textId="77777777" w:rsidR="009737A2" w:rsidRDefault="00000000">
            <w:pPr>
              <w:jc w:val="center"/>
              <w:rPr>
                <w:rFonts w:ascii="Open Sans" w:eastAsia="Open Sans" w:hAnsi="Open Sans" w:cs="Open Sans"/>
                <w:b/>
                <w:bCs/>
                <w:color w:val="9C0006"/>
                <w:sz w:val="22"/>
                <w:szCs w:val="22"/>
              </w:rPr>
            </w:pPr>
            <w:r>
              <w:rPr>
                <w:rFonts w:ascii="Open Sans" w:eastAsia="Open Sans" w:hAnsi="Open Sans" w:cs="Open Sans"/>
                <w:b/>
                <w:bCs/>
                <w:color w:val="000000"/>
                <w:sz w:val="22"/>
                <w:szCs w:val="22"/>
              </w:rPr>
              <w:t>10,2%</w:t>
            </w:r>
          </w:p>
        </w:tc>
      </w:tr>
      <w:tr w:rsidR="009737A2" w14:paraId="270FBFBD" w14:textId="77777777">
        <w:trPr>
          <w:trHeight w:val="226"/>
        </w:trPr>
        <w:tc>
          <w:tcPr>
            <w:tcW w:w="2400" w:type="dxa"/>
            <w:shd w:val="clear" w:color="auto" w:fill="8496B0"/>
            <w:vAlign w:val="bottom"/>
          </w:tcPr>
          <w:p w14:paraId="7E55981D"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Retiro</w:t>
            </w:r>
          </w:p>
        </w:tc>
        <w:tc>
          <w:tcPr>
            <w:tcW w:w="2268" w:type="dxa"/>
            <w:vAlign w:val="bottom"/>
          </w:tcPr>
          <w:p w14:paraId="34B99276"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18.460 €</w:t>
            </w:r>
          </w:p>
        </w:tc>
        <w:tc>
          <w:tcPr>
            <w:tcW w:w="2218" w:type="dxa"/>
            <w:vAlign w:val="bottom"/>
          </w:tcPr>
          <w:p w14:paraId="4E349182" w14:textId="77777777" w:rsidR="009737A2"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20.300 €</w:t>
            </w:r>
          </w:p>
        </w:tc>
        <w:tc>
          <w:tcPr>
            <w:tcW w:w="2203" w:type="dxa"/>
            <w:vAlign w:val="bottom"/>
          </w:tcPr>
          <w:p w14:paraId="51BEFD7F" w14:textId="77777777" w:rsidR="009737A2" w:rsidRDefault="00000000">
            <w:pPr>
              <w:jc w:val="center"/>
              <w:rPr>
                <w:rFonts w:ascii="Open Sans" w:eastAsia="Open Sans" w:hAnsi="Open Sans" w:cs="Open Sans"/>
                <w:b/>
                <w:bCs/>
                <w:color w:val="9C0006"/>
                <w:sz w:val="22"/>
                <w:szCs w:val="22"/>
              </w:rPr>
            </w:pPr>
            <w:r>
              <w:rPr>
                <w:rFonts w:ascii="Open Sans" w:eastAsia="Open Sans" w:hAnsi="Open Sans" w:cs="Open Sans"/>
                <w:b/>
                <w:bCs/>
                <w:color w:val="000000"/>
                <w:sz w:val="22"/>
                <w:szCs w:val="22"/>
              </w:rPr>
              <w:t>10,0%</w:t>
            </w:r>
          </w:p>
        </w:tc>
      </w:tr>
      <w:tr w:rsidR="009737A2" w14:paraId="240B427C" w14:textId="77777777">
        <w:trPr>
          <w:trHeight w:val="226"/>
        </w:trPr>
        <w:tc>
          <w:tcPr>
            <w:tcW w:w="2400" w:type="dxa"/>
            <w:shd w:val="clear" w:color="auto" w:fill="8496B0"/>
            <w:vAlign w:val="bottom"/>
          </w:tcPr>
          <w:p w14:paraId="223B7DE5"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Arganzuela</w:t>
            </w:r>
          </w:p>
        </w:tc>
        <w:tc>
          <w:tcPr>
            <w:tcW w:w="2268" w:type="dxa"/>
            <w:shd w:val="clear" w:color="auto" w:fill="D5DCE4"/>
            <w:vAlign w:val="bottom"/>
          </w:tcPr>
          <w:p w14:paraId="5F597190"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22.209 €</w:t>
            </w:r>
          </w:p>
        </w:tc>
        <w:tc>
          <w:tcPr>
            <w:tcW w:w="2218" w:type="dxa"/>
            <w:shd w:val="clear" w:color="auto" w:fill="D5DCE4"/>
            <w:vAlign w:val="bottom"/>
          </w:tcPr>
          <w:p w14:paraId="05668412" w14:textId="77777777" w:rsidR="009737A2"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23.667 €</w:t>
            </w:r>
          </w:p>
        </w:tc>
        <w:tc>
          <w:tcPr>
            <w:tcW w:w="2203" w:type="dxa"/>
            <w:shd w:val="clear" w:color="auto" w:fill="D5DCE4"/>
            <w:vAlign w:val="bottom"/>
          </w:tcPr>
          <w:p w14:paraId="48E56973" w14:textId="77777777" w:rsidR="009737A2" w:rsidRDefault="00000000">
            <w:pPr>
              <w:jc w:val="center"/>
              <w:rPr>
                <w:rFonts w:ascii="Open Sans" w:eastAsia="Open Sans" w:hAnsi="Open Sans" w:cs="Open Sans"/>
                <w:b/>
                <w:bCs/>
                <w:color w:val="9C0006"/>
                <w:sz w:val="22"/>
                <w:szCs w:val="22"/>
              </w:rPr>
            </w:pPr>
            <w:r>
              <w:rPr>
                <w:rFonts w:ascii="Open Sans" w:eastAsia="Open Sans" w:hAnsi="Open Sans" w:cs="Open Sans"/>
                <w:b/>
                <w:bCs/>
                <w:color w:val="000000"/>
                <w:sz w:val="22"/>
                <w:szCs w:val="22"/>
              </w:rPr>
              <w:t>6,6%</w:t>
            </w:r>
          </w:p>
        </w:tc>
      </w:tr>
      <w:tr w:rsidR="009737A2" w14:paraId="22259254" w14:textId="77777777">
        <w:trPr>
          <w:trHeight w:val="226"/>
        </w:trPr>
        <w:tc>
          <w:tcPr>
            <w:tcW w:w="2400" w:type="dxa"/>
            <w:shd w:val="clear" w:color="auto" w:fill="8496B0"/>
            <w:vAlign w:val="bottom"/>
          </w:tcPr>
          <w:p w14:paraId="5F02637D"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Hortaleza</w:t>
            </w:r>
          </w:p>
        </w:tc>
        <w:tc>
          <w:tcPr>
            <w:tcW w:w="2268" w:type="dxa"/>
            <w:vAlign w:val="bottom"/>
          </w:tcPr>
          <w:p w14:paraId="79AFA772"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16.203 €</w:t>
            </w:r>
          </w:p>
        </w:tc>
        <w:tc>
          <w:tcPr>
            <w:tcW w:w="2218" w:type="dxa"/>
            <w:vAlign w:val="bottom"/>
          </w:tcPr>
          <w:p w14:paraId="62B7B5FA" w14:textId="77777777" w:rsidR="009737A2"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17.150 €</w:t>
            </w:r>
          </w:p>
        </w:tc>
        <w:tc>
          <w:tcPr>
            <w:tcW w:w="2203" w:type="dxa"/>
            <w:vAlign w:val="bottom"/>
          </w:tcPr>
          <w:p w14:paraId="3CCD1183" w14:textId="77777777" w:rsidR="009737A2" w:rsidRDefault="00000000">
            <w:pPr>
              <w:jc w:val="center"/>
              <w:rPr>
                <w:rFonts w:ascii="Open Sans" w:eastAsia="Open Sans" w:hAnsi="Open Sans" w:cs="Open Sans"/>
                <w:b/>
                <w:bCs/>
                <w:color w:val="9C0006"/>
                <w:sz w:val="22"/>
                <w:szCs w:val="22"/>
              </w:rPr>
            </w:pPr>
            <w:r>
              <w:rPr>
                <w:rFonts w:ascii="Open Sans" w:eastAsia="Open Sans" w:hAnsi="Open Sans" w:cs="Open Sans"/>
                <w:b/>
                <w:bCs/>
                <w:color w:val="000000"/>
                <w:sz w:val="22"/>
                <w:szCs w:val="22"/>
              </w:rPr>
              <w:t>5,8%</w:t>
            </w:r>
          </w:p>
        </w:tc>
      </w:tr>
      <w:tr w:rsidR="009737A2" w14:paraId="1CD69171" w14:textId="77777777">
        <w:trPr>
          <w:trHeight w:val="226"/>
        </w:trPr>
        <w:tc>
          <w:tcPr>
            <w:tcW w:w="2400" w:type="dxa"/>
            <w:shd w:val="clear" w:color="auto" w:fill="8496B0"/>
            <w:vAlign w:val="bottom"/>
          </w:tcPr>
          <w:p w14:paraId="166B5BC9"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Chamartín</w:t>
            </w:r>
          </w:p>
        </w:tc>
        <w:tc>
          <w:tcPr>
            <w:tcW w:w="2268" w:type="dxa"/>
            <w:shd w:val="clear" w:color="auto" w:fill="D5DCE4"/>
            <w:vAlign w:val="bottom"/>
          </w:tcPr>
          <w:p w14:paraId="2FACFB7F"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23.556 €</w:t>
            </w:r>
          </w:p>
        </w:tc>
        <w:tc>
          <w:tcPr>
            <w:tcW w:w="2218" w:type="dxa"/>
            <w:shd w:val="clear" w:color="auto" w:fill="D5DCE4"/>
            <w:vAlign w:val="bottom"/>
          </w:tcPr>
          <w:p w14:paraId="1A3909EF" w14:textId="77777777" w:rsidR="009737A2"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24.265 €</w:t>
            </w:r>
          </w:p>
        </w:tc>
        <w:tc>
          <w:tcPr>
            <w:tcW w:w="2203" w:type="dxa"/>
            <w:shd w:val="clear" w:color="auto" w:fill="D5DCE4"/>
            <w:vAlign w:val="bottom"/>
          </w:tcPr>
          <w:p w14:paraId="193EE4A7" w14:textId="77777777" w:rsidR="009737A2" w:rsidRDefault="00000000">
            <w:pPr>
              <w:jc w:val="center"/>
              <w:rPr>
                <w:rFonts w:ascii="Open Sans" w:eastAsia="Open Sans" w:hAnsi="Open Sans" w:cs="Open Sans"/>
                <w:b/>
                <w:bCs/>
                <w:color w:val="9C0006"/>
                <w:sz w:val="22"/>
                <w:szCs w:val="22"/>
              </w:rPr>
            </w:pPr>
            <w:r>
              <w:rPr>
                <w:rFonts w:ascii="Open Sans" w:eastAsia="Open Sans" w:hAnsi="Open Sans" w:cs="Open Sans"/>
                <w:b/>
                <w:bCs/>
                <w:color w:val="000000"/>
                <w:sz w:val="22"/>
                <w:szCs w:val="22"/>
              </w:rPr>
              <w:t>3,0%</w:t>
            </w:r>
          </w:p>
        </w:tc>
      </w:tr>
      <w:tr w:rsidR="009737A2" w14:paraId="0260A309" w14:textId="77777777">
        <w:trPr>
          <w:trHeight w:val="226"/>
        </w:trPr>
        <w:tc>
          <w:tcPr>
            <w:tcW w:w="2400" w:type="dxa"/>
            <w:shd w:val="clear" w:color="auto" w:fill="8496B0"/>
            <w:vAlign w:val="bottom"/>
          </w:tcPr>
          <w:p w14:paraId="6E966D6C"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Tetuán</w:t>
            </w:r>
          </w:p>
        </w:tc>
        <w:tc>
          <w:tcPr>
            <w:tcW w:w="2268" w:type="dxa"/>
            <w:vAlign w:val="bottom"/>
          </w:tcPr>
          <w:p w14:paraId="1BF0AC1E"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19.297 €</w:t>
            </w:r>
          </w:p>
        </w:tc>
        <w:tc>
          <w:tcPr>
            <w:tcW w:w="2218" w:type="dxa"/>
            <w:vAlign w:val="bottom"/>
          </w:tcPr>
          <w:p w14:paraId="7B07B351" w14:textId="77777777" w:rsidR="009737A2"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19.859 €</w:t>
            </w:r>
          </w:p>
        </w:tc>
        <w:tc>
          <w:tcPr>
            <w:tcW w:w="2203" w:type="dxa"/>
            <w:vAlign w:val="bottom"/>
          </w:tcPr>
          <w:p w14:paraId="71772202" w14:textId="77777777" w:rsidR="009737A2" w:rsidRDefault="00000000">
            <w:pPr>
              <w:jc w:val="center"/>
              <w:rPr>
                <w:rFonts w:ascii="Open Sans" w:eastAsia="Open Sans" w:hAnsi="Open Sans" w:cs="Open Sans"/>
                <w:b/>
                <w:bCs/>
                <w:color w:val="9C0006"/>
                <w:sz w:val="22"/>
                <w:szCs w:val="22"/>
              </w:rPr>
            </w:pPr>
            <w:r>
              <w:rPr>
                <w:rFonts w:ascii="Open Sans" w:eastAsia="Open Sans" w:hAnsi="Open Sans" w:cs="Open Sans"/>
                <w:b/>
                <w:bCs/>
                <w:color w:val="000000"/>
                <w:sz w:val="22"/>
                <w:szCs w:val="22"/>
              </w:rPr>
              <w:t>2,9%</w:t>
            </w:r>
          </w:p>
        </w:tc>
      </w:tr>
      <w:tr w:rsidR="009737A2" w14:paraId="7F7D8401" w14:textId="77777777">
        <w:trPr>
          <w:trHeight w:val="226"/>
        </w:trPr>
        <w:tc>
          <w:tcPr>
            <w:tcW w:w="2400" w:type="dxa"/>
            <w:shd w:val="clear" w:color="auto" w:fill="8496B0"/>
            <w:vAlign w:val="bottom"/>
          </w:tcPr>
          <w:p w14:paraId="505B50EF"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Centro</w:t>
            </w:r>
          </w:p>
        </w:tc>
        <w:tc>
          <w:tcPr>
            <w:tcW w:w="2268" w:type="dxa"/>
            <w:shd w:val="clear" w:color="auto" w:fill="D5DCE4"/>
            <w:vAlign w:val="bottom"/>
          </w:tcPr>
          <w:p w14:paraId="5A3CB14C"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27.895 €</w:t>
            </w:r>
          </w:p>
        </w:tc>
        <w:tc>
          <w:tcPr>
            <w:tcW w:w="2218" w:type="dxa"/>
            <w:shd w:val="clear" w:color="auto" w:fill="D5DCE4"/>
            <w:vAlign w:val="bottom"/>
          </w:tcPr>
          <w:p w14:paraId="656AA499"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28.674 €</w:t>
            </w:r>
          </w:p>
        </w:tc>
        <w:tc>
          <w:tcPr>
            <w:tcW w:w="2203" w:type="dxa"/>
            <w:shd w:val="clear" w:color="auto" w:fill="D5DCE4"/>
            <w:vAlign w:val="bottom"/>
          </w:tcPr>
          <w:p w14:paraId="47396250" w14:textId="77777777" w:rsidR="009737A2" w:rsidRDefault="00000000">
            <w:pPr>
              <w:jc w:val="center"/>
              <w:rPr>
                <w:rFonts w:ascii="Open Sans" w:eastAsia="Open Sans" w:hAnsi="Open Sans" w:cs="Open Sans"/>
                <w:b/>
                <w:bCs/>
                <w:color w:val="2E75B5"/>
                <w:sz w:val="22"/>
                <w:szCs w:val="22"/>
              </w:rPr>
            </w:pPr>
            <w:r>
              <w:rPr>
                <w:rFonts w:ascii="Open Sans" w:eastAsia="Open Sans" w:hAnsi="Open Sans" w:cs="Open Sans"/>
                <w:b/>
                <w:bCs/>
                <w:color w:val="000000"/>
                <w:sz w:val="22"/>
                <w:szCs w:val="22"/>
              </w:rPr>
              <w:t>2,8%</w:t>
            </w:r>
          </w:p>
        </w:tc>
      </w:tr>
      <w:tr w:rsidR="009737A2" w14:paraId="08921449" w14:textId="77777777">
        <w:trPr>
          <w:trHeight w:val="226"/>
        </w:trPr>
        <w:tc>
          <w:tcPr>
            <w:tcW w:w="2400" w:type="dxa"/>
            <w:shd w:val="clear" w:color="auto" w:fill="8496B0"/>
            <w:vAlign w:val="bottom"/>
          </w:tcPr>
          <w:p w14:paraId="0D3E1E9D"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Chamberí</w:t>
            </w:r>
          </w:p>
        </w:tc>
        <w:tc>
          <w:tcPr>
            <w:tcW w:w="2268" w:type="dxa"/>
            <w:vAlign w:val="bottom"/>
          </w:tcPr>
          <w:p w14:paraId="23293771"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27.653 €</w:t>
            </w:r>
          </w:p>
        </w:tc>
        <w:tc>
          <w:tcPr>
            <w:tcW w:w="2218" w:type="dxa"/>
            <w:vAlign w:val="bottom"/>
          </w:tcPr>
          <w:p w14:paraId="7F40ABAF" w14:textId="77777777" w:rsidR="009737A2"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28.384 €</w:t>
            </w:r>
          </w:p>
        </w:tc>
        <w:tc>
          <w:tcPr>
            <w:tcW w:w="2203" w:type="dxa"/>
            <w:vAlign w:val="bottom"/>
          </w:tcPr>
          <w:p w14:paraId="6F075D45"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2,6%</w:t>
            </w:r>
          </w:p>
        </w:tc>
      </w:tr>
      <w:tr w:rsidR="009737A2" w14:paraId="56F66717" w14:textId="77777777">
        <w:trPr>
          <w:trHeight w:val="226"/>
        </w:trPr>
        <w:tc>
          <w:tcPr>
            <w:tcW w:w="2400" w:type="dxa"/>
            <w:shd w:val="clear" w:color="auto" w:fill="8496B0"/>
            <w:vAlign w:val="bottom"/>
          </w:tcPr>
          <w:p w14:paraId="6720DD81"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Ciudad Lineal</w:t>
            </w:r>
          </w:p>
        </w:tc>
        <w:tc>
          <w:tcPr>
            <w:tcW w:w="2268" w:type="dxa"/>
            <w:shd w:val="clear" w:color="auto" w:fill="D5DCE4"/>
            <w:vAlign w:val="bottom"/>
          </w:tcPr>
          <w:p w14:paraId="72DE8569"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20.389 €</w:t>
            </w:r>
          </w:p>
        </w:tc>
        <w:tc>
          <w:tcPr>
            <w:tcW w:w="2218" w:type="dxa"/>
            <w:shd w:val="clear" w:color="auto" w:fill="D5DCE4"/>
            <w:vAlign w:val="bottom"/>
          </w:tcPr>
          <w:p w14:paraId="5DB10E65" w14:textId="77777777" w:rsidR="009737A2"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20.844 €</w:t>
            </w:r>
          </w:p>
        </w:tc>
        <w:tc>
          <w:tcPr>
            <w:tcW w:w="2203" w:type="dxa"/>
            <w:shd w:val="clear" w:color="auto" w:fill="D5DCE4"/>
            <w:vAlign w:val="bottom"/>
          </w:tcPr>
          <w:p w14:paraId="6C821F44"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2,2%</w:t>
            </w:r>
          </w:p>
        </w:tc>
      </w:tr>
      <w:tr w:rsidR="009737A2" w14:paraId="3004F1C9" w14:textId="77777777">
        <w:trPr>
          <w:trHeight w:val="226"/>
        </w:trPr>
        <w:tc>
          <w:tcPr>
            <w:tcW w:w="2400" w:type="dxa"/>
            <w:shd w:val="clear" w:color="auto" w:fill="8496B0"/>
            <w:vAlign w:val="bottom"/>
          </w:tcPr>
          <w:p w14:paraId="45DDD311"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Latina</w:t>
            </w:r>
          </w:p>
        </w:tc>
        <w:tc>
          <w:tcPr>
            <w:tcW w:w="2268" w:type="dxa"/>
            <w:vAlign w:val="bottom"/>
          </w:tcPr>
          <w:p w14:paraId="69F71AB9"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13.380 €</w:t>
            </w:r>
          </w:p>
        </w:tc>
        <w:tc>
          <w:tcPr>
            <w:tcW w:w="2218" w:type="dxa"/>
            <w:vAlign w:val="bottom"/>
          </w:tcPr>
          <w:p w14:paraId="47C92C75" w14:textId="77777777" w:rsidR="009737A2"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13.303 €</w:t>
            </w:r>
          </w:p>
        </w:tc>
        <w:tc>
          <w:tcPr>
            <w:tcW w:w="2203" w:type="dxa"/>
            <w:vAlign w:val="bottom"/>
          </w:tcPr>
          <w:p w14:paraId="0BBB6B02"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9C0006"/>
                <w:sz w:val="22"/>
                <w:szCs w:val="22"/>
              </w:rPr>
              <w:t>-0,6%</w:t>
            </w:r>
          </w:p>
        </w:tc>
      </w:tr>
      <w:tr w:rsidR="009737A2" w14:paraId="7231AFF1" w14:textId="77777777">
        <w:trPr>
          <w:trHeight w:val="226"/>
        </w:trPr>
        <w:tc>
          <w:tcPr>
            <w:tcW w:w="2400" w:type="dxa"/>
            <w:shd w:val="clear" w:color="auto" w:fill="8496B0"/>
            <w:vAlign w:val="bottom"/>
          </w:tcPr>
          <w:p w14:paraId="48BC7F7D"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Barrio de Salamanca</w:t>
            </w:r>
          </w:p>
        </w:tc>
        <w:tc>
          <w:tcPr>
            <w:tcW w:w="2268" w:type="dxa"/>
            <w:shd w:val="clear" w:color="auto" w:fill="D5DCE4"/>
            <w:vAlign w:val="bottom"/>
          </w:tcPr>
          <w:p w14:paraId="0273C597"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24.626 €</w:t>
            </w:r>
          </w:p>
        </w:tc>
        <w:tc>
          <w:tcPr>
            <w:tcW w:w="2218" w:type="dxa"/>
            <w:shd w:val="clear" w:color="auto" w:fill="D5DCE4"/>
            <w:vAlign w:val="bottom"/>
          </w:tcPr>
          <w:p w14:paraId="2E6FE9E7" w14:textId="77777777" w:rsidR="009737A2"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24.205 €</w:t>
            </w:r>
          </w:p>
        </w:tc>
        <w:tc>
          <w:tcPr>
            <w:tcW w:w="2203" w:type="dxa"/>
            <w:shd w:val="clear" w:color="auto" w:fill="D5DCE4"/>
            <w:vAlign w:val="bottom"/>
          </w:tcPr>
          <w:p w14:paraId="166D17AB"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9C0006"/>
                <w:sz w:val="22"/>
                <w:szCs w:val="22"/>
              </w:rPr>
              <w:t>-1,7%</w:t>
            </w:r>
          </w:p>
        </w:tc>
      </w:tr>
      <w:tr w:rsidR="009737A2" w14:paraId="1C0812DC" w14:textId="77777777">
        <w:trPr>
          <w:trHeight w:val="226"/>
        </w:trPr>
        <w:tc>
          <w:tcPr>
            <w:tcW w:w="2400" w:type="dxa"/>
            <w:shd w:val="clear" w:color="auto" w:fill="8496B0"/>
            <w:vAlign w:val="bottom"/>
          </w:tcPr>
          <w:p w14:paraId="7737B2EC"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Villa de Vallecas</w:t>
            </w:r>
          </w:p>
        </w:tc>
        <w:tc>
          <w:tcPr>
            <w:tcW w:w="2268" w:type="dxa"/>
            <w:vAlign w:val="bottom"/>
          </w:tcPr>
          <w:p w14:paraId="2ED80A09"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11.421 €</w:t>
            </w:r>
          </w:p>
        </w:tc>
        <w:tc>
          <w:tcPr>
            <w:tcW w:w="2218" w:type="dxa"/>
            <w:vAlign w:val="bottom"/>
          </w:tcPr>
          <w:p w14:paraId="3105D050"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11.089 €</w:t>
            </w:r>
          </w:p>
        </w:tc>
        <w:tc>
          <w:tcPr>
            <w:tcW w:w="2203" w:type="dxa"/>
            <w:vAlign w:val="bottom"/>
          </w:tcPr>
          <w:p w14:paraId="47156D1F" w14:textId="77777777" w:rsidR="009737A2" w:rsidRDefault="00000000">
            <w:pPr>
              <w:jc w:val="center"/>
              <w:rPr>
                <w:rFonts w:ascii="Open Sans" w:eastAsia="Open Sans" w:hAnsi="Open Sans" w:cs="Open Sans"/>
                <w:b/>
                <w:bCs/>
                <w:color w:val="2E75B5"/>
                <w:sz w:val="22"/>
                <w:szCs w:val="22"/>
              </w:rPr>
            </w:pPr>
            <w:r>
              <w:rPr>
                <w:rFonts w:ascii="Open Sans" w:eastAsia="Open Sans" w:hAnsi="Open Sans" w:cs="Open Sans"/>
                <w:b/>
                <w:bCs/>
                <w:color w:val="9C0006"/>
                <w:sz w:val="22"/>
                <w:szCs w:val="22"/>
              </w:rPr>
              <w:t>-2,9%</w:t>
            </w:r>
          </w:p>
        </w:tc>
      </w:tr>
      <w:tr w:rsidR="009737A2" w14:paraId="60897B83" w14:textId="77777777">
        <w:trPr>
          <w:trHeight w:val="226"/>
        </w:trPr>
        <w:tc>
          <w:tcPr>
            <w:tcW w:w="2400" w:type="dxa"/>
            <w:shd w:val="clear" w:color="auto" w:fill="8496B0"/>
            <w:vAlign w:val="bottom"/>
          </w:tcPr>
          <w:p w14:paraId="7CC8382B"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lastRenderedPageBreak/>
              <w:t>San Blas</w:t>
            </w:r>
          </w:p>
        </w:tc>
        <w:tc>
          <w:tcPr>
            <w:tcW w:w="2268" w:type="dxa"/>
            <w:shd w:val="clear" w:color="auto" w:fill="D5DCE4"/>
            <w:vAlign w:val="bottom"/>
          </w:tcPr>
          <w:p w14:paraId="281FB6F1"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17.056 €</w:t>
            </w:r>
          </w:p>
        </w:tc>
        <w:tc>
          <w:tcPr>
            <w:tcW w:w="2218" w:type="dxa"/>
            <w:shd w:val="clear" w:color="auto" w:fill="D5DCE4"/>
            <w:vAlign w:val="bottom"/>
          </w:tcPr>
          <w:p w14:paraId="63BA15FD"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16.269 €</w:t>
            </w:r>
          </w:p>
        </w:tc>
        <w:tc>
          <w:tcPr>
            <w:tcW w:w="2203" w:type="dxa"/>
            <w:shd w:val="clear" w:color="auto" w:fill="D5DCE4"/>
            <w:vAlign w:val="bottom"/>
          </w:tcPr>
          <w:p w14:paraId="74EA6DF6" w14:textId="77777777" w:rsidR="009737A2" w:rsidRDefault="00000000">
            <w:pPr>
              <w:jc w:val="center"/>
              <w:rPr>
                <w:rFonts w:ascii="Open Sans" w:eastAsia="Open Sans" w:hAnsi="Open Sans" w:cs="Open Sans"/>
                <w:b/>
                <w:bCs/>
                <w:color w:val="2E75B5"/>
                <w:sz w:val="22"/>
                <w:szCs w:val="22"/>
              </w:rPr>
            </w:pPr>
            <w:r>
              <w:rPr>
                <w:rFonts w:ascii="Open Sans" w:eastAsia="Open Sans" w:hAnsi="Open Sans" w:cs="Open Sans"/>
                <w:b/>
                <w:bCs/>
                <w:color w:val="9C0006"/>
                <w:sz w:val="22"/>
                <w:szCs w:val="22"/>
              </w:rPr>
              <w:t>-4,6%</w:t>
            </w:r>
          </w:p>
        </w:tc>
      </w:tr>
      <w:tr w:rsidR="009737A2" w14:paraId="09EC0984" w14:textId="77777777">
        <w:trPr>
          <w:trHeight w:val="226"/>
        </w:trPr>
        <w:tc>
          <w:tcPr>
            <w:tcW w:w="2400" w:type="dxa"/>
            <w:shd w:val="clear" w:color="auto" w:fill="8496B0"/>
            <w:vAlign w:val="bottom"/>
          </w:tcPr>
          <w:p w14:paraId="15544841"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Carabanchel</w:t>
            </w:r>
          </w:p>
        </w:tc>
        <w:tc>
          <w:tcPr>
            <w:tcW w:w="2268" w:type="dxa"/>
            <w:vAlign w:val="bottom"/>
          </w:tcPr>
          <w:p w14:paraId="5D649C29"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16.695 €</w:t>
            </w:r>
          </w:p>
        </w:tc>
        <w:tc>
          <w:tcPr>
            <w:tcW w:w="2218" w:type="dxa"/>
            <w:vAlign w:val="bottom"/>
          </w:tcPr>
          <w:p w14:paraId="77C7B3B9"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15.860 €</w:t>
            </w:r>
          </w:p>
        </w:tc>
        <w:tc>
          <w:tcPr>
            <w:tcW w:w="2203" w:type="dxa"/>
            <w:vAlign w:val="bottom"/>
          </w:tcPr>
          <w:p w14:paraId="4346B073" w14:textId="77777777" w:rsidR="009737A2" w:rsidRDefault="00000000">
            <w:pPr>
              <w:jc w:val="center"/>
              <w:rPr>
                <w:rFonts w:ascii="Open Sans" w:eastAsia="Open Sans" w:hAnsi="Open Sans" w:cs="Open Sans"/>
                <w:b/>
                <w:bCs/>
                <w:color w:val="2E75B5"/>
                <w:sz w:val="22"/>
                <w:szCs w:val="22"/>
              </w:rPr>
            </w:pPr>
            <w:r>
              <w:rPr>
                <w:rFonts w:ascii="Open Sans" w:eastAsia="Open Sans" w:hAnsi="Open Sans" w:cs="Open Sans"/>
                <w:b/>
                <w:bCs/>
                <w:color w:val="9C0006"/>
                <w:sz w:val="22"/>
                <w:szCs w:val="22"/>
              </w:rPr>
              <w:t>-5,0%</w:t>
            </w:r>
          </w:p>
        </w:tc>
      </w:tr>
      <w:tr w:rsidR="009737A2" w14:paraId="0526C76B" w14:textId="77777777">
        <w:trPr>
          <w:trHeight w:val="226"/>
        </w:trPr>
        <w:tc>
          <w:tcPr>
            <w:tcW w:w="2400" w:type="dxa"/>
            <w:shd w:val="clear" w:color="auto" w:fill="8496B0"/>
            <w:vAlign w:val="bottom"/>
          </w:tcPr>
          <w:p w14:paraId="3F35C959"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Moncloa - Aravaca</w:t>
            </w:r>
          </w:p>
        </w:tc>
        <w:tc>
          <w:tcPr>
            <w:tcW w:w="2268" w:type="dxa"/>
            <w:shd w:val="clear" w:color="auto" w:fill="D5DCE4"/>
            <w:vAlign w:val="bottom"/>
          </w:tcPr>
          <w:p w14:paraId="0D7A1E3F"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21.083 €</w:t>
            </w:r>
          </w:p>
        </w:tc>
        <w:tc>
          <w:tcPr>
            <w:tcW w:w="2218" w:type="dxa"/>
            <w:shd w:val="clear" w:color="auto" w:fill="D5DCE4"/>
            <w:vAlign w:val="bottom"/>
          </w:tcPr>
          <w:p w14:paraId="20E7123B"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19.660 €</w:t>
            </w:r>
          </w:p>
        </w:tc>
        <w:tc>
          <w:tcPr>
            <w:tcW w:w="2203" w:type="dxa"/>
            <w:shd w:val="clear" w:color="auto" w:fill="D5DCE4"/>
            <w:vAlign w:val="bottom"/>
          </w:tcPr>
          <w:p w14:paraId="5BB335E0"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9C0006"/>
                <w:sz w:val="22"/>
                <w:szCs w:val="22"/>
              </w:rPr>
              <w:t>-6,7%</w:t>
            </w:r>
          </w:p>
        </w:tc>
      </w:tr>
      <w:tr w:rsidR="009737A2" w14:paraId="3604A6F6" w14:textId="77777777">
        <w:trPr>
          <w:trHeight w:val="226"/>
        </w:trPr>
        <w:tc>
          <w:tcPr>
            <w:tcW w:w="2400" w:type="dxa"/>
            <w:shd w:val="clear" w:color="auto" w:fill="8496B0"/>
            <w:vAlign w:val="bottom"/>
          </w:tcPr>
          <w:p w14:paraId="3BBCFCB5"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Fuencarral - El Pardo</w:t>
            </w:r>
          </w:p>
        </w:tc>
        <w:tc>
          <w:tcPr>
            <w:tcW w:w="2268" w:type="dxa"/>
            <w:vAlign w:val="bottom"/>
          </w:tcPr>
          <w:p w14:paraId="5C37855E"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18.743 €</w:t>
            </w:r>
          </w:p>
        </w:tc>
        <w:tc>
          <w:tcPr>
            <w:tcW w:w="2218" w:type="dxa"/>
            <w:vAlign w:val="bottom"/>
          </w:tcPr>
          <w:p w14:paraId="59044A47"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17.106 €</w:t>
            </w:r>
          </w:p>
        </w:tc>
        <w:tc>
          <w:tcPr>
            <w:tcW w:w="2203" w:type="dxa"/>
            <w:vAlign w:val="bottom"/>
          </w:tcPr>
          <w:p w14:paraId="14A26B8C" w14:textId="77777777" w:rsidR="009737A2" w:rsidRDefault="00000000">
            <w:pPr>
              <w:jc w:val="center"/>
              <w:rPr>
                <w:rFonts w:ascii="Open Sans" w:eastAsia="Open Sans" w:hAnsi="Open Sans" w:cs="Open Sans"/>
                <w:b/>
                <w:bCs/>
                <w:color w:val="000000"/>
                <w:sz w:val="22"/>
                <w:szCs w:val="22"/>
              </w:rPr>
            </w:pPr>
            <w:r>
              <w:rPr>
                <w:rFonts w:ascii="Open Sans" w:eastAsia="Open Sans" w:hAnsi="Open Sans" w:cs="Open Sans"/>
                <w:b/>
                <w:bCs/>
                <w:color w:val="9C0006"/>
                <w:sz w:val="22"/>
                <w:szCs w:val="22"/>
              </w:rPr>
              <w:t>-8,7%</w:t>
            </w:r>
          </w:p>
        </w:tc>
      </w:tr>
    </w:tbl>
    <w:p w14:paraId="78FF4E59" w14:textId="77777777" w:rsidR="0072079D" w:rsidRDefault="0072079D">
      <w:pPr>
        <w:pBdr>
          <w:top w:val="nil"/>
          <w:left w:val="nil"/>
          <w:bottom w:val="nil"/>
          <w:right w:val="nil"/>
          <w:between w:val="nil"/>
        </w:pBdr>
        <w:shd w:val="clear" w:color="auto" w:fill="FFFFFF"/>
        <w:spacing w:before="280" w:after="280" w:line="276" w:lineRule="auto"/>
        <w:ind w:right="-574"/>
        <w:jc w:val="both"/>
        <w:rPr>
          <w:rFonts w:ascii="National" w:eastAsia="National" w:hAnsi="National" w:cs="National"/>
          <w:b/>
          <w:bCs/>
          <w:color w:val="303AB2"/>
          <w:sz w:val="30"/>
          <w:szCs w:val="30"/>
        </w:rPr>
      </w:pPr>
    </w:p>
    <w:p w14:paraId="608453B3" w14:textId="78C00150" w:rsidR="009737A2" w:rsidRDefault="00000000">
      <w:pPr>
        <w:pBdr>
          <w:top w:val="nil"/>
          <w:left w:val="nil"/>
          <w:bottom w:val="nil"/>
          <w:right w:val="nil"/>
          <w:between w:val="nil"/>
        </w:pBdr>
        <w:shd w:val="clear" w:color="auto" w:fill="FFFFFF"/>
        <w:spacing w:before="280" w:after="280" w:line="276" w:lineRule="auto"/>
        <w:ind w:right="-574"/>
        <w:jc w:val="both"/>
        <w:rPr>
          <w:rFonts w:ascii="National" w:eastAsia="National" w:hAnsi="National" w:cs="National"/>
          <w:b/>
          <w:bCs/>
          <w:color w:val="303AB2"/>
          <w:sz w:val="30"/>
          <w:szCs w:val="30"/>
        </w:rPr>
      </w:pPr>
      <w:r>
        <w:rPr>
          <w:rFonts w:ascii="National" w:eastAsia="National" w:hAnsi="National" w:cs="National"/>
          <w:b/>
          <w:bCs/>
          <w:color w:val="303AB2"/>
          <w:sz w:val="30"/>
          <w:szCs w:val="30"/>
        </w:rPr>
        <w:t xml:space="preserve">Por distritos de Barcelona </w:t>
      </w:r>
    </w:p>
    <w:p w14:paraId="4F8BE3FA" w14:textId="77777777" w:rsidR="009737A2"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siete de los diez distritos analizados de Barcelona el precio de los garajes sube en 2025. </w:t>
      </w:r>
      <w:r>
        <w:rPr>
          <w:rFonts w:ascii="Open Sans" w:eastAsia="Open Sans" w:hAnsi="Open Sans" w:cs="Open Sans"/>
          <w:b/>
          <w:bCs/>
          <w:color w:val="000000"/>
          <w:sz w:val="22"/>
          <w:szCs w:val="22"/>
        </w:rPr>
        <w:t xml:space="preserve">Los distritos con mayor descenso de precios son Sant Andreu (-4,0%), Sarrià - Sant Gervasi (-2,8%), Gràcia (-2,1%), Eixample (-1,5%), Les Corts (-0,4%), Sant Martí (-0,4%) y </w:t>
      </w:r>
      <w:proofErr w:type="spellStart"/>
      <w:r>
        <w:rPr>
          <w:rFonts w:ascii="Open Sans" w:eastAsia="Open Sans" w:hAnsi="Open Sans" w:cs="Open Sans"/>
          <w:b/>
          <w:bCs/>
          <w:color w:val="000000"/>
          <w:sz w:val="22"/>
          <w:szCs w:val="22"/>
        </w:rPr>
        <w:t>Ciutat</w:t>
      </w:r>
      <w:proofErr w:type="spellEnd"/>
      <w:r>
        <w:rPr>
          <w:rFonts w:ascii="Open Sans" w:eastAsia="Open Sans" w:hAnsi="Open Sans" w:cs="Open Sans"/>
          <w:b/>
          <w:bCs/>
          <w:color w:val="000000"/>
          <w:sz w:val="22"/>
          <w:szCs w:val="22"/>
        </w:rPr>
        <w:t xml:space="preserve"> Vella (-0,2%).</w:t>
      </w:r>
      <w:r>
        <w:rPr>
          <w:rFonts w:ascii="Open Sans" w:eastAsia="Open Sans" w:hAnsi="Open Sans" w:cs="Open Sans"/>
          <w:color w:val="000000"/>
          <w:sz w:val="22"/>
          <w:szCs w:val="22"/>
        </w:rPr>
        <w:t xml:space="preserve"> Por otro lado, el precio de los garajes aumentó en los barrios de Horta – Guinardó (4,8%), Nou Barris (4,8%) y Sants – Montjuïc (1,2%).</w:t>
      </w:r>
    </w:p>
    <w:p w14:paraId="44B5C184" w14:textId="77777777" w:rsidR="009737A2"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Así, </w:t>
      </w:r>
      <w:r>
        <w:rPr>
          <w:rFonts w:ascii="Open Sans" w:eastAsia="Open Sans" w:hAnsi="Open Sans" w:cs="Open Sans"/>
          <w:b/>
          <w:bCs/>
          <w:color w:val="000000"/>
          <w:sz w:val="22"/>
          <w:szCs w:val="22"/>
        </w:rPr>
        <w:t>los residentes del distrito de Horta – Guinardó, hace un año (2024), distrito con mayor incremento, debían pagar por un garaje una media de 16.973 euros, frente a los 17.797 euros que se paga como media en 2025.</w:t>
      </w:r>
      <w:r>
        <w:rPr>
          <w:rFonts w:ascii="Open Sans" w:eastAsia="Open Sans" w:hAnsi="Open Sans" w:cs="Open Sans"/>
          <w:color w:val="000000"/>
          <w:sz w:val="22"/>
          <w:szCs w:val="22"/>
        </w:rPr>
        <w:t xml:space="preserve"> </w:t>
      </w:r>
    </w:p>
    <w:p w14:paraId="0BCDBAAD" w14:textId="77777777" w:rsidR="009737A2"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cuanto a los precios, los garajes en venta más caros se encuentran en el distrito de Sarrià - Sant Gervasi con un precio de 19.963 euros, mientras que en Sant Andreu la media de los garajes en venta era de 15.811 euros en 2025.</w:t>
      </w:r>
    </w:p>
    <w:p w14:paraId="6E7F2A87" w14:textId="77777777" w:rsidR="009737A2"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rPr>
      </w:pPr>
      <w:r>
        <w:rPr>
          <w:rFonts w:ascii="National" w:eastAsia="National" w:hAnsi="National" w:cs="National"/>
          <w:b/>
          <w:bCs/>
          <w:color w:val="303AB2"/>
          <w:sz w:val="28"/>
          <w:szCs w:val="28"/>
        </w:rPr>
        <w:t>Precio medio de los garajes por distritos de Barcelona en 2025</w:t>
      </w:r>
    </w:p>
    <w:p w14:paraId="1F8F7947" w14:textId="77777777" w:rsidR="009737A2"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rPr>
      </w:pPr>
      <w:r>
        <w:rPr>
          <w:rFonts w:ascii="Times New Roman" w:eastAsia="Times New Roman" w:hAnsi="Times New Roman" w:cs="Times New Roman"/>
          <w:noProof/>
          <w:color w:val="000000"/>
        </w:rPr>
        <w:drawing>
          <wp:inline distT="0" distB="0" distL="0" distR="0" wp14:anchorId="2035E3F6" wp14:editId="4E7718C7">
            <wp:extent cx="4991100" cy="1885950"/>
            <wp:effectExtent l="0" t="0" r="0" b="0"/>
            <wp:docPr id="2070805673" name="Gráfico 2070805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2C5290" w14:textId="77777777" w:rsidR="009737A2" w:rsidRDefault="00000000">
      <w:pPr>
        <w:pBdr>
          <w:top w:val="nil"/>
          <w:left w:val="nil"/>
          <w:bottom w:val="nil"/>
          <w:right w:val="nil"/>
          <w:between w:val="nil"/>
        </w:pBdr>
        <w:spacing w:line="276" w:lineRule="auto"/>
        <w:ind w:right="-574"/>
        <w:jc w:val="center"/>
        <w:rPr>
          <w:rFonts w:ascii="National" w:eastAsia="National" w:hAnsi="National" w:cs="National"/>
          <w:b/>
          <w:bCs/>
          <w:color w:val="303AB2"/>
          <w:sz w:val="28"/>
          <w:szCs w:val="28"/>
        </w:rPr>
      </w:pPr>
      <w:r>
        <w:rPr>
          <w:rFonts w:ascii="National" w:eastAsia="National" w:hAnsi="National" w:cs="National"/>
          <w:b/>
          <w:bCs/>
          <w:color w:val="303AB2"/>
          <w:sz w:val="28"/>
          <w:szCs w:val="28"/>
        </w:rPr>
        <w:t>Precio medio y variación anual de los garajes por distritos de Barcelona</w:t>
      </w:r>
    </w:p>
    <w:p w14:paraId="656839DF" w14:textId="77777777" w:rsidR="009737A2" w:rsidRDefault="009737A2">
      <w:pPr>
        <w:pBdr>
          <w:top w:val="nil"/>
          <w:left w:val="nil"/>
          <w:bottom w:val="nil"/>
          <w:right w:val="nil"/>
          <w:between w:val="nil"/>
        </w:pBdr>
        <w:spacing w:line="276" w:lineRule="auto"/>
        <w:ind w:right="-574"/>
        <w:jc w:val="center"/>
        <w:rPr>
          <w:rFonts w:ascii="National" w:eastAsia="National" w:hAnsi="National" w:cs="National"/>
          <w:b/>
          <w:bCs/>
          <w:color w:val="303AB2"/>
          <w:sz w:val="16"/>
          <w:szCs w:val="16"/>
        </w:rPr>
      </w:pPr>
    </w:p>
    <w:tbl>
      <w:tblPr>
        <w:tblStyle w:val="a2"/>
        <w:tblW w:w="9089" w:type="dxa"/>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400" w:firstRow="0" w:lastRow="0" w:firstColumn="0" w:lastColumn="0" w:noHBand="0" w:noVBand="1"/>
      </w:tblPr>
      <w:tblGrid>
        <w:gridCol w:w="2400"/>
        <w:gridCol w:w="2126"/>
        <w:gridCol w:w="2360"/>
        <w:gridCol w:w="2203"/>
      </w:tblGrid>
      <w:tr w:rsidR="009737A2" w14:paraId="6905AB09" w14:textId="77777777">
        <w:trPr>
          <w:trHeight w:val="772"/>
        </w:trPr>
        <w:tc>
          <w:tcPr>
            <w:tcW w:w="2400" w:type="dxa"/>
            <w:shd w:val="clear" w:color="auto" w:fill="8496B0"/>
            <w:vAlign w:val="center"/>
          </w:tcPr>
          <w:p w14:paraId="6A811EDD"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Distrito</w:t>
            </w:r>
          </w:p>
        </w:tc>
        <w:tc>
          <w:tcPr>
            <w:tcW w:w="2126" w:type="dxa"/>
            <w:shd w:val="clear" w:color="auto" w:fill="8496B0"/>
            <w:vAlign w:val="center"/>
          </w:tcPr>
          <w:p w14:paraId="7689F1FA" w14:textId="77777777" w:rsidR="009737A2" w:rsidRDefault="00000000">
            <w:pPr>
              <w:jc w:val="center"/>
              <w:rPr>
                <w:rFonts w:ascii="Open Sans" w:eastAsia="Open Sans" w:hAnsi="Open Sans" w:cs="Open Sans"/>
                <w:color w:val="FFFFFF"/>
                <w:sz w:val="20"/>
                <w:szCs w:val="20"/>
              </w:rPr>
            </w:pPr>
            <w:r>
              <w:rPr>
                <w:rFonts w:ascii="Open Sans" w:eastAsia="Open Sans" w:hAnsi="Open Sans" w:cs="Open Sans"/>
                <w:color w:val="FFFFFF"/>
                <w:sz w:val="20"/>
                <w:szCs w:val="20"/>
              </w:rPr>
              <w:t xml:space="preserve">Precio medio </w:t>
            </w:r>
          </w:p>
          <w:p w14:paraId="25150107" w14:textId="77777777" w:rsidR="009737A2" w:rsidRDefault="00000000">
            <w:pPr>
              <w:jc w:val="center"/>
              <w:rPr>
                <w:rFonts w:ascii="Open Sans" w:eastAsia="Open Sans" w:hAnsi="Open Sans" w:cs="Open Sans"/>
                <w:color w:val="FFFFFF"/>
                <w:sz w:val="22"/>
                <w:szCs w:val="22"/>
              </w:rPr>
            </w:pPr>
            <w:r>
              <w:rPr>
                <w:rFonts w:ascii="Open Sans" w:eastAsia="Open Sans" w:hAnsi="Open Sans" w:cs="Open Sans"/>
                <w:color w:val="FFFFFF"/>
                <w:sz w:val="20"/>
                <w:szCs w:val="20"/>
              </w:rPr>
              <w:t>Garaje 2024</w:t>
            </w:r>
          </w:p>
        </w:tc>
        <w:tc>
          <w:tcPr>
            <w:tcW w:w="2360" w:type="dxa"/>
            <w:shd w:val="clear" w:color="auto" w:fill="8496B0"/>
            <w:vAlign w:val="center"/>
          </w:tcPr>
          <w:p w14:paraId="31D5311A" w14:textId="77777777" w:rsidR="009737A2" w:rsidRDefault="00000000">
            <w:pPr>
              <w:jc w:val="center"/>
              <w:rPr>
                <w:rFonts w:ascii="Open Sans" w:eastAsia="Open Sans" w:hAnsi="Open Sans" w:cs="Open Sans"/>
                <w:color w:val="FFFFFF"/>
                <w:sz w:val="20"/>
                <w:szCs w:val="20"/>
              </w:rPr>
            </w:pPr>
            <w:r>
              <w:rPr>
                <w:rFonts w:ascii="Open Sans" w:eastAsia="Open Sans" w:hAnsi="Open Sans" w:cs="Open Sans"/>
                <w:color w:val="FFFFFF"/>
                <w:sz w:val="20"/>
                <w:szCs w:val="20"/>
              </w:rPr>
              <w:t xml:space="preserve">Precio medio </w:t>
            </w:r>
          </w:p>
          <w:p w14:paraId="5AC977D4" w14:textId="77777777" w:rsidR="009737A2" w:rsidRDefault="00000000">
            <w:pPr>
              <w:jc w:val="center"/>
              <w:rPr>
                <w:rFonts w:ascii="Open Sans" w:eastAsia="Open Sans" w:hAnsi="Open Sans" w:cs="Open Sans"/>
                <w:color w:val="FFFFFF"/>
                <w:sz w:val="22"/>
                <w:szCs w:val="22"/>
              </w:rPr>
            </w:pPr>
            <w:r>
              <w:rPr>
                <w:rFonts w:ascii="Open Sans" w:eastAsia="Open Sans" w:hAnsi="Open Sans" w:cs="Open Sans"/>
                <w:color w:val="FFFFFF"/>
                <w:sz w:val="20"/>
                <w:szCs w:val="20"/>
              </w:rPr>
              <w:t>Garaje 2025</w:t>
            </w:r>
          </w:p>
        </w:tc>
        <w:tc>
          <w:tcPr>
            <w:tcW w:w="2203" w:type="dxa"/>
            <w:shd w:val="clear" w:color="auto" w:fill="8496B0"/>
            <w:vAlign w:val="center"/>
          </w:tcPr>
          <w:p w14:paraId="7E06E17E" w14:textId="77777777" w:rsidR="009737A2" w:rsidRDefault="00000000">
            <w:pPr>
              <w:jc w:val="center"/>
              <w:rPr>
                <w:rFonts w:ascii="Open Sans" w:eastAsia="Open Sans" w:hAnsi="Open Sans" w:cs="Open Sans"/>
                <w:b/>
                <w:bCs/>
                <w:color w:val="FFFFFF"/>
                <w:sz w:val="22"/>
                <w:szCs w:val="22"/>
              </w:rPr>
            </w:pPr>
            <w:r>
              <w:rPr>
                <w:rFonts w:ascii="Open Sans" w:eastAsia="Open Sans" w:hAnsi="Open Sans" w:cs="Open Sans"/>
                <w:color w:val="FFFFFF"/>
                <w:sz w:val="20"/>
                <w:szCs w:val="20"/>
              </w:rPr>
              <w:t>Variación anual Garaje 2025</w:t>
            </w:r>
          </w:p>
        </w:tc>
      </w:tr>
      <w:tr w:rsidR="009737A2" w14:paraId="488BCE63" w14:textId="77777777">
        <w:trPr>
          <w:trHeight w:val="226"/>
        </w:trPr>
        <w:tc>
          <w:tcPr>
            <w:tcW w:w="2400" w:type="dxa"/>
            <w:shd w:val="clear" w:color="auto" w:fill="8496B0"/>
            <w:vAlign w:val="bottom"/>
          </w:tcPr>
          <w:p w14:paraId="197F79AC"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Sant Andreu</w:t>
            </w:r>
          </w:p>
        </w:tc>
        <w:tc>
          <w:tcPr>
            <w:tcW w:w="2126" w:type="dxa"/>
            <w:vAlign w:val="bottom"/>
          </w:tcPr>
          <w:p w14:paraId="4A6B898F"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16.476 €</w:t>
            </w:r>
          </w:p>
        </w:tc>
        <w:tc>
          <w:tcPr>
            <w:tcW w:w="2360" w:type="dxa"/>
            <w:vAlign w:val="bottom"/>
          </w:tcPr>
          <w:p w14:paraId="1A891722"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15.811 €</w:t>
            </w:r>
          </w:p>
        </w:tc>
        <w:tc>
          <w:tcPr>
            <w:tcW w:w="2203" w:type="dxa"/>
            <w:vAlign w:val="bottom"/>
          </w:tcPr>
          <w:p w14:paraId="18492136" w14:textId="77777777" w:rsidR="009737A2" w:rsidRDefault="00000000">
            <w:pPr>
              <w:jc w:val="center"/>
              <w:rPr>
                <w:rFonts w:ascii="Open Sans" w:eastAsia="Open Sans" w:hAnsi="Open Sans" w:cs="Open Sans"/>
                <w:b/>
                <w:bCs/>
                <w:color w:val="2E75B5"/>
                <w:sz w:val="22"/>
                <w:szCs w:val="22"/>
              </w:rPr>
            </w:pPr>
            <w:r>
              <w:rPr>
                <w:rFonts w:ascii="Open Sans" w:eastAsia="Open Sans" w:hAnsi="Open Sans" w:cs="Open Sans"/>
                <w:color w:val="9C0006"/>
                <w:sz w:val="22"/>
                <w:szCs w:val="22"/>
              </w:rPr>
              <w:t>-4,0%</w:t>
            </w:r>
          </w:p>
        </w:tc>
      </w:tr>
      <w:tr w:rsidR="009737A2" w14:paraId="0793C75E" w14:textId="77777777">
        <w:trPr>
          <w:trHeight w:val="226"/>
        </w:trPr>
        <w:tc>
          <w:tcPr>
            <w:tcW w:w="2400" w:type="dxa"/>
            <w:shd w:val="clear" w:color="auto" w:fill="8496B0"/>
            <w:vAlign w:val="bottom"/>
          </w:tcPr>
          <w:p w14:paraId="36798787"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Sarrià - Sant Gervasi</w:t>
            </w:r>
          </w:p>
        </w:tc>
        <w:tc>
          <w:tcPr>
            <w:tcW w:w="2126" w:type="dxa"/>
            <w:shd w:val="clear" w:color="auto" w:fill="D5DCE4"/>
            <w:vAlign w:val="bottom"/>
          </w:tcPr>
          <w:p w14:paraId="6F511E88"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20.543 €</w:t>
            </w:r>
          </w:p>
        </w:tc>
        <w:tc>
          <w:tcPr>
            <w:tcW w:w="2360" w:type="dxa"/>
            <w:shd w:val="clear" w:color="auto" w:fill="D5DCE4"/>
            <w:vAlign w:val="bottom"/>
          </w:tcPr>
          <w:p w14:paraId="160D351B"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19.963 €</w:t>
            </w:r>
          </w:p>
        </w:tc>
        <w:tc>
          <w:tcPr>
            <w:tcW w:w="2203" w:type="dxa"/>
            <w:shd w:val="clear" w:color="auto" w:fill="D5DCE4"/>
            <w:vAlign w:val="bottom"/>
          </w:tcPr>
          <w:p w14:paraId="13BAFD4A" w14:textId="77777777" w:rsidR="009737A2" w:rsidRDefault="00000000">
            <w:pPr>
              <w:jc w:val="center"/>
              <w:rPr>
                <w:rFonts w:ascii="Open Sans" w:eastAsia="Open Sans" w:hAnsi="Open Sans" w:cs="Open Sans"/>
                <w:b/>
                <w:bCs/>
                <w:color w:val="2E75B5"/>
                <w:sz w:val="22"/>
                <w:szCs w:val="22"/>
              </w:rPr>
            </w:pPr>
            <w:r>
              <w:rPr>
                <w:rFonts w:ascii="Open Sans" w:eastAsia="Open Sans" w:hAnsi="Open Sans" w:cs="Open Sans"/>
                <w:color w:val="9C0006"/>
                <w:sz w:val="22"/>
                <w:szCs w:val="22"/>
              </w:rPr>
              <w:t>-2,8%</w:t>
            </w:r>
          </w:p>
        </w:tc>
      </w:tr>
      <w:tr w:rsidR="009737A2" w14:paraId="20033925" w14:textId="77777777">
        <w:trPr>
          <w:trHeight w:val="226"/>
        </w:trPr>
        <w:tc>
          <w:tcPr>
            <w:tcW w:w="2400" w:type="dxa"/>
            <w:shd w:val="clear" w:color="auto" w:fill="8496B0"/>
            <w:vAlign w:val="bottom"/>
          </w:tcPr>
          <w:p w14:paraId="4B541F90"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Gràcia</w:t>
            </w:r>
          </w:p>
        </w:tc>
        <w:tc>
          <w:tcPr>
            <w:tcW w:w="2126" w:type="dxa"/>
            <w:vAlign w:val="bottom"/>
          </w:tcPr>
          <w:p w14:paraId="754BBCEA"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18.629 €</w:t>
            </w:r>
          </w:p>
        </w:tc>
        <w:tc>
          <w:tcPr>
            <w:tcW w:w="2360" w:type="dxa"/>
            <w:vAlign w:val="bottom"/>
          </w:tcPr>
          <w:p w14:paraId="759B4288"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18.237 €</w:t>
            </w:r>
          </w:p>
        </w:tc>
        <w:tc>
          <w:tcPr>
            <w:tcW w:w="2203" w:type="dxa"/>
            <w:vAlign w:val="bottom"/>
          </w:tcPr>
          <w:p w14:paraId="60546067" w14:textId="77777777" w:rsidR="009737A2" w:rsidRDefault="00000000">
            <w:pPr>
              <w:jc w:val="center"/>
              <w:rPr>
                <w:rFonts w:ascii="Open Sans" w:eastAsia="Open Sans" w:hAnsi="Open Sans" w:cs="Open Sans"/>
                <w:b/>
                <w:bCs/>
                <w:color w:val="2E75B5"/>
                <w:sz w:val="22"/>
                <w:szCs w:val="22"/>
              </w:rPr>
            </w:pPr>
            <w:r>
              <w:rPr>
                <w:rFonts w:ascii="Open Sans" w:eastAsia="Open Sans" w:hAnsi="Open Sans" w:cs="Open Sans"/>
                <w:color w:val="9C0006"/>
                <w:sz w:val="22"/>
                <w:szCs w:val="22"/>
              </w:rPr>
              <w:t>-2,1%</w:t>
            </w:r>
          </w:p>
        </w:tc>
      </w:tr>
      <w:tr w:rsidR="009737A2" w14:paraId="14210746" w14:textId="77777777">
        <w:trPr>
          <w:trHeight w:val="226"/>
        </w:trPr>
        <w:tc>
          <w:tcPr>
            <w:tcW w:w="2400" w:type="dxa"/>
            <w:shd w:val="clear" w:color="auto" w:fill="8496B0"/>
            <w:vAlign w:val="bottom"/>
          </w:tcPr>
          <w:p w14:paraId="36B3FF3B"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lastRenderedPageBreak/>
              <w:t>Eixample</w:t>
            </w:r>
          </w:p>
        </w:tc>
        <w:tc>
          <w:tcPr>
            <w:tcW w:w="2126" w:type="dxa"/>
            <w:shd w:val="clear" w:color="auto" w:fill="D5DCE4"/>
            <w:vAlign w:val="bottom"/>
          </w:tcPr>
          <w:p w14:paraId="32535C84"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18.739 €</w:t>
            </w:r>
          </w:p>
        </w:tc>
        <w:tc>
          <w:tcPr>
            <w:tcW w:w="2360" w:type="dxa"/>
            <w:shd w:val="clear" w:color="auto" w:fill="D5DCE4"/>
            <w:vAlign w:val="bottom"/>
          </w:tcPr>
          <w:p w14:paraId="431104E0"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18.458 €</w:t>
            </w:r>
          </w:p>
        </w:tc>
        <w:tc>
          <w:tcPr>
            <w:tcW w:w="2203" w:type="dxa"/>
            <w:shd w:val="clear" w:color="auto" w:fill="D5DCE4"/>
            <w:vAlign w:val="bottom"/>
          </w:tcPr>
          <w:p w14:paraId="7EF4E5CE" w14:textId="77777777" w:rsidR="009737A2" w:rsidRDefault="00000000">
            <w:pPr>
              <w:jc w:val="center"/>
              <w:rPr>
                <w:rFonts w:ascii="Open Sans" w:eastAsia="Open Sans" w:hAnsi="Open Sans" w:cs="Open Sans"/>
                <w:b/>
                <w:bCs/>
                <w:color w:val="2E75B5"/>
                <w:sz w:val="22"/>
                <w:szCs w:val="22"/>
              </w:rPr>
            </w:pPr>
            <w:r>
              <w:rPr>
                <w:rFonts w:ascii="Open Sans" w:eastAsia="Open Sans" w:hAnsi="Open Sans" w:cs="Open Sans"/>
                <w:color w:val="9C0006"/>
                <w:sz w:val="22"/>
                <w:szCs w:val="22"/>
              </w:rPr>
              <w:t>-1,5%</w:t>
            </w:r>
          </w:p>
        </w:tc>
      </w:tr>
      <w:tr w:rsidR="009737A2" w14:paraId="2F1040F3" w14:textId="77777777">
        <w:trPr>
          <w:trHeight w:val="226"/>
        </w:trPr>
        <w:tc>
          <w:tcPr>
            <w:tcW w:w="2400" w:type="dxa"/>
            <w:shd w:val="clear" w:color="auto" w:fill="8496B0"/>
            <w:vAlign w:val="bottom"/>
          </w:tcPr>
          <w:p w14:paraId="5220D096"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Les Corts</w:t>
            </w:r>
          </w:p>
        </w:tc>
        <w:tc>
          <w:tcPr>
            <w:tcW w:w="2126" w:type="dxa"/>
            <w:vAlign w:val="bottom"/>
          </w:tcPr>
          <w:p w14:paraId="4FEEE142"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18.935 €</w:t>
            </w:r>
          </w:p>
        </w:tc>
        <w:tc>
          <w:tcPr>
            <w:tcW w:w="2360" w:type="dxa"/>
            <w:vAlign w:val="bottom"/>
          </w:tcPr>
          <w:p w14:paraId="1A4487DB"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18.855 €</w:t>
            </w:r>
          </w:p>
        </w:tc>
        <w:tc>
          <w:tcPr>
            <w:tcW w:w="2203" w:type="dxa"/>
            <w:vAlign w:val="bottom"/>
          </w:tcPr>
          <w:p w14:paraId="521C9F18" w14:textId="77777777" w:rsidR="009737A2" w:rsidRDefault="00000000">
            <w:pPr>
              <w:jc w:val="center"/>
              <w:rPr>
                <w:rFonts w:ascii="Open Sans" w:eastAsia="Open Sans" w:hAnsi="Open Sans" w:cs="Open Sans"/>
                <w:b/>
                <w:bCs/>
                <w:color w:val="2E75B5"/>
                <w:sz w:val="22"/>
                <w:szCs w:val="22"/>
              </w:rPr>
            </w:pPr>
            <w:r>
              <w:rPr>
                <w:rFonts w:ascii="Open Sans" w:eastAsia="Open Sans" w:hAnsi="Open Sans" w:cs="Open Sans"/>
                <w:color w:val="9C0006"/>
                <w:sz w:val="22"/>
                <w:szCs w:val="22"/>
              </w:rPr>
              <w:t>-0,4%</w:t>
            </w:r>
          </w:p>
        </w:tc>
      </w:tr>
      <w:tr w:rsidR="009737A2" w14:paraId="099C482D" w14:textId="77777777">
        <w:trPr>
          <w:trHeight w:val="226"/>
        </w:trPr>
        <w:tc>
          <w:tcPr>
            <w:tcW w:w="2400" w:type="dxa"/>
            <w:shd w:val="clear" w:color="auto" w:fill="8496B0"/>
            <w:vAlign w:val="bottom"/>
          </w:tcPr>
          <w:p w14:paraId="1D986CF7"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Sant Martí</w:t>
            </w:r>
          </w:p>
        </w:tc>
        <w:tc>
          <w:tcPr>
            <w:tcW w:w="2126" w:type="dxa"/>
            <w:shd w:val="clear" w:color="auto" w:fill="D5DCE4"/>
            <w:vAlign w:val="bottom"/>
          </w:tcPr>
          <w:p w14:paraId="7B990C87"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18.517 €</w:t>
            </w:r>
          </w:p>
        </w:tc>
        <w:tc>
          <w:tcPr>
            <w:tcW w:w="2360" w:type="dxa"/>
            <w:shd w:val="clear" w:color="auto" w:fill="D5DCE4"/>
            <w:vAlign w:val="bottom"/>
          </w:tcPr>
          <w:p w14:paraId="39829E37"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18.440 €</w:t>
            </w:r>
          </w:p>
        </w:tc>
        <w:tc>
          <w:tcPr>
            <w:tcW w:w="2203" w:type="dxa"/>
            <w:shd w:val="clear" w:color="auto" w:fill="D5DCE4"/>
            <w:vAlign w:val="bottom"/>
          </w:tcPr>
          <w:p w14:paraId="62FC7188" w14:textId="77777777" w:rsidR="009737A2" w:rsidRDefault="00000000">
            <w:pPr>
              <w:jc w:val="center"/>
              <w:rPr>
                <w:rFonts w:ascii="Open Sans" w:eastAsia="Open Sans" w:hAnsi="Open Sans" w:cs="Open Sans"/>
                <w:b/>
                <w:bCs/>
                <w:color w:val="2E75B5"/>
                <w:sz w:val="22"/>
                <w:szCs w:val="22"/>
              </w:rPr>
            </w:pPr>
            <w:r>
              <w:rPr>
                <w:rFonts w:ascii="Open Sans" w:eastAsia="Open Sans" w:hAnsi="Open Sans" w:cs="Open Sans"/>
                <w:color w:val="9C0006"/>
                <w:sz w:val="22"/>
                <w:szCs w:val="22"/>
              </w:rPr>
              <w:t>-0,4%</w:t>
            </w:r>
          </w:p>
        </w:tc>
      </w:tr>
      <w:tr w:rsidR="009737A2" w14:paraId="5987B84B" w14:textId="77777777">
        <w:trPr>
          <w:trHeight w:val="226"/>
        </w:trPr>
        <w:tc>
          <w:tcPr>
            <w:tcW w:w="2400" w:type="dxa"/>
            <w:shd w:val="clear" w:color="auto" w:fill="8496B0"/>
            <w:vAlign w:val="bottom"/>
          </w:tcPr>
          <w:p w14:paraId="4B898AB0" w14:textId="77777777" w:rsidR="009737A2" w:rsidRDefault="00000000">
            <w:pPr>
              <w:rPr>
                <w:rFonts w:ascii="Open Sans" w:eastAsia="Open Sans" w:hAnsi="Open Sans" w:cs="Open Sans"/>
                <w:color w:val="FFFFFF"/>
                <w:sz w:val="22"/>
                <w:szCs w:val="22"/>
              </w:rPr>
            </w:pPr>
            <w:proofErr w:type="spellStart"/>
            <w:r>
              <w:rPr>
                <w:rFonts w:ascii="Open Sans" w:eastAsia="Open Sans" w:hAnsi="Open Sans" w:cs="Open Sans"/>
                <w:color w:val="FFFFFF"/>
                <w:sz w:val="22"/>
                <w:szCs w:val="22"/>
              </w:rPr>
              <w:t>Ciutat</w:t>
            </w:r>
            <w:proofErr w:type="spellEnd"/>
            <w:r>
              <w:rPr>
                <w:rFonts w:ascii="Open Sans" w:eastAsia="Open Sans" w:hAnsi="Open Sans" w:cs="Open Sans"/>
                <w:color w:val="FFFFFF"/>
                <w:sz w:val="22"/>
                <w:szCs w:val="22"/>
              </w:rPr>
              <w:t xml:space="preserve"> Vella</w:t>
            </w:r>
          </w:p>
        </w:tc>
        <w:tc>
          <w:tcPr>
            <w:tcW w:w="2126" w:type="dxa"/>
            <w:vAlign w:val="bottom"/>
          </w:tcPr>
          <w:p w14:paraId="769A5F72"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19.358 €</w:t>
            </w:r>
          </w:p>
        </w:tc>
        <w:tc>
          <w:tcPr>
            <w:tcW w:w="2360" w:type="dxa"/>
            <w:vAlign w:val="bottom"/>
          </w:tcPr>
          <w:p w14:paraId="1B4C8CA1"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19.322 €</w:t>
            </w:r>
          </w:p>
        </w:tc>
        <w:tc>
          <w:tcPr>
            <w:tcW w:w="2203" w:type="dxa"/>
            <w:vAlign w:val="bottom"/>
          </w:tcPr>
          <w:p w14:paraId="62BBCBD6" w14:textId="77777777" w:rsidR="009737A2" w:rsidRDefault="00000000">
            <w:pPr>
              <w:jc w:val="center"/>
              <w:rPr>
                <w:rFonts w:ascii="Open Sans" w:eastAsia="Open Sans" w:hAnsi="Open Sans" w:cs="Open Sans"/>
                <w:b/>
                <w:bCs/>
                <w:color w:val="2E75B5"/>
                <w:sz w:val="22"/>
                <w:szCs w:val="22"/>
              </w:rPr>
            </w:pPr>
            <w:r>
              <w:rPr>
                <w:rFonts w:ascii="Open Sans" w:eastAsia="Open Sans" w:hAnsi="Open Sans" w:cs="Open Sans"/>
                <w:color w:val="9C0006"/>
                <w:sz w:val="22"/>
                <w:szCs w:val="22"/>
              </w:rPr>
              <w:t>-0,2%</w:t>
            </w:r>
          </w:p>
        </w:tc>
      </w:tr>
      <w:tr w:rsidR="009737A2" w14:paraId="689A20D3" w14:textId="77777777">
        <w:trPr>
          <w:trHeight w:val="226"/>
        </w:trPr>
        <w:tc>
          <w:tcPr>
            <w:tcW w:w="2400" w:type="dxa"/>
            <w:shd w:val="clear" w:color="auto" w:fill="8496B0"/>
            <w:vAlign w:val="bottom"/>
          </w:tcPr>
          <w:p w14:paraId="46B5F022"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Sants - Montjuïc</w:t>
            </w:r>
          </w:p>
        </w:tc>
        <w:tc>
          <w:tcPr>
            <w:tcW w:w="2126" w:type="dxa"/>
            <w:shd w:val="clear" w:color="auto" w:fill="D5DCE4"/>
            <w:vAlign w:val="bottom"/>
          </w:tcPr>
          <w:p w14:paraId="4CCA2EDA"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16.183 €</w:t>
            </w:r>
          </w:p>
        </w:tc>
        <w:tc>
          <w:tcPr>
            <w:tcW w:w="2360" w:type="dxa"/>
            <w:shd w:val="clear" w:color="auto" w:fill="D5DCE4"/>
            <w:vAlign w:val="bottom"/>
          </w:tcPr>
          <w:p w14:paraId="03744D9F"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16.383 €</w:t>
            </w:r>
          </w:p>
        </w:tc>
        <w:tc>
          <w:tcPr>
            <w:tcW w:w="2203" w:type="dxa"/>
            <w:shd w:val="clear" w:color="auto" w:fill="D5DCE4"/>
            <w:vAlign w:val="bottom"/>
          </w:tcPr>
          <w:p w14:paraId="1FD279DF" w14:textId="77777777" w:rsidR="009737A2" w:rsidRDefault="00000000">
            <w:pPr>
              <w:jc w:val="center"/>
              <w:rPr>
                <w:rFonts w:ascii="Open Sans" w:eastAsia="Open Sans" w:hAnsi="Open Sans" w:cs="Open Sans"/>
                <w:b/>
                <w:bCs/>
                <w:color w:val="2E75B5"/>
                <w:sz w:val="22"/>
                <w:szCs w:val="22"/>
              </w:rPr>
            </w:pPr>
            <w:r>
              <w:rPr>
                <w:rFonts w:ascii="Open Sans" w:eastAsia="Open Sans" w:hAnsi="Open Sans" w:cs="Open Sans"/>
                <w:color w:val="000000"/>
                <w:sz w:val="22"/>
                <w:szCs w:val="22"/>
              </w:rPr>
              <w:t>1,2%</w:t>
            </w:r>
          </w:p>
        </w:tc>
      </w:tr>
      <w:tr w:rsidR="009737A2" w14:paraId="1BA6BB1E" w14:textId="77777777">
        <w:trPr>
          <w:trHeight w:val="226"/>
        </w:trPr>
        <w:tc>
          <w:tcPr>
            <w:tcW w:w="2400" w:type="dxa"/>
            <w:shd w:val="clear" w:color="auto" w:fill="8496B0"/>
            <w:vAlign w:val="bottom"/>
          </w:tcPr>
          <w:p w14:paraId="7BEA1D0F"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Nou Barris</w:t>
            </w:r>
          </w:p>
        </w:tc>
        <w:tc>
          <w:tcPr>
            <w:tcW w:w="2126" w:type="dxa"/>
            <w:vAlign w:val="bottom"/>
          </w:tcPr>
          <w:p w14:paraId="5F69C38E"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16.838 €</w:t>
            </w:r>
          </w:p>
        </w:tc>
        <w:tc>
          <w:tcPr>
            <w:tcW w:w="2360" w:type="dxa"/>
            <w:vAlign w:val="bottom"/>
          </w:tcPr>
          <w:p w14:paraId="77800935"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17.646 €</w:t>
            </w:r>
          </w:p>
        </w:tc>
        <w:tc>
          <w:tcPr>
            <w:tcW w:w="2203" w:type="dxa"/>
            <w:vAlign w:val="bottom"/>
          </w:tcPr>
          <w:p w14:paraId="05EE224E" w14:textId="77777777" w:rsidR="009737A2" w:rsidRDefault="00000000">
            <w:pPr>
              <w:jc w:val="center"/>
              <w:rPr>
                <w:rFonts w:ascii="Open Sans" w:eastAsia="Open Sans" w:hAnsi="Open Sans" w:cs="Open Sans"/>
                <w:b/>
                <w:bCs/>
                <w:color w:val="2E75B5"/>
                <w:sz w:val="22"/>
                <w:szCs w:val="22"/>
              </w:rPr>
            </w:pPr>
            <w:r>
              <w:rPr>
                <w:rFonts w:ascii="Open Sans" w:eastAsia="Open Sans" w:hAnsi="Open Sans" w:cs="Open Sans"/>
                <w:color w:val="000000"/>
                <w:sz w:val="22"/>
                <w:szCs w:val="22"/>
              </w:rPr>
              <w:t>4,8%</w:t>
            </w:r>
          </w:p>
        </w:tc>
      </w:tr>
      <w:tr w:rsidR="009737A2" w14:paraId="0F1D05F0" w14:textId="77777777">
        <w:trPr>
          <w:trHeight w:val="226"/>
        </w:trPr>
        <w:tc>
          <w:tcPr>
            <w:tcW w:w="2400" w:type="dxa"/>
            <w:shd w:val="clear" w:color="auto" w:fill="8496B0"/>
            <w:vAlign w:val="bottom"/>
          </w:tcPr>
          <w:p w14:paraId="66652AE3" w14:textId="77777777" w:rsidR="009737A2"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Horta - Guinardó</w:t>
            </w:r>
          </w:p>
        </w:tc>
        <w:tc>
          <w:tcPr>
            <w:tcW w:w="2126" w:type="dxa"/>
            <w:shd w:val="clear" w:color="auto" w:fill="D5DCE4"/>
            <w:vAlign w:val="bottom"/>
          </w:tcPr>
          <w:p w14:paraId="522B411F"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16.973 €</w:t>
            </w:r>
          </w:p>
        </w:tc>
        <w:tc>
          <w:tcPr>
            <w:tcW w:w="2360" w:type="dxa"/>
            <w:shd w:val="clear" w:color="auto" w:fill="D5DCE4"/>
            <w:vAlign w:val="bottom"/>
          </w:tcPr>
          <w:p w14:paraId="606E295D" w14:textId="77777777" w:rsidR="009737A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17.797 €</w:t>
            </w:r>
          </w:p>
        </w:tc>
        <w:tc>
          <w:tcPr>
            <w:tcW w:w="2203" w:type="dxa"/>
            <w:shd w:val="clear" w:color="auto" w:fill="D5DCE4"/>
            <w:vAlign w:val="bottom"/>
          </w:tcPr>
          <w:p w14:paraId="7D35AC39" w14:textId="77777777" w:rsidR="009737A2" w:rsidRDefault="00000000">
            <w:pPr>
              <w:jc w:val="center"/>
              <w:rPr>
                <w:rFonts w:ascii="Open Sans" w:eastAsia="Open Sans" w:hAnsi="Open Sans" w:cs="Open Sans"/>
                <w:b/>
                <w:bCs/>
                <w:color w:val="2E75B5"/>
                <w:sz w:val="22"/>
                <w:szCs w:val="22"/>
              </w:rPr>
            </w:pPr>
            <w:r>
              <w:rPr>
                <w:rFonts w:ascii="Open Sans" w:eastAsia="Open Sans" w:hAnsi="Open Sans" w:cs="Open Sans"/>
                <w:color w:val="000000"/>
                <w:sz w:val="22"/>
                <w:szCs w:val="22"/>
              </w:rPr>
              <w:t>4,8%</w:t>
            </w:r>
          </w:p>
        </w:tc>
      </w:tr>
    </w:tbl>
    <w:p w14:paraId="0AF6DBBA" w14:textId="77777777" w:rsidR="0072079D" w:rsidRDefault="0072079D">
      <w:pPr>
        <w:spacing w:line="276" w:lineRule="auto"/>
        <w:ind w:right="-574"/>
        <w:jc w:val="right"/>
        <w:rPr>
          <w:rFonts w:ascii="Open Sans Light" w:eastAsia="Open Sans Light" w:hAnsi="Open Sans Light" w:cs="Open Sans Light"/>
          <w:b/>
          <w:bCs/>
          <w:color w:val="303AB2"/>
        </w:rPr>
      </w:pPr>
    </w:p>
    <w:p w14:paraId="4101E24E" w14:textId="77777777" w:rsidR="0072079D" w:rsidRDefault="0072079D">
      <w:pPr>
        <w:spacing w:line="276" w:lineRule="auto"/>
        <w:ind w:right="-574"/>
        <w:jc w:val="right"/>
        <w:rPr>
          <w:rFonts w:ascii="Open Sans Light" w:eastAsia="Open Sans Light" w:hAnsi="Open Sans Light" w:cs="Open Sans Light"/>
          <w:b/>
          <w:bCs/>
          <w:color w:val="303AB2"/>
        </w:rPr>
      </w:pPr>
    </w:p>
    <w:p w14:paraId="67798C25" w14:textId="3B582EA2" w:rsidR="009737A2" w:rsidRDefault="00000000">
      <w:pPr>
        <w:spacing w:line="276" w:lineRule="auto"/>
        <w:ind w:right="-57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3D025DFA" w14:textId="77777777" w:rsidR="009737A2"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1EDC274C" w14:textId="77777777" w:rsidR="009737A2"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7">
        <w:r w:rsidR="009737A2">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7EDC6287" w14:textId="77777777" w:rsidR="009737A2"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8">
        <w:r w:rsidR="009737A2">
          <w:rPr>
            <w:rFonts w:ascii="Open Sans" w:eastAsia="Open Sans" w:hAnsi="Open Sans" w:cs="Open Sans"/>
            <w:b/>
            <w:bCs/>
            <w:color w:val="0000FF"/>
            <w:sz w:val="22"/>
            <w:szCs w:val="22"/>
            <w:u w:val="single"/>
          </w:rPr>
          <w:t xml:space="preserve">Fotocasa </w:t>
        </w:r>
        <w:proofErr w:type="spellStart"/>
        <w:r w:rsidR="009737A2">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67BCBFAA" w14:textId="77777777" w:rsidR="009737A2"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9">
        <w:r w:rsidR="009737A2">
          <w:rPr>
            <w:rFonts w:ascii="Open Sans" w:eastAsia="Open Sans" w:hAnsi="Open Sans" w:cs="Open Sans"/>
            <w:b/>
            <w:bCs/>
            <w:color w:val="0000FF"/>
            <w:sz w:val="22"/>
            <w:szCs w:val="22"/>
            <w:u w:val="single"/>
          </w:rPr>
          <w:t>Sala de Prensa</w:t>
        </w:r>
      </w:hyperlink>
    </w:p>
    <w:p w14:paraId="4F11C8E1" w14:textId="77777777" w:rsidR="009737A2" w:rsidRDefault="009737A2">
      <w:pPr>
        <w:spacing w:line="276" w:lineRule="auto"/>
        <w:ind w:right="-574"/>
        <w:rPr>
          <w:rFonts w:ascii="Open Sans Light" w:eastAsia="Open Sans Light" w:hAnsi="Open Sans Light" w:cs="Open Sans Light"/>
          <w:b/>
          <w:bCs/>
          <w:color w:val="303AB2"/>
        </w:rPr>
      </w:pPr>
    </w:p>
    <w:p w14:paraId="78543DB2" w14:textId="77777777" w:rsidR="009737A2" w:rsidRDefault="009737A2">
      <w:pPr>
        <w:spacing w:line="276" w:lineRule="auto"/>
        <w:ind w:right="-574"/>
        <w:rPr>
          <w:rFonts w:ascii="Open Sans Light" w:eastAsia="Open Sans Light" w:hAnsi="Open Sans Light" w:cs="Open Sans Light"/>
          <w:b/>
          <w:bCs/>
          <w:color w:val="303AB2"/>
        </w:rPr>
      </w:pPr>
    </w:p>
    <w:p w14:paraId="52CFCD53" w14:textId="77777777" w:rsidR="009737A2" w:rsidRDefault="00000000">
      <w:pPr>
        <w:spacing w:line="276" w:lineRule="auto"/>
        <w:ind w:right="-57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0904C624" w14:textId="77777777" w:rsidR="009737A2"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17321684" w14:textId="77777777" w:rsidR="009737A2"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20">
        <w:r w:rsidR="009737A2">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1">
        <w:proofErr w:type="spellStart"/>
        <w:r w:rsidR="009737A2">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22">
        <w:r w:rsidR="009737A2">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3">
        <w:proofErr w:type="spellStart"/>
        <w:r w:rsidR="009737A2">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4">
        <w:proofErr w:type="spellStart"/>
        <w:r w:rsidR="009737A2">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5">
        <w:proofErr w:type="spellStart"/>
        <w:r w:rsidR="009737A2">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77968BB5" w14:textId="77777777" w:rsidR="009737A2"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657AA313" w14:textId="77777777" w:rsidR="009737A2"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En Fotocasa Group,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1D67BBF8" w14:textId="3FE59FED" w:rsidR="009737A2" w:rsidRPr="002D73B2" w:rsidRDefault="00000000" w:rsidP="002D73B2">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2FA2CD52" w14:textId="77777777" w:rsidR="009737A2" w:rsidRDefault="009737A2">
      <w:pPr>
        <w:spacing w:line="276" w:lineRule="auto"/>
        <w:ind w:right="-574"/>
        <w:jc w:val="right"/>
        <w:rPr>
          <w:rFonts w:ascii="Open Sans" w:eastAsia="Open Sans" w:hAnsi="Open Sans" w:cs="Open Sans"/>
        </w:rPr>
      </w:pPr>
    </w:p>
    <w:p w14:paraId="13AB8D6C" w14:textId="77777777" w:rsidR="009737A2" w:rsidRDefault="00000000">
      <w:pPr>
        <w:spacing w:line="276" w:lineRule="auto"/>
        <w:ind w:right="-574"/>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375D186A" w14:textId="77777777" w:rsidR="009737A2" w:rsidRDefault="00000000">
      <w:pPr>
        <w:shd w:val="clear" w:color="auto" w:fill="FFFFFF"/>
        <w:spacing w:line="276" w:lineRule="auto"/>
        <w:ind w:right="-574"/>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097E6C7C" w14:textId="77777777" w:rsidR="009737A2" w:rsidRDefault="009737A2">
      <w:pPr>
        <w:shd w:val="clear" w:color="auto" w:fill="FFFFFF"/>
        <w:spacing w:line="276" w:lineRule="auto"/>
        <w:ind w:right="-574"/>
        <w:rPr>
          <w:rFonts w:ascii="Open Sans" w:eastAsia="Open Sans" w:hAnsi="Open Sans" w:cs="Open Sans"/>
          <w:color w:val="0000FF"/>
          <w:sz w:val="22"/>
          <w:szCs w:val="22"/>
          <w:u w:val="single"/>
        </w:rPr>
      </w:pPr>
      <w:hyperlink r:id="rId26">
        <w:r>
          <w:rPr>
            <w:rFonts w:ascii="Open Sans" w:eastAsia="Open Sans" w:hAnsi="Open Sans" w:cs="Open Sans"/>
            <w:color w:val="0000FF"/>
            <w:sz w:val="22"/>
            <w:szCs w:val="22"/>
            <w:u w:val="single"/>
          </w:rPr>
          <w:t>comunicacion@fotocasa.es</w:t>
        </w:r>
      </w:hyperlink>
    </w:p>
    <w:p w14:paraId="52147995" w14:textId="77777777" w:rsidR="009737A2" w:rsidRDefault="00000000">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6892D3B" w14:textId="77777777" w:rsidR="009737A2" w:rsidRDefault="009737A2">
      <w:pPr>
        <w:spacing w:line="276" w:lineRule="auto"/>
        <w:jc w:val="right"/>
        <w:rPr>
          <w:rFonts w:ascii="Open Sans Light" w:eastAsia="Open Sans Light" w:hAnsi="Open Sans Light" w:cs="Open Sans Light"/>
          <w:b/>
          <w:bCs/>
          <w:color w:val="303AB2"/>
        </w:rPr>
      </w:pPr>
    </w:p>
    <w:sectPr w:rsidR="009737A2">
      <w:footerReference w:type="default" r:id="rId27"/>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4725E" w14:textId="77777777" w:rsidR="00CC0DB0" w:rsidRDefault="00CC0DB0">
      <w:r>
        <w:separator/>
      </w:r>
    </w:p>
  </w:endnote>
  <w:endnote w:type="continuationSeparator" w:id="0">
    <w:p w14:paraId="7552E0E0" w14:textId="77777777" w:rsidR="00CC0DB0" w:rsidRDefault="00CC0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F0E2748-373D-4FE3-B7C0-A52EE0F3273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C19D61F1-AB7D-4D23-BEE4-E478CEECF33C}"/>
    <w:embedBold r:id="rId3" w:fontKey="{B2EF5F8E-2D98-4D0A-B0C5-9ED98CD1A674}"/>
    <w:embedItalic r:id="rId4" w:fontKey="{ED6C5789-1799-43C4-8E8A-71EA8D12881C}"/>
  </w:font>
  <w:font w:name="Segoe UI">
    <w:panose1 w:val="020B0502040204020203"/>
    <w:charset w:val="00"/>
    <w:family w:val="swiss"/>
    <w:pitch w:val="variable"/>
    <w:sig w:usb0="E4002EFF" w:usb1="C000E47F" w:usb2="00000009" w:usb3="00000000" w:csb0="000001FF" w:csb1="00000000"/>
    <w:embedRegular r:id="rId5" w:fontKey="{28548EBB-A1AE-4361-8650-A41D113CB117}"/>
  </w:font>
  <w:font w:name="Georgia">
    <w:panose1 w:val="02040502050405020303"/>
    <w:charset w:val="00"/>
    <w:family w:val="roman"/>
    <w:pitch w:val="variable"/>
    <w:sig w:usb0="00000287" w:usb1="00000000" w:usb2="00000000" w:usb3="00000000" w:csb0="0000009F" w:csb1="00000000"/>
    <w:embedItalic r:id="rId6" w:fontKey="{6102C01F-25FA-406F-9C5C-3C0CC69D2542}"/>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1A821CD1-D891-4B65-9A6F-D334CE2CE83B}"/>
    <w:embedBold r:id="rId8" w:fontKey="{7B8764CC-2680-4384-8B2D-BA2FF0E10DF0}"/>
    <w:embedBoldItalic r:id="rId9" w:fontKey="{90888DCF-B027-42B5-8871-902CAA4D12C1}"/>
  </w:font>
  <w:font w:name="Open Sans Light">
    <w:charset w:val="00"/>
    <w:family w:val="swiss"/>
    <w:pitch w:val="variable"/>
    <w:sig w:usb0="E00002EF" w:usb1="4000205B" w:usb2="00000028" w:usb3="00000000" w:csb0="0000019F" w:csb1="00000000"/>
    <w:embedBold r:id="rId10" w:fontKey="{4C0D27DB-8975-41FB-B207-121FF8ABB56D}"/>
  </w:font>
  <w:font w:name="Calibri Light">
    <w:panose1 w:val="020F0302020204030204"/>
    <w:charset w:val="00"/>
    <w:family w:val="swiss"/>
    <w:pitch w:val="variable"/>
    <w:sig w:usb0="E4002EFF" w:usb1="C200247B" w:usb2="00000009" w:usb3="00000000" w:csb0="000001FF" w:csb1="00000000"/>
    <w:embedRegular r:id="rId11" w:fontKey="{B3275EAC-87D7-4814-B0AF-1DFD28501F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C94D" w14:textId="77777777" w:rsidR="009737A2"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F0AC54F" wp14:editId="2B402F55">
          <wp:simplePos x="0" y="0"/>
          <wp:positionH relativeFrom="column">
            <wp:posOffset>-1068069</wp:posOffset>
          </wp:positionH>
          <wp:positionV relativeFrom="paragraph">
            <wp:posOffset>174608</wp:posOffset>
          </wp:positionV>
          <wp:extent cx="7670550" cy="451315"/>
          <wp:effectExtent l="0" t="0" r="0" b="0"/>
          <wp:wrapNone/>
          <wp:docPr id="20708056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ED096" w14:textId="77777777" w:rsidR="00CC0DB0" w:rsidRDefault="00CC0DB0">
      <w:r>
        <w:separator/>
      </w:r>
    </w:p>
  </w:footnote>
  <w:footnote w:type="continuationSeparator" w:id="0">
    <w:p w14:paraId="33E6A6F3" w14:textId="77777777" w:rsidR="00CC0DB0" w:rsidRDefault="00CC0D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0E5BBF"/>
    <w:multiLevelType w:val="multilevel"/>
    <w:tmpl w:val="B52CD12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0A2567F"/>
    <w:multiLevelType w:val="hybridMultilevel"/>
    <w:tmpl w:val="FBEEA6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97733048">
    <w:abstractNumId w:val="0"/>
  </w:num>
  <w:num w:numId="2" w16cid:durableId="407849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7A2"/>
    <w:rsid w:val="002D73B2"/>
    <w:rsid w:val="003F642A"/>
    <w:rsid w:val="0072079D"/>
    <w:rsid w:val="00882AAC"/>
    <w:rsid w:val="009737A2"/>
    <w:rsid w:val="00CC0DB0"/>
    <w:rsid w:val="00FA494A"/>
    <w:rsid w:val="00FB5BE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A60CC"/>
  <w15:docId w15:val="{D14D7F06-AC85-4D30-8C50-423843801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character" w:styleId="Mencinsinresolver">
    <w:name w:val="Unresolved Mention"/>
    <w:basedOn w:val="Fuentedeprrafopredeter"/>
    <w:uiPriority w:val="99"/>
    <w:semiHidden/>
    <w:unhideWhenUsed/>
    <w:rsid w:val="00A70933"/>
    <w:rPr>
      <w:color w:val="605E5C"/>
      <w:shd w:val="clear" w:color="auto" w:fill="E1DFDD"/>
    </w:rPr>
  </w:style>
  <w:style w:type="table" w:styleId="Tablaconcuadrcula">
    <w:name w:val="Table Grid"/>
    <w:basedOn w:val="Tablanormal"/>
    <w:uiPriority w:val="39"/>
    <w:rsid w:val="00BD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E5FB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5FBC"/>
    <w:rPr>
      <w:rFonts w:ascii="Segoe UI" w:hAnsi="Segoe UI" w:cs="Segoe UI"/>
      <w:sz w:val="18"/>
      <w:szCs w:val="18"/>
    </w:rPr>
  </w:style>
  <w:style w:type="character" w:styleId="Hipervnculovisitado">
    <w:name w:val="FollowedHyperlink"/>
    <w:basedOn w:val="Fuentedeprrafopredeter"/>
    <w:uiPriority w:val="99"/>
    <w:semiHidden/>
    <w:unhideWhenUsed/>
    <w:rsid w:val="00802470"/>
    <w:rPr>
      <w:color w:val="954F72" w:themeColor="followedHyperlink"/>
      <w:u w:val="single"/>
    </w:rPr>
  </w:style>
  <w:style w:type="table" w:styleId="Tablaconcuadrcula5oscura-nfasis3">
    <w:name w:val="Grid Table 5 Dark Accent 3"/>
    <w:basedOn w:val="Tablanormal"/>
    <w:uiPriority w:val="50"/>
    <w:rsid w:val="009F64E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7concolores-nfasis3">
    <w:name w:val="Grid Table 7 Colorful Accent 3"/>
    <w:basedOn w:val="Tablanormal"/>
    <w:uiPriority w:val="52"/>
    <w:rsid w:val="009F64E9"/>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7concolores">
    <w:name w:val="Grid Table 7 Colorful"/>
    <w:basedOn w:val="Tablanormal"/>
    <w:uiPriority w:val="52"/>
    <w:rsid w:val="009F64E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4-nfasis3">
    <w:name w:val="Grid Table 4 Accent 3"/>
    <w:basedOn w:val="Tablanormal"/>
    <w:uiPriority w:val="49"/>
    <w:rsid w:val="009F64E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Estilo1">
    <w:name w:val="Estilo1"/>
    <w:basedOn w:val="Tablanormal"/>
    <w:uiPriority w:val="99"/>
    <w:rsid w:val="009F64E9"/>
    <w:tblPr/>
  </w:style>
  <w:style w:type="paragraph" w:styleId="Sinespaciado">
    <w:name w:val="No Spacing"/>
    <w:uiPriority w:val="1"/>
    <w:qFormat/>
    <w:rsid w:val="00597492"/>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sing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otocasa.es" TargetMode="External"/><Relationship Id="rId18" Type="http://schemas.openxmlformats.org/officeDocument/2006/relationships/hyperlink" Target="https://www.research.fotocasa.es" TargetMode="External"/><Relationship Id="rId26" Type="http://schemas.openxmlformats.org/officeDocument/2006/relationships/hyperlink" Target="mailto:comunicacion@fotocasa.es" TargetMode="External"/><Relationship Id="rId3" Type="http://schemas.openxmlformats.org/officeDocument/2006/relationships/styles" Target="styles.xml"/><Relationship Id="rId21" Type="http://schemas.openxmlformats.org/officeDocument/2006/relationships/hyperlink" Target="https://www.habitaclia.com/"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www.fotocasa.es/indice/" TargetMode="External"/><Relationship Id="rId25" Type="http://schemas.openxmlformats.org/officeDocument/2006/relationships/hyperlink" Target="https://www.inmoweb.es/"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s://www.fotocasa.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get.witei.com/en/"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datavenues.com/" TargetMode="External"/><Relationship Id="rId28" Type="http://schemas.openxmlformats.org/officeDocument/2006/relationships/fontTable" Target="fontTable.xml"/><Relationship Id="rId10" Type="http://schemas.openxmlformats.org/officeDocument/2006/relationships/hyperlink" Target="http://www.fotocasa.es" TargetMode="External"/><Relationship Id="rId19" Type="http://schemas.openxmlformats.org/officeDocument/2006/relationships/hyperlink" Target="http://prensa.fotocasa.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otocasa.es" TargetMode="External"/><Relationship Id="rId22" Type="http://schemas.openxmlformats.org/officeDocument/2006/relationships/hyperlink" Target="https://profesionales.fotocasa.es/"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I:\Mi%20unidad\01-SCHIBSTED\04-ESTUDIO%20NdP\GARAJES\NdP%202025\GARAJE%20VENTA\PRENSA%20GARAJES%20ACUMULATIVO%202025.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Mi%20unidad\01-SCHIBSTED\04-ESTUDIO%20NdP\GARAJES\NdP%202025\GARAJE%20VENTA\PRENSA%20GARAJES%20ACUMULATIVO%202025.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rani\AppData\Roaming\Microsoft\Excel\PRENSA%20GARAJES%20ACUMULATIVO%202025%20(version%201).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prani\AppData\Roaming\Microsoft\Excel\PRENSA%20GARAJES%20ACUMULATIVO%202025%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[PRENSA GARAJES ACUMULATIVO 2025.xlsm]Tablas!TablaDinámica5</c:name>
    <c:fmtId val="-1"/>
  </c:pivotSource>
  <c:chart>
    <c:autoTitleDeleted val="1"/>
    <c:pivotFmts>
      <c:pivotFmt>
        <c:idx val="0"/>
        <c:spPr>
          <a:solidFill>
            <a:schemeClr val="bg2">
              <a:lumMod val="5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5">
              <a:lumMod val="40000"/>
              <a:lumOff val="60000"/>
            </a:schemeClr>
          </a:solidFill>
          <a:ln>
            <a:noFill/>
          </a:ln>
          <a:effectLst/>
        </c:spPr>
      </c:pivotFmt>
      <c:pivotFmt>
        <c:idx val="2"/>
        <c:spPr>
          <a:solidFill>
            <a:schemeClr val="accent5">
              <a:lumMod val="40000"/>
              <a:lumOff val="60000"/>
            </a:schemeClr>
          </a:solidFill>
          <a:ln>
            <a:noFill/>
          </a:ln>
          <a:effectLst/>
        </c:spPr>
      </c:pivotFmt>
      <c:pivotFmt>
        <c:idx val="3"/>
        <c:spPr>
          <a:solidFill>
            <a:schemeClr val="accent5">
              <a:lumMod val="40000"/>
              <a:lumOff val="60000"/>
            </a:schemeClr>
          </a:solidFill>
          <a:ln>
            <a:noFill/>
          </a:ln>
          <a:effectLst/>
        </c:spPr>
      </c:pivotFmt>
      <c:pivotFmt>
        <c:idx val="4"/>
        <c:spPr>
          <a:solidFill>
            <a:schemeClr val="accent5">
              <a:lumMod val="40000"/>
              <a:lumOff val="60000"/>
            </a:schemeClr>
          </a:solidFill>
          <a:ln>
            <a:noFill/>
          </a:ln>
          <a:effectLst/>
        </c:spPr>
      </c:pivotFmt>
      <c:pivotFmt>
        <c:idx val="5"/>
        <c:spPr>
          <a:solidFill>
            <a:schemeClr val="accent5">
              <a:lumMod val="40000"/>
              <a:lumOff val="60000"/>
            </a:schemeClr>
          </a:solidFill>
          <a:ln>
            <a:noFill/>
          </a:ln>
          <a:effectLst/>
        </c:spPr>
      </c:pivotFmt>
      <c:pivotFmt>
        <c:idx val="6"/>
        <c:spPr>
          <a:solidFill>
            <a:schemeClr val="bg2">
              <a:lumMod val="5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5">
              <a:lumMod val="40000"/>
              <a:lumOff val="60000"/>
            </a:schemeClr>
          </a:solidFill>
          <a:ln>
            <a:noFill/>
          </a:ln>
          <a:effectLst/>
        </c:spPr>
      </c:pivotFmt>
      <c:pivotFmt>
        <c:idx val="8"/>
        <c:spPr>
          <a:solidFill>
            <a:schemeClr val="accent5">
              <a:lumMod val="40000"/>
              <a:lumOff val="60000"/>
            </a:schemeClr>
          </a:solidFill>
          <a:ln>
            <a:noFill/>
          </a:ln>
          <a:effectLst/>
        </c:spPr>
      </c:pivotFmt>
      <c:pivotFmt>
        <c:idx val="9"/>
        <c:spPr>
          <a:solidFill>
            <a:schemeClr val="accent5">
              <a:lumMod val="40000"/>
              <a:lumOff val="60000"/>
            </a:schemeClr>
          </a:solidFill>
          <a:ln>
            <a:noFill/>
          </a:ln>
          <a:effectLst/>
        </c:spPr>
      </c:pivotFmt>
      <c:pivotFmt>
        <c:idx val="10"/>
        <c:spPr>
          <a:solidFill>
            <a:schemeClr val="accent5">
              <a:lumMod val="40000"/>
              <a:lumOff val="60000"/>
            </a:schemeClr>
          </a:solidFill>
          <a:ln>
            <a:noFill/>
          </a:ln>
          <a:effectLst/>
        </c:spPr>
      </c:pivotFmt>
      <c:pivotFmt>
        <c:idx val="11"/>
        <c:spPr>
          <a:solidFill>
            <a:schemeClr val="accent5">
              <a:lumMod val="40000"/>
              <a:lumOff val="60000"/>
            </a:schemeClr>
          </a:solidFill>
          <a:ln>
            <a:noFill/>
          </a:ln>
          <a:effectLst/>
        </c:spPr>
      </c:pivotFmt>
      <c:pivotFmt>
        <c:idx val="12"/>
        <c:spPr>
          <a:solidFill>
            <a:schemeClr val="bg2">
              <a:lumMod val="5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5">
              <a:lumMod val="40000"/>
              <a:lumOff val="60000"/>
            </a:schemeClr>
          </a:solidFill>
          <a:ln>
            <a:noFill/>
          </a:ln>
          <a:effectLst/>
        </c:spPr>
      </c:pivotFmt>
      <c:pivotFmt>
        <c:idx val="14"/>
        <c:spPr>
          <a:solidFill>
            <a:schemeClr val="accent5">
              <a:lumMod val="40000"/>
              <a:lumOff val="60000"/>
            </a:schemeClr>
          </a:solidFill>
          <a:ln>
            <a:noFill/>
          </a:ln>
          <a:effectLst/>
        </c:spPr>
      </c:pivotFmt>
      <c:pivotFmt>
        <c:idx val="15"/>
        <c:spPr>
          <a:solidFill>
            <a:schemeClr val="accent5">
              <a:lumMod val="40000"/>
              <a:lumOff val="60000"/>
            </a:schemeClr>
          </a:solidFill>
          <a:ln>
            <a:noFill/>
          </a:ln>
          <a:effectLst/>
        </c:spPr>
      </c:pivotFmt>
      <c:pivotFmt>
        <c:idx val="16"/>
        <c:spPr>
          <a:solidFill>
            <a:schemeClr val="accent5">
              <a:lumMod val="40000"/>
              <a:lumOff val="60000"/>
            </a:schemeClr>
          </a:solidFill>
          <a:ln>
            <a:noFill/>
          </a:ln>
          <a:effectLst/>
        </c:spPr>
      </c:pivotFmt>
      <c:pivotFmt>
        <c:idx val="17"/>
        <c:spPr>
          <a:solidFill>
            <a:schemeClr val="accent5">
              <a:lumMod val="40000"/>
              <a:lumOff val="60000"/>
            </a:schemeClr>
          </a:solidFill>
          <a:ln>
            <a:noFill/>
          </a:ln>
          <a:effectLst/>
        </c:spPr>
      </c:pivotFmt>
    </c:pivotFmts>
    <c:plotArea>
      <c:layout/>
      <c:barChart>
        <c:barDir val="col"/>
        <c:grouping val="clustered"/>
        <c:varyColors val="0"/>
        <c:ser>
          <c:idx val="0"/>
          <c:order val="0"/>
          <c:tx>
            <c:strRef>
              <c:f>Tablas!$B$27</c:f>
              <c:strCache>
                <c:ptCount val="1"/>
                <c:pt idx="0">
                  <c:v>Total</c:v>
                </c:pt>
              </c:strCache>
            </c:strRef>
          </c:tx>
          <c:spPr>
            <a:solidFill>
              <a:schemeClr val="bg2">
                <a:lumMod val="50000"/>
              </a:schemeClr>
            </a:solidFill>
            <a:ln>
              <a:noFill/>
            </a:ln>
            <a:effectLst/>
          </c:spPr>
          <c:invertIfNegative val="0"/>
          <c:dPt>
            <c:idx val="0"/>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1-CFA3-4DE2-B825-EDA08EA33B2C}"/>
              </c:ext>
            </c:extLst>
          </c:dPt>
          <c:dPt>
            <c:idx val="1"/>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3-CFA3-4DE2-B825-EDA08EA33B2C}"/>
              </c:ext>
            </c:extLst>
          </c:dPt>
          <c:dPt>
            <c:idx val="2"/>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5-CFA3-4DE2-B825-EDA08EA33B2C}"/>
              </c:ext>
            </c:extLst>
          </c:dPt>
          <c:dPt>
            <c:idx val="3"/>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7-CFA3-4DE2-B825-EDA08EA33B2C}"/>
              </c:ext>
            </c:extLst>
          </c:dPt>
          <c:dPt>
            <c:idx val="4"/>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9-CFA3-4DE2-B825-EDA08EA33B2C}"/>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Tablas!$A$28:$A$37</c:f>
              <c:strCache>
                <c:ptCount val="10"/>
                <c:pt idx="0">
                  <c:v> Variación anual            Año 2016</c:v>
                </c:pt>
                <c:pt idx="1">
                  <c:v> Variación anual            Año 2017</c:v>
                </c:pt>
                <c:pt idx="2">
                  <c:v>Variación anual            Año 2018</c:v>
                </c:pt>
                <c:pt idx="3">
                  <c:v>Variación anual            Año 2019</c:v>
                </c:pt>
                <c:pt idx="4">
                  <c:v>Variación anual            Año 2020</c:v>
                </c:pt>
                <c:pt idx="5">
                  <c:v>Variación anual            Año 2021</c:v>
                </c:pt>
                <c:pt idx="6">
                  <c:v>Variación anual            Año 2022</c:v>
                </c:pt>
                <c:pt idx="7">
                  <c:v>Variación anual            Año 2023</c:v>
                </c:pt>
                <c:pt idx="8">
                  <c:v>Variación anual            Año 2024</c:v>
                </c:pt>
                <c:pt idx="9">
                  <c:v>Variación anual           Año 2025</c:v>
                </c:pt>
              </c:strCache>
            </c:strRef>
          </c:cat>
          <c:val>
            <c:numRef>
              <c:f>Tablas!$B$28:$B$37</c:f>
              <c:numCache>
                <c:formatCode>0.0%</c:formatCode>
                <c:ptCount val="10"/>
                <c:pt idx="0">
                  <c:v>-0.12735672876673304</c:v>
                </c:pt>
                <c:pt idx="1">
                  <c:v>-3.9166393261065462E-2</c:v>
                </c:pt>
                <c:pt idx="2">
                  <c:v>-3.7262526790349401E-2</c:v>
                </c:pt>
                <c:pt idx="3">
                  <c:v>-3.5501871954529307E-2</c:v>
                </c:pt>
                <c:pt idx="4">
                  <c:v>-8.3720587288239223E-2</c:v>
                </c:pt>
                <c:pt idx="5">
                  <c:v>3.4106049308772653E-2</c:v>
                </c:pt>
                <c:pt idx="6">
                  <c:v>0.14451421620050936</c:v>
                </c:pt>
                <c:pt idx="7">
                  <c:v>7.5367836905556915E-2</c:v>
                </c:pt>
                <c:pt idx="8">
                  <c:v>0.10207442977190877</c:v>
                </c:pt>
                <c:pt idx="9">
                  <c:v>1.7434471860698506E-2</c:v>
                </c:pt>
              </c:numCache>
            </c:numRef>
          </c:val>
          <c:extLst>
            <c:ext xmlns:c16="http://schemas.microsoft.com/office/drawing/2014/chart" uri="{C3380CC4-5D6E-409C-BE32-E72D297353CC}">
              <c16:uniqueId val="{0000000A-CFA3-4DE2-B825-EDA08EA33B2C}"/>
            </c:ext>
          </c:extLst>
        </c:ser>
        <c:dLbls>
          <c:showLegendKey val="0"/>
          <c:showVal val="0"/>
          <c:showCatName val="0"/>
          <c:showSerName val="0"/>
          <c:showPercent val="0"/>
          <c:showBubbleSize val="0"/>
        </c:dLbls>
        <c:gapWidth val="98"/>
        <c:overlap val="-27"/>
        <c:axId val="1779361632"/>
        <c:axId val="1779354432"/>
      </c:barChart>
      <c:catAx>
        <c:axId val="1779361632"/>
        <c:scaling>
          <c:orientation val="minMax"/>
        </c:scaling>
        <c:delete val="0"/>
        <c:axPos val="b"/>
        <c:numFmt formatCode="General" sourceLinked="1"/>
        <c:majorTickMark val="cross"/>
        <c:minorTickMark val="none"/>
        <c:tickLblPos val="low"/>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79354432"/>
        <c:crosses val="autoZero"/>
        <c:auto val="1"/>
        <c:lblAlgn val="ctr"/>
        <c:lblOffset val="100"/>
        <c:noMultiLvlLbl val="0"/>
      </c:catAx>
      <c:valAx>
        <c:axId val="1779354432"/>
        <c:scaling>
          <c:orientation val="minMax"/>
        </c:scaling>
        <c:delete val="1"/>
        <c:axPos val="l"/>
        <c:numFmt formatCode="0.0%" sourceLinked="1"/>
        <c:majorTickMark val="none"/>
        <c:minorTickMark val="none"/>
        <c:tickLblPos val="nextTo"/>
        <c:crossAx val="17793616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[PRENSA GARAJES ACUMULATIVO 2025.xlsm]Tablas!TablaDinámica2</c:name>
    <c:fmtId val="-1"/>
  </c:pivotSource>
  <c:chart>
    <c:autoTitleDeleted val="1"/>
    <c:pivotFmts>
      <c:pivotFmt>
        <c:idx val="0"/>
        <c:spPr>
          <a:solidFill>
            <a:schemeClr val="tx2">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tx2">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tx2">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3.9085266065120902E-2"/>
          <c:y val="4.5267475043752621E-2"/>
          <c:w val="0.93885959957222198"/>
          <c:h val="0.65946874195584482"/>
        </c:manualLayout>
      </c:layout>
      <c:barChart>
        <c:barDir val="col"/>
        <c:grouping val="clustered"/>
        <c:varyColors val="0"/>
        <c:ser>
          <c:idx val="0"/>
          <c:order val="0"/>
          <c:tx>
            <c:strRef>
              <c:f>Tablas!$B$68:$B$69</c:f>
              <c:strCache>
                <c:ptCount val="1"/>
                <c:pt idx="0">
                  <c:v>Total</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Tablas!$A$70:$A$80</c:f>
              <c:strCache>
                <c:ptCount val="11"/>
                <c:pt idx="0">
                  <c:v>01/12/2015</c:v>
                </c:pt>
                <c:pt idx="1">
                  <c:v>01/12/2016</c:v>
                </c:pt>
                <c:pt idx="2">
                  <c:v>01/12/2017</c:v>
                </c:pt>
                <c:pt idx="3">
                  <c:v>01/12/2018</c:v>
                </c:pt>
                <c:pt idx="4">
                  <c:v>01/12/2019</c:v>
                </c:pt>
                <c:pt idx="5">
                  <c:v>01/12/2020</c:v>
                </c:pt>
                <c:pt idx="6">
                  <c:v>01/12/2021</c:v>
                </c:pt>
                <c:pt idx="7">
                  <c:v>01/12/2022</c:v>
                </c:pt>
                <c:pt idx="8">
                  <c:v>01/12/2023</c:v>
                </c:pt>
                <c:pt idx="9">
                  <c:v>01/12/2024</c:v>
                </c:pt>
                <c:pt idx="10">
                  <c:v>01/12/2025</c:v>
                </c:pt>
              </c:strCache>
            </c:strRef>
          </c:cat>
          <c:val>
            <c:numRef>
              <c:f>Tablas!$B$70:$B$80</c:f>
              <c:numCache>
                <c:formatCode>_-* #,##0\ [$€-C0A]_-;\-* #,##0\ [$€-C0A]_-;_-* "-"??\ [$€-C0A]_-;_-@_-</c:formatCode>
                <c:ptCount val="11"/>
                <c:pt idx="0">
                  <c:v>13761.66</c:v>
                </c:pt>
                <c:pt idx="1">
                  <c:v>12009.02</c:v>
                </c:pt>
                <c:pt idx="2">
                  <c:v>11538.67</c:v>
                </c:pt>
                <c:pt idx="3">
                  <c:v>11108.71</c:v>
                </c:pt>
                <c:pt idx="4">
                  <c:v>10714.33</c:v>
                </c:pt>
                <c:pt idx="5">
                  <c:v>9817.32</c:v>
                </c:pt>
                <c:pt idx="6">
                  <c:v>10152.15</c:v>
                </c:pt>
                <c:pt idx="7">
                  <c:v>11619.28</c:v>
                </c:pt>
                <c:pt idx="8">
                  <c:v>12495</c:v>
                </c:pt>
                <c:pt idx="9">
                  <c:v>13770.42</c:v>
                </c:pt>
                <c:pt idx="10">
                  <c:v>14010.5</c:v>
                </c:pt>
              </c:numCache>
            </c:numRef>
          </c:val>
          <c:extLst>
            <c:ext xmlns:c16="http://schemas.microsoft.com/office/drawing/2014/chart" uri="{C3380CC4-5D6E-409C-BE32-E72D297353CC}">
              <c16:uniqueId val="{00000000-B56A-4EE3-B66A-2B420524CBF7}"/>
            </c:ext>
          </c:extLst>
        </c:ser>
        <c:dLbls>
          <c:showLegendKey val="0"/>
          <c:showVal val="0"/>
          <c:showCatName val="0"/>
          <c:showSerName val="0"/>
          <c:showPercent val="0"/>
          <c:showBubbleSize val="0"/>
        </c:dLbls>
        <c:gapWidth val="69"/>
        <c:overlap val="-27"/>
        <c:axId val="1050281119"/>
        <c:axId val="1050286879"/>
      </c:barChart>
      <c:catAx>
        <c:axId val="1050281119"/>
        <c:scaling>
          <c:orientation val="minMax"/>
        </c:scaling>
        <c:delete val="0"/>
        <c:axPos val="b"/>
        <c:numFmt formatCode="General" sourceLinked="1"/>
        <c:majorTickMark val="cross"/>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50286879"/>
        <c:crosses val="autoZero"/>
        <c:auto val="1"/>
        <c:lblAlgn val="ctr"/>
        <c:lblOffset val="100"/>
        <c:noMultiLvlLbl val="0"/>
      </c:catAx>
      <c:valAx>
        <c:axId val="1050286879"/>
        <c:scaling>
          <c:orientation val="minMax"/>
        </c:scaling>
        <c:delete val="1"/>
        <c:axPos val="l"/>
        <c:numFmt formatCode="_-* #,##0\ [$€-C0A]_-;\-* #,##0\ [$€-C0A]_-;_-* &quot;-&quot;??\ [$€-C0A]_-;_-@_-" sourceLinked="1"/>
        <c:majorTickMark val="none"/>
        <c:minorTickMark val="none"/>
        <c:tickLblPos val="nextTo"/>
        <c:crossAx val="105028111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[PRENSA GARAJES ACUMULATIVO 2025 (version 1).xlsb]DIST!TablaDinámica2</c:name>
    <c:fmtId val="-1"/>
  </c:pivotSource>
  <c:chart>
    <c:autoTitleDeleted val="1"/>
    <c:pivotFmts>
      <c:pivotFmt>
        <c:idx val="0"/>
        <c:spPr>
          <a:solidFill>
            <a:schemeClr val="accent1"/>
          </a:solidFill>
          <a:ln>
            <a:noFill/>
          </a:ln>
          <a:effectLst/>
        </c:spPr>
        <c:marker>
          <c:symbol val="circle"/>
          <c:size val="5"/>
          <c:spPr>
            <a:solidFill>
              <a:schemeClr val="accent1"/>
            </a:solidFill>
            <a:ln w="9525">
              <a:solidFill>
                <a:schemeClr val="accent1"/>
              </a:solidFill>
            </a:ln>
            <a:effectLst/>
          </c:spPr>
        </c:marker>
        <c:dLbl>
          <c:idx val="0"/>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1.8173301213849316E-2"/>
          <c:y val="5.7697351167060061E-2"/>
          <c:w val="0.97401045647084128"/>
          <c:h val="0.63467829699887046"/>
        </c:manualLayout>
      </c:layout>
      <c:barChart>
        <c:barDir val="col"/>
        <c:grouping val="clustered"/>
        <c:varyColors val="0"/>
        <c:ser>
          <c:idx val="0"/>
          <c:order val="0"/>
          <c:tx>
            <c:strRef>
              <c:f>DIST!$E$45</c:f>
              <c:strCache>
                <c:ptCount val="1"/>
                <c:pt idx="0">
                  <c:v>Total</c:v>
                </c:pt>
              </c:strCache>
            </c:strRef>
          </c:tx>
          <c:spPr>
            <a:solidFill>
              <a:schemeClr val="tx2">
                <a:lumMod val="60000"/>
                <a:lumOff val="40000"/>
              </a:schemeClr>
            </a:solidFill>
            <a:ln>
              <a:noFill/>
            </a:ln>
            <a:effectLst/>
          </c:spPr>
          <c:invertIfNegative val="0"/>
          <c:dLbls>
            <c:spPr>
              <a:noFill/>
              <a:ln>
                <a:noFill/>
              </a:ln>
              <a:effectLst>
                <a:softEdge rad="190500"/>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DIST!$D$46:$D$64</c:f>
              <c:strCache>
                <c:ptCount val="19"/>
                <c:pt idx="0">
                  <c:v>Centro</c:v>
                </c:pt>
                <c:pt idx="1">
                  <c:v>Chamberí</c:v>
                </c:pt>
                <c:pt idx="2">
                  <c:v>Chamartín</c:v>
                </c:pt>
                <c:pt idx="3">
                  <c:v>Barrio de Salamanca</c:v>
                </c:pt>
                <c:pt idx="4">
                  <c:v>Arganzuela</c:v>
                </c:pt>
                <c:pt idx="5">
                  <c:v>Ciudad Lineal</c:v>
                </c:pt>
                <c:pt idx="6">
                  <c:v>Retiro</c:v>
                </c:pt>
                <c:pt idx="7">
                  <c:v>Tetuán</c:v>
                </c:pt>
                <c:pt idx="8">
                  <c:v>Moncloa - Aravaca</c:v>
                </c:pt>
                <c:pt idx="9">
                  <c:v>Puente de Vallecas</c:v>
                </c:pt>
                <c:pt idx="10">
                  <c:v>Usera</c:v>
                </c:pt>
                <c:pt idx="11">
                  <c:v>Hortaleza</c:v>
                </c:pt>
                <c:pt idx="12">
                  <c:v>Fuencarral - El Pardo</c:v>
                </c:pt>
                <c:pt idx="13">
                  <c:v>Vicálvaro</c:v>
                </c:pt>
                <c:pt idx="14">
                  <c:v>San Blas</c:v>
                </c:pt>
                <c:pt idx="15">
                  <c:v>Carabanchel</c:v>
                </c:pt>
                <c:pt idx="16">
                  <c:v>Villaverde</c:v>
                </c:pt>
                <c:pt idx="17">
                  <c:v>Latina</c:v>
                </c:pt>
                <c:pt idx="18">
                  <c:v>Villa de Vallecas</c:v>
                </c:pt>
              </c:strCache>
            </c:strRef>
          </c:cat>
          <c:val>
            <c:numRef>
              <c:f>DIST!$E$46:$E$64</c:f>
              <c:numCache>
                <c:formatCode>_-* #,##0_-;\-* #,##0_-;_-* "-"??_-;_-@_-</c:formatCode>
                <c:ptCount val="19"/>
                <c:pt idx="0">
                  <c:v>28673.56</c:v>
                </c:pt>
                <c:pt idx="1">
                  <c:v>28383.65</c:v>
                </c:pt>
                <c:pt idx="2">
                  <c:v>24265.22</c:v>
                </c:pt>
                <c:pt idx="3">
                  <c:v>24204.62</c:v>
                </c:pt>
                <c:pt idx="4">
                  <c:v>23667.35</c:v>
                </c:pt>
                <c:pt idx="5">
                  <c:v>20843.830000000002</c:v>
                </c:pt>
                <c:pt idx="6">
                  <c:v>20300.05</c:v>
                </c:pt>
                <c:pt idx="7">
                  <c:v>19858.72</c:v>
                </c:pt>
                <c:pt idx="8">
                  <c:v>19660.490000000002</c:v>
                </c:pt>
                <c:pt idx="9">
                  <c:v>17306.759999999998</c:v>
                </c:pt>
                <c:pt idx="10">
                  <c:v>17231.25</c:v>
                </c:pt>
                <c:pt idx="11">
                  <c:v>17149.87</c:v>
                </c:pt>
                <c:pt idx="12">
                  <c:v>17105.77</c:v>
                </c:pt>
                <c:pt idx="13">
                  <c:v>16336.97</c:v>
                </c:pt>
                <c:pt idx="14">
                  <c:v>16269.03</c:v>
                </c:pt>
                <c:pt idx="15">
                  <c:v>15860.2</c:v>
                </c:pt>
                <c:pt idx="16">
                  <c:v>13595.85</c:v>
                </c:pt>
                <c:pt idx="17">
                  <c:v>13303.17</c:v>
                </c:pt>
                <c:pt idx="18">
                  <c:v>11088.91</c:v>
                </c:pt>
              </c:numCache>
            </c:numRef>
          </c:val>
          <c:extLst>
            <c:ext xmlns:c16="http://schemas.microsoft.com/office/drawing/2014/chart" uri="{C3380CC4-5D6E-409C-BE32-E72D297353CC}">
              <c16:uniqueId val="{00000000-1283-4C49-9797-2E29372CFF79}"/>
            </c:ext>
          </c:extLst>
        </c:ser>
        <c:dLbls>
          <c:showLegendKey val="0"/>
          <c:showVal val="0"/>
          <c:showCatName val="0"/>
          <c:showSerName val="0"/>
          <c:showPercent val="0"/>
          <c:showBubbleSize val="0"/>
        </c:dLbls>
        <c:gapWidth val="85"/>
        <c:axId val="1643207440"/>
        <c:axId val="1643191120"/>
      </c:barChart>
      <c:catAx>
        <c:axId val="1643207440"/>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1643191120"/>
        <c:crosses val="autoZero"/>
        <c:auto val="1"/>
        <c:lblAlgn val="ctr"/>
        <c:lblOffset val="100"/>
        <c:noMultiLvlLbl val="0"/>
      </c:catAx>
      <c:valAx>
        <c:axId val="1643191120"/>
        <c:scaling>
          <c:orientation val="minMax"/>
        </c:scaling>
        <c:delete val="1"/>
        <c:axPos val="l"/>
        <c:numFmt formatCode="_-* #,##0_-;\-* #,##0_-;_-* &quot;-&quot;??_-;_-@_-" sourceLinked="1"/>
        <c:majorTickMark val="none"/>
        <c:minorTickMark val="none"/>
        <c:tickLblPos val="nextTo"/>
        <c:crossAx val="16432074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[PRENSA GARAJES ACUMULATIVO 2025 (version 1).xlsb]DIST!TablaDinámica3</c:name>
    <c:fmtId val="-1"/>
  </c:pivotSource>
  <c:chart>
    <c:autoTitleDeleted val="1"/>
    <c:pivotFmts>
      <c:pivotFmt>
        <c:idx val="0"/>
        <c:spPr>
          <a:solidFill>
            <a:schemeClr val="accent1"/>
          </a:solidFill>
          <a:ln>
            <a:noFill/>
          </a:ln>
          <a:effectLst/>
        </c:spPr>
        <c:marker>
          <c:symbol val="circle"/>
          <c:size val="5"/>
          <c:spPr>
            <a:solidFill>
              <a:schemeClr val="accent1"/>
            </a:solidFill>
            <a:ln w="9525">
              <a:solidFill>
                <a:schemeClr val="accent1"/>
              </a:solidFill>
            </a:ln>
            <a:effectLst/>
          </c:spPr>
        </c:marker>
        <c:dLbl>
          <c:idx val="0"/>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DIST!$E$76</c:f>
              <c:strCache>
                <c:ptCount val="1"/>
                <c:pt idx="0">
                  <c:v>Total</c:v>
                </c:pt>
              </c:strCache>
            </c:strRef>
          </c:tx>
          <c:spPr>
            <a:solidFill>
              <a:schemeClr val="tx2">
                <a:lumMod val="60000"/>
                <a:lumOff val="40000"/>
              </a:schemeClr>
            </a:solidFill>
            <a:ln>
              <a:noFill/>
            </a:ln>
            <a:effectLst/>
          </c:spPr>
          <c:invertIfNegative val="0"/>
          <c:dLbls>
            <c:spPr>
              <a:noFill/>
              <a:ln>
                <a:noFill/>
              </a:ln>
              <a:effectLst>
                <a:softEdge rad="1905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DIST!$D$77:$D$86</c:f>
              <c:strCache>
                <c:ptCount val="10"/>
                <c:pt idx="0">
                  <c:v>Sarrià - Sant Gervasi</c:v>
                </c:pt>
                <c:pt idx="1">
                  <c:v>Ciutat Vella</c:v>
                </c:pt>
                <c:pt idx="2">
                  <c:v>Les Corts</c:v>
                </c:pt>
                <c:pt idx="3">
                  <c:v>Eixample</c:v>
                </c:pt>
                <c:pt idx="4">
                  <c:v>Sant Martí</c:v>
                </c:pt>
                <c:pt idx="5">
                  <c:v>Gràcia</c:v>
                </c:pt>
                <c:pt idx="6">
                  <c:v>Horta - Guinardó</c:v>
                </c:pt>
                <c:pt idx="7">
                  <c:v>Nou Barris</c:v>
                </c:pt>
                <c:pt idx="8">
                  <c:v>Sants - Montjuïc</c:v>
                </c:pt>
                <c:pt idx="9">
                  <c:v>Sant Andreu</c:v>
                </c:pt>
              </c:strCache>
            </c:strRef>
          </c:cat>
          <c:val>
            <c:numRef>
              <c:f>DIST!$E$77:$E$86</c:f>
              <c:numCache>
                <c:formatCode>_-* #,##0_-;\-* #,##0_-;_-* "-"??_-;_-@_-</c:formatCode>
                <c:ptCount val="10"/>
                <c:pt idx="0">
                  <c:v>19963.02</c:v>
                </c:pt>
                <c:pt idx="1">
                  <c:v>19322.099999999999</c:v>
                </c:pt>
                <c:pt idx="2">
                  <c:v>18855.099999999999</c:v>
                </c:pt>
                <c:pt idx="3">
                  <c:v>18458.47</c:v>
                </c:pt>
                <c:pt idx="4">
                  <c:v>18440.330000000002</c:v>
                </c:pt>
                <c:pt idx="5">
                  <c:v>18236.830000000002</c:v>
                </c:pt>
                <c:pt idx="6">
                  <c:v>17796.52</c:v>
                </c:pt>
                <c:pt idx="7">
                  <c:v>17645.61</c:v>
                </c:pt>
                <c:pt idx="8">
                  <c:v>16382.97</c:v>
                </c:pt>
                <c:pt idx="9">
                  <c:v>15810.53</c:v>
                </c:pt>
              </c:numCache>
            </c:numRef>
          </c:val>
          <c:extLst>
            <c:ext xmlns:c16="http://schemas.microsoft.com/office/drawing/2014/chart" uri="{C3380CC4-5D6E-409C-BE32-E72D297353CC}">
              <c16:uniqueId val="{00000000-9609-49D3-BB8A-A03C03335C99}"/>
            </c:ext>
          </c:extLst>
        </c:ser>
        <c:dLbls>
          <c:showLegendKey val="0"/>
          <c:showVal val="0"/>
          <c:showCatName val="0"/>
          <c:showSerName val="0"/>
          <c:showPercent val="0"/>
          <c:showBubbleSize val="0"/>
        </c:dLbls>
        <c:gapWidth val="85"/>
        <c:axId val="1643207440"/>
        <c:axId val="1643191120"/>
      </c:barChart>
      <c:catAx>
        <c:axId val="1643207440"/>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43191120"/>
        <c:crosses val="autoZero"/>
        <c:auto val="1"/>
        <c:lblAlgn val="ctr"/>
        <c:lblOffset val="100"/>
        <c:noMultiLvlLbl val="0"/>
      </c:catAx>
      <c:valAx>
        <c:axId val="1643191120"/>
        <c:scaling>
          <c:orientation val="minMax"/>
        </c:scaling>
        <c:delete val="1"/>
        <c:axPos val="l"/>
        <c:numFmt formatCode="_-* #,##0_-;\-* #,##0_-;_-* &quot;-&quot;??_-;_-@_-" sourceLinked="1"/>
        <c:majorTickMark val="none"/>
        <c:minorTickMark val="none"/>
        <c:tickLblPos val="nextTo"/>
        <c:crossAx val="1643207440"/>
        <c:crosses val="autoZero"/>
        <c:crossBetween val="between"/>
      </c:valAx>
    </c:plotArea>
    <c:plotVisOnly val="1"/>
    <c:dispBlanksAs val="gap"/>
    <c:showDLblsOverMax val="0"/>
    <c:extLst/>
  </c:chart>
  <c:spPr>
    <a:solidFill>
      <a:schemeClr val="bg1"/>
    </a:solidFill>
    <a:ln w="9525" cap="flat" cmpd="sng" algn="ctr">
      <a:noFill/>
      <a:round/>
    </a:ln>
    <a:effectLst/>
  </c:spPr>
  <c:txPr>
    <a:bodyPr/>
    <a:lstStyle/>
    <a:p>
      <a:pPr>
        <a:defRPr/>
      </a:pPr>
      <a:endParaRPr lang="es-ES"/>
    </a:p>
  </c:txPr>
  <c:externalData r:id="rId1">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lHOtG6q9av1BPAH8mPTC+oQPsA==">CgMxLjAyDmgub3dhMms5cnlkZHQzOAByITFzaDZZcDk1b3JnR0x2V21uRy1MWGRlSVJoMGpBS2RtSw==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2080</Words>
  <Characters>11442</Characters>
  <Application>Microsoft Office Word</Application>
  <DocSecurity>0</DocSecurity>
  <Lines>95</Lines>
  <Paragraphs>26</Paragraphs>
  <ScaleCrop>false</ScaleCrop>
  <Company/>
  <LinksUpToDate>false</LinksUpToDate>
  <CharactersWithSpaces>13496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Anais Garcia Lopez</cp:lastModifiedBy>
  <cp:revision>5</cp:revision>
  <cp:lastPrinted>2026-02-13T12:26:00Z</cp:lastPrinted>
  <dcterms:created xsi:type="dcterms:W3CDTF">2026-02-12T08:10:00Z</dcterms:created>
  <dcterms:modified xsi:type="dcterms:W3CDTF">2026-02-15T20:45:00Z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2024-01-30T15:42:16Z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0a675d70-1d8a-4190-a012-44c94ff07b06</vt:lpwstr>
  </property>
  <property fmtid="{D5CDD505-2E9C-101B-9397-08002B2CF9AE}" pid="8" name="MSIP_Label_defa4170-0d19-0005-0004-bc88714345d2_ContentBits">
    <vt:lpwstr>0</vt:lpwstr>
  </property>
</Properties>
</file>