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1D2DB" w14:textId="4A67D366" w:rsidR="00A84CA7" w:rsidRDefault="00157BA7" w:rsidP="007937D5">
      <w:pPr>
        <w:ind w:right="-574"/>
      </w:pPr>
      <w:r>
        <w:rPr>
          <w:noProof/>
        </w:rPr>
        <w:drawing>
          <wp:anchor distT="0" distB="0" distL="114300" distR="114300" simplePos="0" relativeHeight="251652096" behindDoc="0" locked="0" layoutInCell="1" allowOverlap="1" wp14:anchorId="2ED0D652" wp14:editId="36CCA0D0">
            <wp:simplePos x="0" y="0"/>
            <wp:positionH relativeFrom="column">
              <wp:posOffset>4057015</wp:posOffset>
            </wp:positionH>
            <wp:positionV relativeFrom="paragraph">
              <wp:posOffset>-741045</wp:posOffset>
            </wp:positionV>
            <wp:extent cx="2430780" cy="658495"/>
            <wp:effectExtent l="0" t="0" r="7620" b="825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0780" cy="658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4E00">
        <w:rPr>
          <w:b/>
          <w:noProof/>
          <w:sz w:val="32"/>
        </w:rPr>
        <w:drawing>
          <wp:anchor distT="0" distB="0" distL="114300" distR="114300" simplePos="0" relativeHeight="251653120" behindDoc="0" locked="0" layoutInCell="1" allowOverlap="1" wp14:anchorId="7B7A2095" wp14:editId="70B56C8E">
            <wp:simplePos x="0" y="0"/>
            <wp:positionH relativeFrom="column">
              <wp:posOffset>-705485</wp:posOffset>
            </wp:positionH>
            <wp:positionV relativeFrom="paragraph">
              <wp:posOffset>-481330</wp:posOffset>
            </wp:positionV>
            <wp:extent cx="1748155" cy="400050"/>
            <wp:effectExtent l="0" t="0" r="4445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815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8B6A87" w14:textId="77777777" w:rsidR="00A84CA7" w:rsidRDefault="00A84CA7" w:rsidP="007937D5">
      <w:pPr>
        <w:ind w:right="-574"/>
        <w:jc w:val="right"/>
        <w:rPr>
          <w:rFonts w:ascii="National" w:hAnsi="National"/>
          <w:color w:val="303AB2"/>
          <w:sz w:val="36"/>
          <w:szCs w:val="36"/>
        </w:rPr>
      </w:pPr>
    </w:p>
    <w:p w14:paraId="4B2B618F" w14:textId="17466C76" w:rsidR="00DE052F" w:rsidRPr="003F1883" w:rsidRDefault="00BF2F1E" w:rsidP="007937D5">
      <w:pPr>
        <w:spacing w:line="276" w:lineRule="auto"/>
        <w:ind w:right="-574"/>
        <w:jc w:val="center"/>
        <w:rPr>
          <w:rFonts w:ascii="National" w:hAnsi="National"/>
          <w:b/>
          <w:bCs/>
          <w:iCs/>
          <w:color w:val="1DBDC5"/>
          <w:sz w:val="32"/>
          <w:szCs w:val="28"/>
          <w:lang w:val="es-ES"/>
        </w:rPr>
      </w:pPr>
      <w:r w:rsidRPr="003F1883">
        <w:rPr>
          <w:rFonts w:ascii="National" w:hAnsi="National"/>
          <w:b/>
          <w:bCs/>
          <w:iCs/>
          <w:color w:val="1DBDC5"/>
          <w:sz w:val="32"/>
          <w:szCs w:val="28"/>
          <w:lang w:val="es-ES"/>
        </w:rPr>
        <w:t>202</w:t>
      </w:r>
      <w:r w:rsidR="00A35538">
        <w:rPr>
          <w:rFonts w:ascii="National" w:hAnsi="National"/>
          <w:b/>
          <w:bCs/>
          <w:iCs/>
          <w:color w:val="1DBDC5"/>
          <w:sz w:val="32"/>
          <w:szCs w:val="28"/>
          <w:lang w:val="es-ES"/>
        </w:rPr>
        <w:t>5</w:t>
      </w:r>
      <w:r w:rsidRPr="003F1883">
        <w:rPr>
          <w:rFonts w:ascii="National" w:hAnsi="National"/>
          <w:b/>
          <w:bCs/>
          <w:iCs/>
          <w:color w:val="1DBDC5"/>
          <w:sz w:val="32"/>
          <w:szCs w:val="28"/>
          <w:lang w:val="es-ES"/>
        </w:rPr>
        <w:t xml:space="preserve">: </w:t>
      </w:r>
      <w:r w:rsidR="00CD1A17" w:rsidRPr="003F1883">
        <w:rPr>
          <w:rFonts w:ascii="National" w:hAnsi="National"/>
          <w:b/>
          <w:bCs/>
          <w:iCs/>
          <w:color w:val="1DBDC5"/>
          <w:sz w:val="32"/>
          <w:szCs w:val="28"/>
          <w:lang w:val="es-ES"/>
        </w:rPr>
        <w:t xml:space="preserve">ANÁLISIS </w:t>
      </w:r>
      <w:r w:rsidR="00842827" w:rsidRPr="003F1883">
        <w:rPr>
          <w:rFonts w:ascii="National" w:hAnsi="National"/>
          <w:b/>
          <w:bCs/>
          <w:iCs/>
          <w:color w:val="1DBDC5"/>
          <w:sz w:val="32"/>
          <w:szCs w:val="28"/>
          <w:lang w:val="es-ES"/>
        </w:rPr>
        <w:t>DEL</w:t>
      </w:r>
      <w:r w:rsidR="0091359C" w:rsidRPr="003F1883">
        <w:rPr>
          <w:rFonts w:ascii="National" w:hAnsi="National"/>
          <w:b/>
          <w:bCs/>
          <w:iCs/>
          <w:color w:val="1DBDC5"/>
          <w:sz w:val="32"/>
          <w:szCs w:val="28"/>
          <w:lang w:val="es-ES"/>
        </w:rPr>
        <w:t xml:space="preserve"> PRECIO DE </w:t>
      </w:r>
      <w:r w:rsidR="00F628E0" w:rsidRPr="003F1883">
        <w:rPr>
          <w:rFonts w:ascii="National" w:hAnsi="National"/>
          <w:b/>
          <w:bCs/>
          <w:iCs/>
          <w:color w:val="1DBDC5"/>
          <w:sz w:val="32"/>
          <w:szCs w:val="28"/>
          <w:lang w:val="es-ES"/>
        </w:rPr>
        <w:t>GARAJES</w:t>
      </w:r>
      <w:r w:rsidR="00CD1A17" w:rsidRPr="003F1883">
        <w:rPr>
          <w:rFonts w:ascii="National" w:hAnsi="National"/>
          <w:b/>
          <w:bCs/>
          <w:iCs/>
          <w:color w:val="1DBDC5"/>
          <w:sz w:val="32"/>
          <w:szCs w:val="28"/>
          <w:lang w:val="es-ES"/>
        </w:rPr>
        <w:t xml:space="preserve"> EN ESPAÑA</w:t>
      </w:r>
    </w:p>
    <w:p w14:paraId="2ABF5D48" w14:textId="42D9CDE2" w:rsidR="00170702" w:rsidRPr="00157BA7" w:rsidRDefault="00A35538" w:rsidP="00170702">
      <w:pPr>
        <w:pStyle w:val="Prrafodelista"/>
        <w:spacing w:line="276" w:lineRule="auto"/>
        <w:ind w:left="284" w:right="-574"/>
        <w:jc w:val="center"/>
        <w:rPr>
          <w:rFonts w:ascii="Open Sans" w:hAnsi="Open Sans" w:cs="Open Sans"/>
          <w:sz w:val="14"/>
          <w:szCs w:val="14"/>
        </w:rPr>
      </w:pPr>
      <w:r w:rsidRPr="00157BA7">
        <w:rPr>
          <w:rFonts w:ascii="National" w:hAnsi="National"/>
          <w:b/>
          <w:bCs/>
          <w:iCs/>
          <w:color w:val="303AB2"/>
          <w:sz w:val="48"/>
          <w:szCs w:val="52"/>
          <w:lang w:val="es-ES"/>
        </w:rPr>
        <w:t xml:space="preserve">El precio de los garajes en España deja de crecer </w:t>
      </w:r>
      <w:r w:rsidR="0061189C" w:rsidRPr="00157BA7">
        <w:rPr>
          <w:rFonts w:ascii="National" w:hAnsi="National"/>
          <w:b/>
          <w:bCs/>
          <w:iCs/>
          <w:color w:val="303AB2"/>
          <w:sz w:val="48"/>
          <w:szCs w:val="52"/>
          <w:lang w:val="es-ES"/>
        </w:rPr>
        <w:t xml:space="preserve">y </w:t>
      </w:r>
      <w:r w:rsidRPr="00157BA7">
        <w:rPr>
          <w:rFonts w:ascii="National" w:hAnsi="National"/>
          <w:b/>
          <w:bCs/>
          <w:iCs/>
          <w:color w:val="303AB2"/>
          <w:sz w:val="48"/>
          <w:szCs w:val="52"/>
          <w:lang w:val="es-ES"/>
        </w:rPr>
        <w:t xml:space="preserve">se mantienen en </w:t>
      </w:r>
      <w:r w:rsidR="00D72B01" w:rsidRPr="00157BA7">
        <w:rPr>
          <w:rFonts w:ascii="National" w:hAnsi="National"/>
          <w:b/>
          <w:bCs/>
          <w:iCs/>
          <w:color w:val="303AB2"/>
          <w:sz w:val="48"/>
          <w:szCs w:val="52"/>
          <w:lang w:val="es-ES"/>
        </w:rPr>
        <w:t>7</w:t>
      </w:r>
      <w:r w:rsidR="001C214E" w:rsidRPr="00157BA7">
        <w:rPr>
          <w:rFonts w:ascii="National" w:hAnsi="National"/>
          <w:b/>
          <w:bCs/>
          <w:iCs/>
          <w:color w:val="303AB2"/>
          <w:sz w:val="48"/>
          <w:szCs w:val="52"/>
          <w:lang w:val="es-ES"/>
        </w:rPr>
        <w:t>5</w:t>
      </w:r>
      <w:r w:rsidR="00D72B01" w:rsidRPr="00157BA7">
        <w:rPr>
          <w:rFonts w:ascii="National" w:hAnsi="National"/>
          <w:b/>
          <w:bCs/>
          <w:iCs/>
          <w:color w:val="303AB2"/>
          <w:sz w:val="48"/>
          <w:szCs w:val="52"/>
          <w:lang w:val="es-ES"/>
        </w:rPr>
        <w:t xml:space="preserve"> </w:t>
      </w:r>
      <w:r w:rsidR="0061189C" w:rsidRPr="00157BA7">
        <w:rPr>
          <w:rFonts w:ascii="National" w:hAnsi="National"/>
          <w:b/>
          <w:bCs/>
          <w:iCs/>
          <w:color w:val="303AB2"/>
          <w:sz w:val="48"/>
          <w:szCs w:val="52"/>
          <w:lang w:val="es-ES"/>
        </w:rPr>
        <w:t xml:space="preserve">euros </w:t>
      </w:r>
      <w:r w:rsidR="00ED66CF" w:rsidRPr="00157BA7">
        <w:rPr>
          <w:rFonts w:ascii="National" w:hAnsi="National"/>
          <w:b/>
          <w:bCs/>
          <w:iCs/>
          <w:color w:val="303AB2"/>
          <w:sz w:val="48"/>
          <w:szCs w:val="52"/>
          <w:lang w:val="es-ES"/>
        </w:rPr>
        <w:t>en 202</w:t>
      </w:r>
      <w:r w:rsidRPr="00157BA7">
        <w:rPr>
          <w:rFonts w:ascii="National" w:hAnsi="National"/>
          <w:b/>
          <w:bCs/>
          <w:iCs/>
          <w:color w:val="303AB2"/>
          <w:sz w:val="48"/>
          <w:szCs w:val="52"/>
          <w:lang w:val="es-ES"/>
        </w:rPr>
        <w:t>5</w:t>
      </w:r>
    </w:p>
    <w:p w14:paraId="52BDF339" w14:textId="77777777" w:rsidR="0060096C" w:rsidRPr="0060096C" w:rsidRDefault="00B63DBE" w:rsidP="00ED66CF">
      <w:pPr>
        <w:pStyle w:val="Prrafodelista"/>
        <w:spacing w:line="276" w:lineRule="auto"/>
        <w:ind w:left="284" w:right="-574"/>
        <w:jc w:val="center"/>
        <w:rPr>
          <w:rFonts w:ascii="National" w:hAnsi="National"/>
          <w:b/>
          <w:bCs/>
          <w:iCs/>
          <w:color w:val="303AB2"/>
          <w:sz w:val="20"/>
          <w:szCs w:val="20"/>
          <w:lang w:val="es-ES"/>
        </w:rPr>
      </w:pPr>
      <w:r w:rsidRPr="00B63DBE">
        <w:rPr>
          <w:rFonts w:ascii="National" w:hAnsi="National"/>
          <w:b/>
          <w:bCs/>
          <w:iCs/>
          <w:color w:val="303AB2"/>
          <w:sz w:val="56"/>
          <w:szCs w:val="144"/>
          <w:lang w:val="es-ES"/>
        </w:rPr>
        <w:t xml:space="preserve"> </w:t>
      </w:r>
    </w:p>
    <w:p w14:paraId="39A4238A" w14:textId="68F43A53" w:rsidR="0036245E" w:rsidRDefault="0036245E" w:rsidP="009E08E6">
      <w:pPr>
        <w:pStyle w:val="Prrafodelista"/>
        <w:numPr>
          <w:ilvl w:val="0"/>
          <w:numId w:val="8"/>
        </w:numPr>
        <w:spacing w:line="276" w:lineRule="auto"/>
        <w:ind w:left="284" w:right="-574"/>
        <w:jc w:val="both"/>
        <w:rPr>
          <w:rFonts w:ascii="Open Sans" w:hAnsi="Open Sans" w:cs="Open Sans"/>
          <w:sz w:val="22"/>
          <w:szCs w:val="22"/>
        </w:rPr>
      </w:pPr>
      <w:r w:rsidRPr="0036245E">
        <w:rPr>
          <w:rFonts w:ascii="Open Sans" w:hAnsi="Open Sans" w:cs="Open Sans"/>
          <w:sz w:val="22"/>
          <w:szCs w:val="22"/>
        </w:rPr>
        <w:t>El precio de los garajes sube un 0,3 %, el incremento más moderado registrado en la última década</w:t>
      </w:r>
    </w:p>
    <w:p w14:paraId="303C55F1" w14:textId="4FFF4D52" w:rsidR="0036245E" w:rsidRDefault="0036245E" w:rsidP="009E08E6">
      <w:pPr>
        <w:pStyle w:val="Prrafodelista"/>
        <w:numPr>
          <w:ilvl w:val="0"/>
          <w:numId w:val="8"/>
        </w:numPr>
        <w:spacing w:line="276" w:lineRule="auto"/>
        <w:ind w:left="284" w:right="-574"/>
        <w:jc w:val="both"/>
        <w:rPr>
          <w:rFonts w:ascii="Open Sans" w:hAnsi="Open Sans" w:cs="Open Sans"/>
          <w:sz w:val="22"/>
          <w:szCs w:val="22"/>
        </w:rPr>
      </w:pPr>
      <w:r w:rsidRPr="0036245E">
        <w:rPr>
          <w:rFonts w:ascii="Open Sans" w:hAnsi="Open Sans" w:cs="Open Sans"/>
          <w:sz w:val="22"/>
          <w:szCs w:val="22"/>
        </w:rPr>
        <w:t xml:space="preserve">Las seis ciudades con los garajes más caros de España </w:t>
      </w:r>
      <w:r w:rsidR="00AE38EF">
        <w:rPr>
          <w:rFonts w:ascii="Open Sans" w:hAnsi="Open Sans" w:cs="Open Sans"/>
          <w:sz w:val="22"/>
          <w:szCs w:val="22"/>
        </w:rPr>
        <w:t xml:space="preserve">son costeras y </w:t>
      </w:r>
      <w:r w:rsidRPr="0036245E">
        <w:rPr>
          <w:rFonts w:ascii="Open Sans" w:hAnsi="Open Sans" w:cs="Open Sans"/>
          <w:sz w:val="22"/>
          <w:szCs w:val="22"/>
        </w:rPr>
        <w:t>superan los 100 euros al mes</w:t>
      </w:r>
    </w:p>
    <w:p w14:paraId="51F5D9D3" w14:textId="02A53240" w:rsidR="00FA4327" w:rsidRDefault="00ED419C" w:rsidP="009E08E6">
      <w:pPr>
        <w:pStyle w:val="Prrafodelista"/>
        <w:numPr>
          <w:ilvl w:val="0"/>
          <w:numId w:val="8"/>
        </w:numPr>
        <w:spacing w:line="276" w:lineRule="auto"/>
        <w:ind w:left="284" w:right="-574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Los </w:t>
      </w:r>
      <w:r w:rsidRPr="00227100">
        <w:rPr>
          <w:rFonts w:ascii="Open Sans" w:hAnsi="Open Sans" w:cs="Open Sans"/>
          <w:sz w:val="22"/>
          <w:szCs w:val="22"/>
        </w:rPr>
        <w:t>más</w:t>
      </w:r>
      <w:r w:rsidR="00CB6EB1" w:rsidRPr="00227100">
        <w:rPr>
          <w:rFonts w:ascii="Open Sans" w:hAnsi="Open Sans" w:cs="Open Sans"/>
          <w:sz w:val="22"/>
          <w:szCs w:val="22"/>
        </w:rPr>
        <w:t xml:space="preserve"> </w:t>
      </w:r>
      <w:r w:rsidR="00C10EC7">
        <w:rPr>
          <w:rFonts w:ascii="Open Sans" w:hAnsi="Open Sans" w:cs="Open Sans"/>
          <w:sz w:val="22"/>
          <w:szCs w:val="22"/>
        </w:rPr>
        <w:t>perjudicados</w:t>
      </w:r>
      <w:r w:rsidR="00A00150">
        <w:rPr>
          <w:rFonts w:ascii="Open Sans" w:hAnsi="Open Sans" w:cs="Open Sans"/>
          <w:sz w:val="22"/>
          <w:szCs w:val="22"/>
        </w:rPr>
        <w:t xml:space="preserve"> </w:t>
      </w:r>
      <w:r w:rsidRPr="00227100">
        <w:rPr>
          <w:rFonts w:ascii="Open Sans" w:hAnsi="Open Sans" w:cs="Open Sans"/>
          <w:sz w:val="22"/>
          <w:szCs w:val="22"/>
        </w:rPr>
        <w:t xml:space="preserve">por </w:t>
      </w:r>
      <w:r w:rsidR="00B63DBE" w:rsidRPr="00227100">
        <w:rPr>
          <w:rFonts w:ascii="Open Sans" w:hAnsi="Open Sans" w:cs="Open Sans"/>
          <w:sz w:val="22"/>
          <w:szCs w:val="22"/>
        </w:rPr>
        <w:t xml:space="preserve">el </w:t>
      </w:r>
      <w:r w:rsidR="00C10EC7">
        <w:rPr>
          <w:rFonts w:ascii="Open Sans" w:hAnsi="Open Sans" w:cs="Open Sans"/>
          <w:sz w:val="22"/>
          <w:szCs w:val="22"/>
        </w:rPr>
        <w:t>incremento</w:t>
      </w:r>
      <w:r w:rsidR="00A00150">
        <w:rPr>
          <w:rFonts w:ascii="Open Sans" w:hAnsi="Open Sans" w:cs="Open Sans"/>
          <w:sz w:val="22"/>
          <w:szCs w:val="22"/>
        </w:rPr>
        <w:t xml:space="preserve"> </w:t>
      </w:r>
      <w:r w:rsidR="00B63DBE" w:rsidRPr="00227100">
        <w:rPr>
          <w:rFonts w:ascii="Open Sans" w:hAnsi="Open Sans" w:cs="Open Sans"/>
          <w:sz w:val="22"/>
          <w:szCs w:val="22"/>
        </w:rPr>
        <w:t>del precio de</w:t>
      </w:r>
      <w:r w:rsidR="00C10EC7">
        <w:rPr>
          <w:rFonts w:ascii="Open Sans" w:hAnsi="Open Sans" w:cs="Open Sans"/>
          <w:sz w:val="22"/>
          <w:szCs w:val="22"/>
        </w:rPr>
        <w:t>l alquiler de</w:t>
      </w:r>
      <w:r w:rsidR="00B63DBE" w:rsidRPr="00227100">
        <w:rPr>
          <w:rFonts w:ascii="Open Sans" w:hAnsi="Open Sans" w:cs="Open Sans"/>
          <w:sz w:val="22"/>
          <w:szCs w:val="22"/>
        </w:rPr>
        <w:t xml:space="preserve"> </w:t>
      </w:r>
      <w:r w:rsidR="00227100" w:rsidRPr="00227100">
        <w:rPr>
          <w:rFonts w:ascii="Open Sans" w:hAnsi="Open Sans" w:cs="Open Sans"/>
          <w:sz w:val="22"/>
          <w:szCs w:val="22"/>
        </w:rPr>
        <w:t>l</w:t>
      </w:r>
      <w:r w:rsidR="00A00150">
        <w:rPr>
          <w:rFonts w:ascii="Open Sans" w:hAnsi="Open Sans" w:cs="Open Sans"/>
          <w:sz w:val="22"/>
          <w:szCs w:val="22"/>
        </w:rPr>
        <w:t>os garajes en 202</w:t>
      </w:r>
      <w:r w:rsidR="00F60B3F">
        <w:rPr>
          <w:rFonts w:ascii="Open Sans" w:hAnsi="Open Sans" w:cs="Open Sans"/>
          <w:sz w:val="22"/>
          <w:szCs w:val="22"/>
        </w:rPr>
        <w:t>5</w:t>
      </w:r>
      <w:r w:rsidR="00A00150">
        <w:rPr>
          <w:rFonts w:ascii="Open Sans" w:hAnsi="Open Sans" w:cs="Open Sans"/>
          <w:sz w:val="22"/>
          <w:szCs w:val="22"/>
        </w:rPr>
        <w:t xml:space="preserve"> han sido los residentes de</w:t>
      </w:r>
      <w:r w:rsidR="00B27827">
        <w:rPr>
          <w:rFonts w:ascii="Open Sans" w:hAnsi="Open Sans" w:cs="Open Sans"/>
          <w:sz w:val="22"/>
          <w:szCs w:val="22"/>
        </w:rPr>
        <w:t xml:space="preserve">l </w:t>
      </w:r>
      <w:r w:rsidR="00B7626F">
        <w:rPr>
          <w:rFonts w:ascii="Open Sans" w:hAnsi="Open Sans" w:cs="Open Sans"/>
          <w:sz w:val="22"/>
          <w:szCs w:val="22"/>
        </w:rPr>
        <w:t>distrito</w:t>
      </w:r>
      <w:r w:rsidR="00FA4327">
        <w:rPr>
          <w:rFonts w:ascii="Open Sans" w:hAnsi="Open Sans" w:cs="Open Sans"/>
          <w:sz w:val="22"/>
          <w:szCs w:val="22"/>
        </w:rPr>
        <w:t xml:space="preserve"> madrileño </w:t>
      </w:r>
      <w:r w:rsidR="00F60B3F">
        <w:rPr>
          <w:rFonts w:ascii="Open Sans" w:hAnsi="Open Sans" w:cs="Open Sans"/>
          <w:sz w:val="22"/>
          <w:szCs w:val="22"/>
        </w:rPr>
        <w:t>Vicálvaro</w:t>
      </w:r>
      <w:r w:rsidR="00C10EC7" w:rsidRPr="00C10EC7">
        <w:rPr>
          <w:rFonts w:ascii="Open Sans" w:hAnsi="Open Sans" w:cs="Open Sans"/>
          <w:sz w:val="22"/>
          <w:szCs w:val="22"/>
        </w:rPr>
        <w:t xml:space="preserve"> </w:t>
      </w:r>
      <w:r w:rsidR="00FA4327">
        <w:rPr>
          <w:rFonts w:ascii="Open Sans" w:hAnsi="Open Sans" w:cs="Open Sans"/>
          <w:sz w:val="22"/>
          <w:szCs w:val="22"/>
        </w:rPr>
        <w:t>(</w:t>
      </w:r>
      <w:r w:rsidR="00F60B3F">
        <w:rPr>
          <w:rFonts w:ascii="Open Sans" w:hAnsi="Open Sans" w:cs="Open Sans"/>
          <w:sz w:val="22"/>
          <w:szCs w:val="22"/>
        </w:rPr>
        <w:t>7,3</w:t>
      </w:r>
      <w:r w:rsidR="00FA4327">
        <w:rPr>
          <w:rFonts w:ascii="Open Sans" w:hAnsi="Open Sans" w:cs="Open Sans"/>
          <w:sz w:val="22"/>
          <w:szCs w:val="22"/>
        </w:rPr>
        <w:t xml:space="preserve">%) y </w:t>
      </w:r>
      <w:r w:rsidR="00BD3234">
        <w:rPr>
          <w:rFonts w:ascii="Open Sans" w:hAnsi="Open Sans" w:cs="Open Sans"/>
          <w:sz w:val="22"/>
          <w:szCs w:val="22"/>
        </w:rPr>
        <w:t>d</w:t>
      </w:r>
      <w:r w:rsidR="00FA4327">
        <w:rPr>
          <w:rFonts w:ascii="Open Sans" w:hAnsi="Open Sans" w:cs="Open Sans"/>
          <w:sz w:val="22"/>
          <w:szCs w:val="22"/>
        </w:rPr>
        <w:t>el barcelonés</w:t>
      </w:r>
      <w:r w:rsidR="00FA4327" w:rsidRPr="00FA4327">
        <w:t xml:space="preserve"> </w:t>
      </w:r>
      <w:r w:rsidR="00F60B3F">
        <w:rPr>
          <w:rFonts w:ascii="Open Sans" w:hAnsi="Open Sans" w:cs="Open Sans"/>
          <w:sz w:val="22"/>
          <w:szCs w:val="22"/>
        </w:rPr>
        <w:t>Les Corts</w:t>
      </w:r>
      <w:r w:rsidR="00C10EC7" w:rsidRPr="00C10EC7">
        <w:rPr>
          <w:rFonts w:ascii="Open Sans" w:hAnsi="Open Sans" w:cs="Open Sans"/>
          <w:sz w:val="22"/>
          <w:szCs w:val="22"/>
        </w:rPr>
        <w:t xml:space="preserve"> </w:t>
      </w:r>
      <w:r w:rsidR="00C10EC7">
        <w:rPr>
          <w:rFonts w:ascii="Open Sans" w:hAnsi="Open Sans" w:cs="Open Sans"/>
          <w:sz w:val="22"/>
          <w:szCs w:val="22"/>
        </w:rPr>
        <w:t>(</w:t>
      </w:r>
      <w:r w:rsidR="00F60B3F">
        <w:rPr>
          <w:rFonts w:ascii="Open Sans" w:hAnsi="Open Sans" w:cs="Open Sans"/>
          <w:sz w:val="22"/>
          <w:szCs w:val="22"/>
        </w:rPr>
        <w:t>5,6</w:t>
      </w:r>
      <w:r w:rsidR="00C10EC7">
        <w:rPr>
          <w:rFonts w:ascii="Open Sans" w:hAnsi="Open Sans" w:cs="Open Sans"/>
          <w:sz w:val="22"/>
          <w:szCs w:val="22"/>
        </w:rPr>
        <w:t>%</w:t>
      </w:r>
      <w:r w:rsidR="00FA4327">
        <w:rPr>
          <w:rFonts w:ascii="Open Sans" w:hAnsi="Open Sans" w:cs="Open Sans"/>
          <w:sz w:val="22"/>
          <w:szCs w:val="22"/>
        </w:rPr>
        <w:t>)</w:t>
      </w:r>
    </w:p>
    <w:p w14:paraId="2215ADD6" w14:textId="77777777" w:rsidR="00F65A5B" w:rsidRPr="008B0B43" w:rsidRDefault="00F65A5B" w:rsidP="005E255E">
      <w:pPr>
        <w:pStyle w:val="Prrafodelista"/>
        <w:spacing w:line="276" w:lineRule="auto"/>
        <w:ind w:left="284" w:right="-574"/>
        <w:rPr>
          <w:rFonts w:ascii="Open Sans Light" w:hAnsi="Open Sans Light" w:cs="Open Sans Light"/>
          <w:b/>
          <w:iCs/>
          <w:color w:val="303AB2"/>
          <w:szCs w:val="20"/>
        </w:rPr>
      </w:pPr>
    </w:p>
    <w:p w14:paraId="591FA1E5" w14:textId="6D0D575C" w:rsidR="002A35C0" w:rsidRPr="002A35C0" w:rsidRDefault="002D35EA" w:rsidP="00157BA7">
      <w:pPr>
        <w:pStyle w:val="Prrafodelista"/>
        <w:spacing w:line="276" w:lineRule="auto"/>
        <w:ind w:left="284" w:right="-574" w:hanging="284"/>
        <w:rPr>
          <w:rFonts w:ascii="Open Sans Light" w:hAnsi="Open Sans Light" w:cs="Open Sans Light"/>
          <w:b/>
          <w:iCs/>
          <w:color w:val="303AB2"/>
          <w:szCs w:val="20"/>
          <w:lang w:val="es-ES"/>
        </w:rPr>
      </w:pPr>
      <w:r>
        <w:rPr>
          <w:rFonts w:ascii="Open Sans Light" w:hAnsi="Open Sans Light" w:cs="Open Sans Light"/>
          <w:b/>
          <w:iCs/>
          <w:color w:val="303AB2"/>
          <w:szCs w:val="20"/>
          <w:lang w:val="es-ES"/>
        </w:rPr>
        <w:t>Madrid</w:t>
      </w:r>
      <w:r w:rsidR="00753088">
        <w:rPr>
          <w:rFonts w:ascii="Open Sans Light" w:hAnsi="Open Sans Light" w:cs="Open Sans Light"/>
          <w:b/>
          <w:iCs/>
          <w:color w:val="303AB2"/>
          <w:szCs w:val="20"/>
          <w:lang w:val="es-ES"/>
        </w:rPr>
        <w:t xml:space="preserve">, </w:t>
      </w:r>
      <w:r w:rsidR="001562A4">
        <w:rPr>
          <w:rFonts w:ascii="Open Sans Light" w:hAnsi="Open Sans Light" w:cs="Open Sans Light"/>
          <w:b/>
          <w:iCs/>
          <w:color w:val="303AB2"/>
          <w:szCs w:val="20"/>
          <w:lang w:val="es-ES"/>
        </w:rPr>
        <w:t>2</w:t>
      </w:r>
      <w:r w:rsidR="00A35538">
        <w:rPr>
          <w:rFonts w:ascii="Open Sans Light" w:hAnsi="Open Sans Light" w:cs="Open Sans Light"/>
          <w:b/>
          <w:iCs/>
          <w:color w:val="303AB2"/>
          <w:szCs w:val="20"/>
          <w:lang w:val="es-ES"/>
        </w:rPr>
        <w:t xml:space="preserve">3 </w:t>
      </w:r>
      <w:r w:rsidR="00A70933">
        <w:rPr>
          <w:rFonts w:ascii="Open Sans Light" w:hAnsi="Open Sans Light" w:cs="Open Sans Light"/>
          <w:b/>
          <w:iCs/>
          <w:color w:val="303AB2"/>
          <w:szCs w:val="20"/>
          <w:lang w:val="es-ES"/>
        </w:rPr>
        <w:t xml:space="preserve">de </w:t>
      </w:r>
      <w:r w:rsidR="00A345EE">
        <w:rPr>
          <w:rFonts w:ascii="Open Sans Light" w:hAnsi="Open Sans Light" w:cs="Open Sans Light"/>
          <w:b/>
          <w:iCs/>
          <w:color w:val="303AB2"/>
          <w:szCs w:val="20"/>
          <w:lang w:val="es-ES"/>
        </w:rPr>
        <w:t>febrero</w:t>
      </w:r>
      <w:r w:rsidR="002A35C0" w:rsidRPr="002A35C0">
        <w:rPr>
          <w:rFonts w:ascii="Open Sans Light" w:hAnsi="Open Sans Light" w:cs="Open Sans Light"/>
          <w:b/>
          <w:iCs/>
          <w:color w:val="303AB2"/>
          <w:szCs w:val="20"/>
          <w:lang w:val="es-ES"/>
        </w:rPr>
        <w:t xml:space="preserve"> de 20</w:t>
      </w:r>
      <w:r w:rsidR="007937D5">
        <w:rPr>
          <w:rFonts w:ascii="Open Sans Light" w:hAnsi="Open Sans Light" w:cs="Open Sans Light"/>
          <w:b/>
          <w:iCs/>
          <w:color w:val="303AB2"/>
          <w:szCs w:val="20"/>
          <w:lang w:val="es-ES"/>
        </w:rPr>
        <w:t>2</w:t>
      </w:r>
      <w:r w:rsidR="00A35538">
        <w:rPr>
          <w:rFonts w:ascii="Open Sans Light" w:hAnsi="Open Sans Light" w:cs="Open Sans Light"/>
          <w:b/>
          <w:iCs/>
          <w:color w:val="303AB2"/>
          <w:szCs w:val="20"/>
          <w:lang w:val="es-ES"/>
        </w:rPr>
        <w:t>6</w:t>
      </w:r>
    </w:p>
    <w:p w14:paraId="32D1BEA4" w14:textId="7207CE46" w:rsidR="00833BF4" w:rsidRDefault="00A36820" w:rsidP="00BD2FBF">
      <w:pPr>
        <w:pStyle w:val="NormalWeb"/>
        <w:shd w:val="clear" w:color="auto" w:fill="FFFFFF"/>
        <w:spacing w:after="225" w:line="276" w:lineRule="auto"/>
        <w:ind w:right="-574"/>
        <w:jc w:val="both"/>
        <w:rPr>
          <w:color w:val="000000"/>
        </w:rPr>
      </w:pPr>
      <w:r>
        <w:rPr>
          <w:rFonts w:ascii="Open Sans" w:hAnsi="Open Sans" w:cs="Open Sans"/>
          <w:color w:val="000000"/>
          <w:sz w:val="22"/>
          <w:szCs w:val="22"/>
        </w:rPr>
        <w:t xml:space="preserve">El precio </w:t>
      </w:r>
      <w:r w:rsidR="000F737D">
        <w:rPr>
          <w:rFonts w:ascii="Open Sans" w:hAnsi="Open Sans" w:cs="Open Sans"/>
          <w:color w:val="000000"/>
          <w:sz w:val="22"/>
          <w:szCs w:val="22"/>
        </w:rPr>
        <w:t xml:space="preserve">de los garajes en </w:t>
      </w:r>
      <w:r w:rsidR="00D72B01">
        <w:rPr>
          <w:rFonts w:ascii="Open Sans" w:hAnsi="Open Sans" w:cs="Open Sans"/>
          <w:color w:val="000000"/>
          <w:sz w:val="22"/>
          <w:szCs w:val="22"/>
        </w:rPr>
        <w:t>alquiler</w:t>
      </w:r>
      <w:r w:rsidR="000F737D">
        <w:rPr>
          <w:rFonts w:ascii="Open Sans" w:hAnsi="Open Sans" w:cs="Open Sans"/>
          <w:color w:val="000000"/>
          <w:sz w:val="22"/>
          <w:szCs w:val="22"/>
        </w:rPr>
        <w:t xml:space="preserve"> en España se ha incrementado un</w:t>
      </w:r>
      <w:r w:rsidR="009D4552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B40011">
        <w:rPr>
          <w:rFonts w:ascii="Open Sans" w:hAnsi="Open Sans" w:cs="Open Sans"/>
          <w:color w:val="000000"/>
          <w:sz w:val="22"/>
          <w:szCs w:val="22"/>
        </w:rPr>
        <w:t>0,3</w:t>
      </w:r>
      <w:r w:rsidR="000F737D">
        <w:rPr>
          <w:rFonts w:ascii="Open Sans" w:hAnsi="Open Sans" w:cs="Open Sans"/>
          <w:color w:val="000000"/>
          <w:sz w:val="22"/>
          <w:szCs w:val="22"/>
        </w:rPr>
        <w:t xml:space="preserve">% </w:t>
      </w:r>
      <w:r w:rsidR="009D4552">
        <w:rPr>
          <w:rFonts w:ascii="Open Sans" w:hAnsi="Open Sans" w:cs="Open Sans"/>
          <w:color w:val="000000"/>
          <w:sz w:val="22"/>
          <w:szCs w:val="22"/>
        </w:rPr>
        <w:t>en 202</w:t>
      </w:r>
      <w:r w:rsidR="00B40011">
        <w:rPr>
          <w:rFonts w:ascii="Open Sans" w:hAnsi="Open Sans" w:cs="Open Sans"/>
          <w:color w:val="000000"/>
          <w:sz w:val="22"/>
          <w:szCs w:val="22"/>
        </w:rPr>
        <w:t>5</w:t>
      </w:r>
      <w:r w:rsidR="009D4552">
        <w:rPr>
          <w:rFonts w:ascii="Open Sans" w:hAnsi="Open Sans" w:cs="Open Sans"/>
          <w:color w:val="000000"/>
          <w:sz w:val="22"/>
          <w:szCs w:val="22"/>
        </w:rPr>
        <w:t xml:space="preserve"> y sitúa el precio medio</w:t>
      </w:r>
      <w:r w:rsidR="00D72B01">
        <w:rPr>
          <w:rFonts w:ascii="Open Sans" w:hAnsi="Open Sans" w:cs="Open Sans"/>
          <w:color w:val="000000"/>
          <w:sz w:val="22"/>
          <w:szCs w:val="22"/>
        </w:rPr>
        <w:t xml:space="preserve"> mensual</w:t>
      </w:r>
      <w:r w:rsidR="009D4552">
        <w:rPr>
          <w:rFonts w:ascii="Open Sans" w:hAnsi="Open Sans" w:cs="Open Sans"/>
          <w:color w:val="000000"/>
          <w:sz w:val="22"/>
          <w:szCs w:val="22"/>
        </w:rPr>
        <w:t xml:space="preserve"> en </w:t>
      </w:r>
      <w:r w:rsidR="00D72B01">
        <w:rPr>
          <w:rFonts w:ascii="Open Sans" w:hAnsi="Open Sans" w:cs="Open Sans"/>
          <w:color w:val="000000"/>
          <w:sz w:val="22"/>
          <w:szCs w:val="22"/>
        </w:rPr>
        <w:t>74,</w:t>
      </w:r>
      <w:r w:rsidR="00B40011">
        <w:rPr>
          <w:rFonts w:ascii="Open Sans" w:hAnsi="Open Sans" w:cs="Open Sans"/>
          <w:color w:val="000000"/>
          <w:sz w:val="22"/>
          <w:szCs w:val="22"/>
        </w:rPr>
        <w:t>95</w:t>
      </w:r>
      <w:r w:rsidR="009D4552">
        <w:rPr>
          <w:rFonts w:ascii="Open Sans" w:hAnsi="Open Sans" w:cs="Open Sans"/>
          <w:color w:val="000000"/>
          <w:sz w:val="22"/>
          <w:szCs w:val="22"/>
        </w:rPr>
        <w:t xml:space="preserve"> euros</w:t>
      </w:r>
      <w:r w:rsidR="00B7626F">
        <w:rPr>
          <w:rFonts w:ascii="Open Sans" w:hAnsi="Open Sans" w:cs="Open Sans"/>
          <w:color w:val="000000"/>
          <w:sz w:val="22"/>
          <w:szCs w:val="22"/>
        </w:rPr>
        <w:t xml:space="preserve"> al mes</w:t>
      </w:r>
      <w:r w:rsidR="009D4552">
        <w:rPr>
          <w:rFonts w:ascii="Open Sans" w:hAnsi="Open Sans" w:cs="Open Sans"/>
          <w:color w:val="000000"/>
          <w:sz w:val="22"/>
          <w:szCs w:val="22"/>
        </w:rPr>
        <w:t xml:space="preserve">, </w:t>
      </w:r>
      <w:r w:rsidRPr="008376CF">
        <w:rPr>
          <w:rFonts w:ascii="Open Sans" w:hAnsi="Open Sans" w:cs="Open Sans"/>
          <w:color w:val="000000"/>
          <w:sz w:val="22"/>
          <w:szCs w:val="22"/>
        </w:rPr>
        <w:t xml:space="preserve">según el estudio </w:t>
      </w:r>
      <w:r w:rsidR="009D4552">
        <w:rPr>
          <w:rFonts w:ascii="Open Sans" w:hAnsi="Open Sans" w:cs="Open Sans"/>
          <w:color w:val="000000"/>
          <w:sz w:val="22"/>
          <w:szCs w:val="22"/>
        </w:rPr>
        <w:t xml:space="preserve">de </w:t>
      </w:r>
      <w:r w:rsidRPr="008376CF">
        <w:rPr>
          <w:rFonts w:ascii="Open Sans" w:hAnsi="Open Sans" w:cs="Open Sans"/>
          <w:b/>
          <w:bCs/>
          <w:color w:val="000000"/>
          <w:sz w:val="22"/>
          <w:szCs w:val="22"/>
        </w:rPr>
        <w:t>“</w:t>
      </w:r>
      <w:r w:rsidR="009D4552" w:rsidRPr="009D4552">
        <w:rPr>
          <w:rFonts w:ascii="Open Sans" w:hAnsi="Open Sans" w:cs="Open Sans"/>
          <w:b/>
          <w:bCs/>
          <w:i/>
          <w:iCs/>
          <w:color w:val="000000"/>
          <w:sz w:val="22"/>
          <w:szCs w:val="22"/>
        </w:rPr>
        <w:t xml:space="preserve">Precios </w:t>
      </w:r>
      <w:r>
        <w:rPr>
          <w:rFonts w:ascii="Open Sans" w:hAnsi="Open Sans" w:cs="Open Sans"/>
          <w:b/>
          <w:bCs/>
          <w:i/>
          <w:iCs/>
          <w:color w:val="000000"/>
          <w:sz w:val="22"/>
          <w:szCs w:val="22"/>
        </w:rPr>
        <w:t xml:space="preserve">de </w:t>
      </w:r>
      <w:r w:rsidR="00B72C28">
        <w:rPr>
          <w:rFonts w:ascii="Open Sans" w:hAnsi="Open Sans" w:cs="Open Sans"/>
          <w:b/>
          <w:bCs/>
          <w:i/>
          <w:iCs/>
          <w:color w:val="000000"/>
          <w:sz w:val="22"/>
          <w:szCs w:val="22"/>
        </w:rPr>
        <w:t>los garajes</w:t>
      </w:r>
      <w:r w:rsidR="007F702A">
        <w:rPr>
          <w:rFonts w:ascii="Open Sans" w:hAnsi="Open Sans" w:cs="Open Sans"/>
          <w:b/>
          <w:bCs/>
          <w:i/>
          <w:iCs/>
          <w:color w:val="000000"/>
          <w:sz w:val="22"/>
          <w:szCs w:val="22"/>
        </w:rPr>
        <w:t xml:space="preserve"> </w:t>
      </w:r>
      <w:r w:rsidR="00A11B2D">
        <w:rPr>
          <w:rFonts w:ascii="Open Sans" w:hAnsi="Open Sans" w:cs="Open Sans"/>
          <w:b/>
          <w:bCs/>
          <w:i/>
          <w:iCs/>
          <w:color w:val="000000"/>
          <w:sz w:val="22"/>
          <w:szCs w:val="22"/>
        </w:rPr>
        <w:t xml:space="preserve">en </w:t>
      </w:r>
      <w:r w:rsidR="00D72B01">
        <w:rPr>
          <w:rFonts w:ascii="Open Sans" w:hAnsi="Open Sans" w:cs="Open Sans"/>
          <w:b/>
          <w:bCs/>
          <w:i/>
          <w:iCs/>
          <w:color w:val="000000"/>
          <w:sz w:val="22"/>
          <w:szCs w:val="22"/>
        </w:rPr>
        <w:t>alquiler</w:t>
      </w:r>
      <w:r w:rsidR="00A11B2D">
        <w:rPr>
          <w:rFonts w:ascii="Open Sans" w:hAnsi="Open Sans" w:cs="Open Sans"/>
          <w:b/>
          <w:bCs/>
          <w:i/>
          <w:iCs/>
          <w:color w:val="000000"/>
          <w:sz w:val="22"/>
          <w:szCs w:val="22"/>
        </w:rPr>
        <w:t xml:space="preserve"> </w:t>
      </w:r>
      <w:r w:rsidR="007F702A">
        <w:rPr>
          <w:rFonts w:ascii="Open Sans" w:hAnsi="Open Sans" w:cs="Open Sans"/>
          <w:b/>
          <w:bCs/>
          <w:i/>
          <w:iCs/>
          <w:color w:val="000000"/>
          <w:sz w:val="22"/>
          <w:szCs w:val="22"/>
        </w:rPr>
        <w:t>en España</w:t>
      </w:r>
      <w:r w:rsidR="00376DE0">
        <w:rPr>
          <w:rFonts w:ascii="Open Sans" w:hAnsi="Open Sans" w:cs="Open Sans"/>
          <w:b/>
          <w:bCs/>
          <w:i/>
          <w:iCs/>
          <w:color w:val="000000"/>
          <w:sz w:val="22"/>
          <w:szCs w:val="22"/>
        </w:rPr>
        <w:t xml:space="preserve"> en 202</w:t>
      </w:r>
      <w:r w:rsidR="00B40011">
        <w:rPr>
          <w:rFonts w:ascii="Open Sans" w:hAnsi="Open Sans" w:cs="Open Sans"/>
          <w:b/>
          <w:bCs/>
          <w:i/>
          <w:iCs/>
          <w:color w:val="000000"/>
          <w:sz w:val="22"/>
          <w:szCs w:val="22"/>
        </w:rPr>
        <w:t>5</w:t>
      </w:r>
      <w:r>
        <w:rPr>
          <w:rFonts w:ascii="Open Sans" w:hAnsi="Open Sans" w:cs="Open Sans"/>
          <w:b/>
          <w:bCs/>
          <w:i/>
          <w:iCs/>
          <w:color w:val="000000"/>
          <w:sz w:val="22"/>
          <w:szCs w:val="22"/>
        </w:rPr>
        <w:t>”</w:t>
      </w:r>
      <w:r w:rsidR="00C31EC9">
        <w:rPr>
          <w:rFonts w:ascii="Open Sans" w:hAnsi="Open Sans" w:cs="Open Sans"/>
          <w:b/>
          <w:bCs/>
          <w:i/>
          <w:iCs/>
          <w:color w:val="000000"/>
          <w:sz w:val="22"/>
          <w:szCs w:val="22"/>
        </w:rPr>
        <w:t>,</w:t>
      </w:r>
      <w:r w:rsidRPr="008376CF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 </w:t>
      </w:r>
      <w:r>
        <w:rPr>
          <w:rFonts w:ascii="Open Sans" w:hAnsi="Open Sans" w:cs="Open Sans"/>
          <w:color w:val="000000"/>
          <w:sz w:val="22"/>
          <w:szCs w:val="22"/>
        </w:rPr>
        <w:t>basado en</w:t>
      </w:r>
      <w:r w:rsidRPr="008376CF">
        <w:rPr>
          <w:rFonts w:ascii="Open Sans" w:hAnsi="Open Sans" w:cs="Open Sans"/>
          <w:color w:val="000000"/>
          <w:sz w:val="22"/>
          <w:szCs w:val="22"/>
        </w:rPr>
        <w:t xml:space="preserve"> los </w:t>
      </w:r>
      <w:r w:rsidR="00C31EC9">
        <w:rPr>
          <w:rFonts w:ascii="Open Sans" w:hAnsi="Open Sans" w:cs="Open Sans"/>
          <w:color w:val="000000"/>
          <w:sz w:val="22"/>
          <w:szCs w:val="22"/>
        </w:rPr>
        <w:t xml:space="preserve">precios de </w:t>
      </w:r>
      <w:r w:rsidR="00B72C28">
        <w:rPr>
          <w:rFonts w:ascii="Open Sans" w:hAnsi="Open Sans" w:cs="Open Sans"/>
          <w:color w:val="000000"/>
          <w:sz w:val="22"/>
          <w:szCs w:val="22"/>
        </w:rPr>
        <w:t>los garajes</w:t>
      </w:r>
      <w:r w:rsidR="00C31EC9">
        <w:rPr>
          <w:rFonts w:ascii="Open Sans" w:hAnsi="Open Sans" w:cs="Open Sans"/>
          <w:color w:val="000000"/>
          <w:sz w:val="22"/>
          <w:szCs w:val="22"/>
        </w:rPr>
        <w:t xml:space="preserve"> en </w:t>
      </w:r>
      <w:r w:rsidR="00941E4C">
        <w:rPr>
          <w:rFonts w:ascii="Open Sans" w:hAnsi="Open Sans" w:cs="Open Sans"/>
          <w:color w:val="000000"/>
          <w:sz w:val="22"/>
          <w:szCs w:val="22"/>
        </w:rPr>
        <w:t>alquiler</w:t>
      </w:r>
      <w:r w:rsidRPr="008376CF">
        <w:rPr>
          <w:rFonts w:ascii="Open Sans" w:hAnsi="Open Sans" w:cs="Open Sans"/>
          <w:color w:val="000000"/>
          <w:sz w:val="22"/>
          <w:szCs w:val="22"/>
        </w:rPr>
        <w:t xml:space="preserve"> </w:t>
      </w:r>
      <w:r>
        <w:rPr>
          <w:rFonts w:ascii="Open Sans" w:hAnsi="Open Sans" w:cs="Open Sans"/>
          <w:color w:val="000000"/>
          <w:sz w:val="22"/>
          <w:szCs w:val="22"/>
        </w:rPr>
        <w:t>d</w:t>
      </w:r>
      <w:r w:rsidR="009309B9">
        <w:rPr>
          <w:rFonts w:ascii="Open Sans" w:hAnsi="Open Sans" w:cs="Open Sans"/>
          <w:color w:val="000000"/>
          <w:sz w:val="22"/>
          <w:szCs w:val="22"/>
        </w:rPr>
        <w:t>el mes de diciembre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9309B9">
        <w:rPr>
          <w:rFonts w:ascii="Open Sans" w:hAnsi="Open Sans" w:cs="Open Sans"/>
          <w:color w:val="000000"/>
          <w:sz w:val="22"/>
          <w:szCs w:val="22"/>
        </w:rPr>
        <w:t xml:space="preserve">de los últimos </w:t>
      </w:r>
      <w:r w:rsidR="00B40011">
        <w:rPr>
          <w:rFonts w:ascii="Open Sans" w:hAnsi="Open Sans" w:cs="Open Sans"/>
          <w:color w:val="000000"/>
          <w:sz w:val="22"/>
          <w:szCs w:val="22"/>
        </w:rPr>
        <w:t>10</w:t>
      </w:r>
      <w:r w:rsidR="009309B9">
        <w:rPr>
          <w:rFonts w:ascii="Open Sans" w:hAnsi="Open Sans" w:cs="Open Sans"/>
          <w:color w:val="000000"/>
          <w:sz w:val="22"/>
          <w:szCs w:val="22"/>
        </w:rPr>
        <w:t xml:space="preserve"> años del </w:t>
      </w:r>
      <w:r w:rsidRPr="008376CF">
        <w:rPr>
          <w:rFonts w:ascii="Open Sans" w:hAnsi="Open Sans" w:cs="Open Sans"/>
          <w:color w:val="000000"/>
          <w:sz w:val="22"/>
          <w:szCs w:val="22"/>
        </w:rPr>
        <w:t xml:space="preserve">Índice Inmobiliario </w:t>
      </w:r>
      <w:hyperlink r:id="rId10" w:history="1">
        <w:r w:rsidRPr="008376CF">
          <w:rPr>
            <w:rStyle w:val="Hipervnculo"/>
            <w:rFonts w:ascii="Open Sans" w:hAnsi="Open Sans" w:cs="Open Sans"/>
            <w:sz w:val="22"/>
            <w:szCs w:val="22"/>
          </w:rPr>
          <w:t>Fotocasa</w:t>
        </w:r>
      </w:hyperlink>
      <w:r w:rsidR="001651B5">
        <w:rPr>
          <w:rStyle w:val="Hipervnculo"/>
          <w:rFonts w:ascii="Open Sans" w:hAnsi="Open Sans" w:cs="Open Sans"/>
          <w:sz w:val="22"/>
          <w:szCs w:val="22"/>
        </w:rPr>
        <w:t>.</w:t>
      </w:r>
      <w:r w:rsidR="001651B5" w:rsidRPr="001651B5">
        <w:rPr>
          <w:color w:val="000000"/>
        </w:rPr>
        <w:t xml:space="preserve"> </w:t>
      </w:r>
    </w:p>
    <w:p w14:paraId="00B8B3AA" w14:textId="5F130FBC" w:rsidR="0007755A" w:rsidRDefault="00CE47E3" w:rsidP="00583D8D">
      <w:pPr>
        <w:pStyle w:val="NormalWeb"/>
        <w:shd w:val="clear" w:color="auto" w:fill="FFFFFF"/>
        <w:spacing w:after="225" w:line="276" w:lineRule="auto"/>
        <w:ind w:right="-574"/>
        <w:jc w:val="center"/>
        <w:rPr>
          <w:noProof/>
        </w:rPr>
      </w:pPr>
      <w:r>
        <w:rPr>
          <w:rFonts w:ascii="National" w:hAnsi="National"/>
          <w:b/>
          <w:bCs/>
          <w:iCs/>
          <w:color w:val="303AB2"/>
          <w:sz w:val="28"/>
          <w:szCs w:val="160"/>
        </w:rPr>
        <w:t xml:space="preserve">Variación </w:t>
      </w:r>
      <w:r w:rsidR="009D4552">
        <w:rPr>
          <w:rFonts w:ascii="National" w:hAnsi="National"/>
          <w:b/>
          <w:bCs/>
          <w:iCs/>
          <w:color w:val="303AB2"/>
          <w:sz w:val="28"/>
          <w:szCs w:val="160"/>
        </w:rPr>
        <w:t xml:space="preserve">anual </w:t>
      </w:r>
      <w:r w:rsidR="00833BF4">
        <w:rPr>
          <w:rFonts w:ascii="National" w:hAnsi="National"/>
          <w:b/>
          <w:bCs/>
          <w:iCs/>
          <w:color w:val="303AB2"/>
          <w:sz w:val="28"/>
          <w:szCs w:val="160"/>
        </w:rPr>
        <w:t xml:space="preserve">(%) </w:t>
      </w:r>
      <w:r w:rsidR="000F737D">
        <w:rPr>
          <w:rFonts w:ascii="National" w:hAnsi="National"/>
          <w:b/>
          <w:bCs/>
          <w:iCs/>
          <w:color w:val="303AB2"/>
          <w:sz w:val="28"/>
          <w:szCs w:val="160"/>
        </w:rPr>
        <w:t xml:space="preserve">de los garajes </w:t>
      </w:r>
      <w:r w:rsidR="00833BF4">
        <w:rPr>
          <w:rFonts w:ascii="National" w:hAnsi="National"/>
          <w:b/>
          <w:bCs/>
          <w:iCs/>
          <w:color w:val="303AB2"/>
          <w:sz w:val="28"/>
          <w:szCs w:val="160"/>
        </w:rPr>
        <w:t xml:space="preserve">por </w:t>
      </w:r>
      <w:r>
        <w:rPr>
          <w:rFonts w:ascii="National" w:hAnsi="National"/>
          <w:b/>
          <w:bCs/>
          <w:iCs/>
          <w:color w:val="303AB2"/>
          <w:sz w:val="28"/>
          <w:szCs w:val="160"/>
        </w:rPr>
        <w:t xml:space="preserve">años </w:t>
      </w:r>
      <w:r w:rsidR="0037410B">
        <w:rPr>
          <w:rFonts w:ascii="National" w:hAnsi="National"/>
          <w:b/>
          <w:bCs/>
          <w:iCs/>
          <w:color w:val="303AB2"/>
          <w:sz w:val="28"/>
          <w:szCs w:val="160"/>
        </w:rPr>
        <w:t>en España</w:t>
      </w:r>
      <w:r w:rsidR="00497F29" w:rsidRPr="00497F29">
        <w:rPr>
          <w:noProof/>
        </w:rPr>
        <w:t xml:space="preserve"> </w:t>
      </w:r>
      <w:r w:rsidR="00B40011">
        <w:rPr>
          <w:noProof/>
        </w:rPr>
        <w:drawing>
          <wp:inline distT="0" distB="0" distL="0" distR="0" wp14:anchorId="794F7C34" wp14:editId="714B25AF">
            <wp:extent cx="5647334" cy="2721610"/>
            <wp:effectExtent l="0" t="0" r="0" b="2540"/>
            <wp:docPr id="1772586579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2E1AC1C7-FE7D-4C75-BC94-95B768EE3A0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809DB79" w14:textId="77777777" w:rsidR="00157BA7" w:rsidRDefault="00157BA7" w:rsidP="00B364DA">
      <w:pPr>
        <w:spacing w:line="276" w:lineRule="auto"/>
        <w:ind w:right="-567"/>
        <w:jc w:val="both"/>
        <w:rPr>
          <w:rFonts w:ascii="Open Sans" w:hAnsi="Open Sans" w:cs="Open Sans"/>
          <w:color w:val="000000"/>
          <w:sz w:val="22"/>
          <w:szCs w:val="22"/>
        </w:rPr>
      </w:pPr>
    </w:p>
    <w:p w14:paraId="7C312DCC" w14:textId="77777777" w:rsidR="00157BA7" w:rsidRDefault="00157BA7" w:rsidP="00B364DA">
      <w:pPr>
        <w:spacing w:line="276" w:lineRule="auto"/>
        <w:ind w:right="-567"/>
        <w:jc w:val="both"/>
        <w:rPr>
          <w:rFonts w:ascii="Open Sans" w:hAnsi="Open Sans" w:cs="Open Sans"/>
          <w:color w:val="000000"/>
          <w:sz w:val="22"/>
          <w:szCs w:val="22"/>
        </w:rPr>
      </w:pPr>
    </w:p>
    <w:p w14:paraId="6239CB22" w14:textId="2D3598BC" w:rsidR="00B364DA" w:rsidRPr="0007755A" w:rsidRDefault="00B364DA" w:rsidP="00B364DA">
      <w:pPr>
        <w:spacing w:line="276" w:lineRule="auto"/>
        <w:ind w:right="-567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07755A">
        <w:rPr>
          <w:rFonts w:ascii="Open Sans" w:hAnsi="Open Sans" w:cs="Open Sans"/>
          <w:color w:val="000000"/>
          <w:sz w:val="22"/>
          <w:szCs w:val="22"/>
        </w:rPr>
        <w:lastRenderedPageBreak/>
        <w:t xml:space="preserve">Así, </w:t>
      </w:r>
      <w:r w:rsidRPr="0007755A">
        <w:rPr>
          <w:rFonts w:ascii="Open Sans" w:eastAsia="Open Sans" w:hAnsi="Open Sans" w:cs="Open Sans"/>
          <w:color w:val="000000"/>
          <w:sz w:val="22"/>
          <w:szCs w:val="22"/>
        </w:rPr>
        <w:t xml:space="preserve">España </w:t>
      </w:r>
      <w:r w:rsidRPr="0007755A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ha pasado de una variación interanual del </w:t>
      </w:r>
      <w:r w:rsidR="00B40011">
        <w:rPr>
          <w:rFonts w:ascii="Open Sans" w:hAnsi="Open Sans" w:cs="Open Sans"/>
          <w:b/>
          <w:bCs/>
          <w:color w:val="000000"/>
          <w:sz w:val="22"/>
          <w:szCs w:val="22"/>
        </w:rPr>
        <w:t>1,5</w:t>
      </w:r>
      <w:r w:rsidRPr="0007755A">
        <w:rPr>
          <w:rFonts w:ascii="Open Sans" w:hAnsi="Open Sans" w:cs="Open Sans"/>
          <w:b/>
          <w:bCs/>
          <w:color w:val="000000"/>
          <w:sz w:val="22"/>
          <w:szCs w:val="22"/>
        </w:rPr>
        <w:t>% de diciembre de 202</w:t>
      </w:r>
      <w:r w:rsidR="00B40011">
        <w:rPr>
          <w:rFonts w:ascii="Open Sans" w:hAnsi="Open Sans" w:cs="Open Sans"/>
          <w:b/>
          <w:bCs/>
          <w:color w:val="000000"/>
          <w:sz w:val="22"/>
          <w:szCs w:val="22"/>
        </w:rPr>
        <w:t>4</w:t>
      </w:r>
      <w:r w:rsidRPr="0007755A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 al </w:t>
      </w:r>
      <w:r w:rsidR="00B40011">
        <w:rPr>
          <w:rFonts w:ascii="Open Sans" w:hAnsi="Open Sans" w:cs="Open Sans"/>
          <w:b/>
          <w:bCs/>
          <w:color w:val="000000"/>
          <w:sz w:val="22"/>
          <w:szCs w:val="22"/>
        </w:rPr>
        <w:t>0,3</w:t>
      </w:r>
      <w:r w:rsidRPr="0007755A">
        <w:rPr>
          <w:rFonts w:ascii="Open Sans" w:hAnsi="Open Sans" w:cs="Open Sans"/>
          <w:b/>
          <w:bCs/>
          <w:color w:val="000000"/>
          <w:sz w:val="22"/>
          <w:szCs w:val="22"/>
        </w:rPr>
        <w:t>% detectado en el mismo periodo de 202</w:t>
      </w:r>
      <w:r w:rsidR="00B40011">
        <w:rPr>
          <w:rFonts w:ascii="Open Sans" w:hAnsi="Open Sans" w:cs="Open Sans"/>
          <w:b/>
          <w:bCs/>
          <w:color w:val="000000"/>
          <w:sz w:val="22"/>
          <w:szCs w:val="22"/>
        </w:rPr>
        <w:t>5</w:t>
      </w:r>
      <w:r w:rsidRPr="0007755A">
        <w:rPr>
          <w:rFonts w:ascii="Open Sans" w:hAnsi="Open Sans" w:cs="Open Sans"/>
          <w:b/>
          <w:bCs/>
          <w:color w:val="000000"/>
          <w:sz w:val="22"/>
          <w:szCs w:val="22"/>
        </w:rPr>
        <w:t>.</w:t>
      </w:r>
      <w:r w:rsidRPr="0007755A">
        <w:rPr>
          <w:rFonts w:ascii="Open Sans" w:hAnsi="Open Sans" w:cs="Open Sans"/>
          <w:color w:val="000000"/>
          <w:sz w:val="22"/>
          <w:szCs w:val="22"/>
        </w:rPr>
        <w:t xml:space="preserve"> En los últimos 12 meses analizados el precio de la vivienda ha pasado de los </w:t>
      </w:r>
      <w:r w:rsidR="00B40011">
        <w:rPr>
          <w:rFonts w:ascii="Open Sans" w:hAnsi="Open Sans" w:cs="Open Sans"/>
          <w:color w:val="000000"/>
          <w:sz w:val="22"/>
          <w:szCs w:val="22"/>
        </w:rPr>
        <w:t>74,70</w:t>
      </w:r>
      <w:r w:rsidRPr="0007755A">
        <w:rPr>
          <w:rFonts w:ascii="Open Sans" w:hAnsi="Open Sans" w:cs="Open Sans"/>
          <w:color w:val="000000"/>
          <w:sz w:val="22"/>
          <w:szCs w:val="22"/>
        </w:rPr>
        <w:t xml:space="preserve"> euros al mes de diciembre de 202</w:t>
      </w:r>
      <w:r w:rsidR="00B40011">
        <w:rPr>
          <w:rFonts w:ascii="Open Sans" w:hAnsi="Open Sans" w:cs="Open Sans"/>
          <w:color w:val="000000"/>
          <w:sz w:val="22"/>
          <w:szCs w:val="22"/>
        </w:rPr>
        <w:t>4</w:t>
      </w:r>
      <w:r w:rsidRPr="0007755A">
        <w:rPr>
          <w:rFonts w:ascii="Open Sans" w:hAnsi="Open Sans" w:cs="Open Sans"/>
          <w:color w:val="000000"/>
          <w:sz w:val="22"/>
          <w:szCs w:val="22"/>
        </w:rPr>
        <w:t xml:space="preserve"> a los </w:t>
      </w:r>
      <w:r w:rsidR="0007755A" w:rsidRPr="0007755A">
        <w:rPr>
          <w:rFonts w:ascii="Open Sans" w:hAnsi="Open Sans" w:cs="Open Sans"/>
          <w:color w:val="000000"/>
          <w:sz w:val="22"/>
          <w:szCs w:val="22"/>
        </w:rPr>
        <w:t>74,</w:t>
      </w:r>
      <w:r w:rsidR="00B40011">
        <w:rPr>
          <w:rFonts w:ascii="Open Sans" w:hAnsi="Open Sans" w:cs="Open Sans"/>
          <w:color w:val="000000"/>
          <w:sz w:val="22"/>
          <w:szCs w:val="22"/>
        </w:rPr>
        <w:t>95</w:t>
      </w:r>
      <w:r w:rsidR="0007755A" w:rsidRPr="0007755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07755A">
        <w:rPr>
          <w:rFonts w:ascii="Open Sans" w:hAnsi="Open Sans" w:cs="Open Sans"/>
          <w:color w:val="000000"/>
          <w:sz w:val="22"/>
          <w:szCs w:val="22"/>
        </w:rPr>
        <w:t>euros al mes de diciembre de 202</w:t>
      </w:r>
      <w:r w:rsidR="00B40011">
        <w:rPr>
          <w:rFonts w:ascii="Open Sans" w:hAnsi="Open Sans" w:cs="Open Sans"/>
          <w:color w:val="000000"/>
          <w:sz w:val="22"/>
          <w:szCs w:val="22"/>
        </w:rPr>
        <w:t>5</w:t>
      </w:r>
      <w:r w:rsidRPr="0007755A">
        <w:rPr>
          <w:rFonts w:ascii="Open Sans" w:hAnsi="Open Sans" w:cs="Open Sans"/>
          <w:color w:val="000000"/>
          <w:sz w:val="22"/>
          <w:szCs w:val="22"/>
        </w:rPr>
        <w:t xml:space="preserve">. </w:t>
      </w:r>
    </w:p>
    <w:p w14:paraId="16612F35" w14:textId="77777777" w:rsidR="00C12F1D" w:rsidRDefault="00C12F1D" w:rsidP="00B364DA">
      <w:pPr>
        <w:spacing w:line="276" w:lineRule="auto"/>
        <w:ind w:right="-567"/>
        <w:jc w:val="both"/>
        <w:rPr>
          <w:rFonts w:ascii="National" w:hAnsi="National"/>
          <w:b/>
          <w:bCs/>
          <w:iCs/>
          <w:color w:val="303AB2"/>
          <w:sz w:val="28"/>
          <w:szCs w:val="160"/>
          <w:lang w:val="es-ES"/>
        </w:rPr>
      </w:pPr>
    </w:p>
    <w:p w14:paraId="6E4C33B3" w14:textId="5D4BA679" w:rsidR="00C12F1D" w:rsidRDefault="00C12F1D" w:rsidP="00C12F1D">
      <w:pPr>
        <w:spacing w:line="276" w:lineRule="auto"/>
        <w:ind w:right="-567"/>
        <w:jc w:val="center"/>
        <w:rPr>
          <w:rFonts w:ascii="National" w:hAnsi="National"/>
          <w:b/>
          <w:bCs/>
          <w:iCs/>
          <w:color w:val="303AB2"/>
          <w:sz w:val="28"/>
          <w:szCs w:val="160"/>
          <w:lang w:val="es-ES"/>
        </w:rPr>
      </w:pPr>
      <w:r>
        <w:rPr>
          <w:rFonts w:ascii="National" w:hAnsi="National"/>
          <w:b/>
          <w:bCs/>
          <w:iCs/>
          <w:color w:val="303AB2"/>
          <w:sz w:val="28"/>
          <w:szCs w:val="160"/>
          <w:lang w:val="es-ES"/>
        </w:rPr>
        <w:t>CCAA con precio en por años (diciembre)</w:t>
      </w:r>
    </w:p>
    <w:p w14:paraId="7CDB2A4C" w14:textId="77777777" w:rsidR="00206298" w:rsidRDefault="00206298" w:rsidP="00C12F1D">
      <w:pPr>
        <w:spacing w:line="276" w:lineRule="auto"/>
        <w:ind w:right="-567"/>
        <w:jc w:val="center"/>
        <w:rPr>
          <w:rFonts w:ascii="Open Sans" w:hAnsi="Open Sans" w:cs="Open Sans"/>
          <w:color w:val="000000"/>
        </w:rPr>
      </w:pPr>
    </w:p>
    <w:p w14:paraId="0E2BE58C" w14:textId="7C825F06" w:rsidR="008321EB" w:rsidRDefault="00B40011" w:rsidP="007D5CF4">
      <w:pPr>
        <w:spacing w:line="276" w:lineRule="auto"/>
        <w:ind w:right="-567"/>
        <w:jc w:val="both"/>
        <w:rPr>
          <w:rFonts w:ascii="National" w:hAnsi="National"/>
          <w:b/>
          <w:bCs/>
          <w:iCs/>
          <w:color w:val="303AB2"/>
          <w:sz w:val="28"/>
          <w:szCs w:val="160"/>
          <w:lang w:val="es-ES"/>
        </w:rPr>
      </w:pPr>
      <w:r>
        <w:rPr>
          <w:noProof/>
        </w:rPr>
        <w:drawing>
          <wp:inline distT="0" distB="0" distL="0" distR="0" wp14:anchorId="30847200" wp14:editId="153A7B12">
            <wp:extent cx="5814060" cy="2090648"/>
            <wp:effectExtent l="0" t="0" r="0" b="5080"/>
            <wp:docPr id="6021770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4EFA35C3-F7AB-8421-5B98-4127B15D825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27FA55D" w14:textId="77777777" w:rsidR="00334677" w:rsidRDefault="00334677" w:rsidP="007D5CF4">
      <w:pPr>
        <w:spacing w:line="276" w:lineRule="auto"/>
        <w:ind w:right="-567"/>
        <w:jc w:val="both"/>
        <w:rPr>
          <w:rFonts w:ascii="National" w:hAnsi="National"/>
          <w:b/>
          <w:bCs/>
          <w:iCs/>
          <w:color w:val="303AB2"/>
          <w:sz w:val="28"/>
          <w:szCs w:val="160"/>
        </w:rPr>
      </w:pPr>
    </w:p>
    <w:p w14:paraId="56850130" w14:textId="587D3154" w:rsidR="00157BA7" w:rsidRDefault="00334677" w:rsidP="007D5CF4">
      <w:pPr>
        <w:spacing w:line="276" w:lineRule="auto"/>
        <w:ind w:right="-567"/>
        <w:jc w:val="both"/>
        <w:rPr>
          <w:rFonts w:ascii="Open Sans" w:hAnsi="Open Sans" w:cs="Open Sans"/>
          <w:b/>
          <w:bCs/>
          <w:color w:val="000000"/>
          <w:sz w:val="22"/>
          <w:szCs w:val="22"/>
        </w:rPr>
      </w:pPr>
      <w:r>
        <w:rPr>
          <w:rFonts w:ascii="Open Sans" w:hAnsi="Open Sans" w:cs="Open Sans"/>
          <w:color w:val="000000"/>
          <w:sz w:val="22"/>
          <w:szCs w:val="22"/>
        </w:rPr>
        <w:t>“</w:t>
      </w:r>
      <w:r w:rsidRPr="00334677">
        <w:rPr>
          <w:rFonts w:ascii="Open Sans" w:hAnsi="Open Sans" w:cs="Open Sans"/>
          <w:color w:val="000000"/>
          <w:sz w:val="22"/>
          <w:szCs w:val="22"/>
        </w:rPr>
        <w:t xml:space="preserve">Estamos ante un </w:t>
      </w:r>
      <w:r>
        <w:rPr>
          <w:rFonts w:ascii="Open Sans" w:hAnsi="Open Sans" w:cs="Open Sans"/>
          <w:color w:val="000000"/>
          <w:sz w:val="22"/>
          <w:szCs w:val="22"/>
        </w:rPr>
        <w:t>pequeño cambio</w:t>
      </w:r>
      <w:r w:rsidRPr="00334677">
        <w:rPr>
          <w:rFonts w:ascii="Open Sans" w:hAnsi="Open Sans" w:cs="Open Sans"/>
          <w:color w:val="000000"/>
          <w:sz w:val="22"/>
          <w:szCs w:val="22"/>
        </w:rPr>
        <w:t xml:space="preserve"> en el mercado de los garajes en España. En 2025 hemos registrado el incremento más moderado de la última década, un 0,3%, lo que supone una </w:t>
      </w:r>
      <w:r>
        <w:rPr>
          <w:rFonts w:ascii="Open Sans" w:hAnsi="Open Sans" w:cs="Open Sans"/>
          <w:color w:val="000000"/>
          <w:sz w:val="22"/>
          <w:szCs w:val="22"/>
        </w:rPr>
        <w:t xml:space="preserve">desaceleración </w:t>
      </w:r>
      <w:r w:rsidRPr="00334677">
        <w:rPr>
          <w:rFonts w:ascii="Open Sans" w:hAnsi="Open Sans" w:cs="Open Sans"/>
          <w:color w:val="000000"/>
          <w:sz w:val="22"/>
          <w:szCs w:val="22"/>
        </w:rPr>
        <w:t xml:space="preserve">respecto al 1,5% del año anterior. Este escenario de precios prácticamente planos, situados en los 75 euros mensuales, sugiere que el mercado </w:t>
      </w:r>
      <w:r>
        <w:rPr>
          <w:rFonts w:ascii="Open Sans" w:hAnsi="Open Sans" w:cs="Open Sans"/>
          <w:color w:val="000000"/>
          <w:sz w:val="22"/>
          <w:szCs w:val="22"/>
        </w:rPr>
        <w:t>se está estabilizando</w:t>
      </w:r>
      <w:r w:rsidRPr="00334677">
        <w:rPr>
          <w:rFonts w:ascii="Open Sans" w:hAnsi="Open Sans" w:cs="Open Sans"/>
          <w:color w:val="000000"/>
          <w:sz w:val="22"/>
          <w:szCs w:val="22"/>
        </w:rPr>
        <w:t>.</w:t>
      </w:r>
      <w:r>
        <w:rPr>
          <w:rFonts w:ascii="Open Sans" w:hAnsi="Open Sans" w:cs="Open Sans"/>
          <w:color w:val="000000"/>
          <w:sz w:val="22"/>
          <w:szCs w:val="22"/>
        </w:rPr>
        <w:t xml:space="preserve"> No obstante, el precio medio de una plaza de alquiler en 2025 es el segundo más elevado de los últimos años, lo que sugiere que </w:t>
      </w:r>
      <w:r w:rsidR="001748DD" w:rsidRPr="001748DD">
        <w:rPr>
          <w:rFonts w:ascii="Open Sans" w:hAnsi="Open Sans" w:cs="Open Sans"/>
          <w:color w:val="000000"/>
          <w:sz w:val="22"/>
          <w:szCs w:val="22"/>
        </w:rPr>
        <w:t>el garaje sigue siendo un valor refugio muy resiliente</w:t>
      </w:r>
      <w:r w:rsidR="001748DD">
        <w:rPr>
          <w:rFonts w:ascii="Open Sans" w:hAnsi="Open Sans" w:cs="Open Sans"/>
          <w:color w:val="000000"/>
          <w:sz w:val="22"/>
          <w:szCs w:val="22"/>
        </w:rPr>
        <w:t xml:space="preserve">”, </w:t>
      </w:r>
      <w:r w:rsidR="001748DD" w:rsidRPr="001748DD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comenta María Matos, directora de Estudios de </w:t>
      </w:r>
      <w:hyperlink r:id="rId13" w:history="1">
        <w:r w:rsidR="001748DD" w:rsidRPr="001748DD">
          <w:rPr>
            <w:rStyle w:val="Hipervnculo"/>
            <w:rFonts w:ascii="Open Sans" w:hAnsi="Open Sans" w:cs="Open Sans"/>
            <w:b/>
            <w:bCs/>
            <w:sz w:val="22"/>
            <w:szCs w:val="22"/>
          </w:rPr>
          <w:t>Fotocasa</w:t>
        </w:r>
      </w:hyperlink>
      <w:r w:rsidR="001748DD" w:rsidRPr="001748DD">
        <w:rPr>
          <w:rFonts w:ascii="Open Sans" w:hAnsi="Open Sans" w:cs="Open Sans"/>
          <w:b/>
          <w:bCs/>
          <w:color w:val="000000"/>
          <w:sz w:val="22"/>
          <w:szCs w:val="22"/>
        </w:rPr>
        <w:t>.</w:t>
      </w:r>
    </w:p>
    <w:p w14:paraId="3D34B54B" w14:textId="77777777" w:rsidR="00206298" w:rsidRDefault="00206298" w:rsidP="007D5CF4">
      <w:pPr>
        <w:spacing w:line="276" w:lineRule="auto"/>
        <w:ind w:right="-567"/>
        <w:jc w:val="both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7AF4375F" w14:textId="707EC524" w:rsidR="00583D8D" w:rsidRDefault="00FB61E9" w:rsidP="00583D8D">
      <w:pPr>
        <w:pStyle w:val="Prrafodelista"/>
        <w:spacing w:line="276" w:lineRule="auto"/>
        <w:ind w:left="0" w:right="-574"/>
        <w:jc w:val="center"/>
        <w:rPr>
          <w:rFonts w:ascii="National" w:hAnsi="National"/>
          <w:b/>
          <w:bCs/>
          <w:iCs/>
          <w:color w:val="303AB2"/>
          <w:sz w:val="28"/>
          <w:szCs w:val="160"/>
          <w:lang w:val="es-ES"/>
        </w:rPr>
      </w:pPr>
      <w:r>
        <w:rPr>
          <w:rFonts w:ascii="National" w:hAnsi="National"/>
          <w:b/>
          <w:bCs/>
          <w:iCs/>
          <w:color w:val="303AB2"/>
          <w:sz w:val="28"/>
          <w:szCs w:val="160"/>
          <w:lang w:val="es-ES"/>
        </w:rPr>
        <w:t xml:space="preserve">CCAA </w:t>
      </w:r>
      <w:r w:rsidR="002E582A">
        <w:rPr>
          <w:rFonts w:ascii="National" w:hAnsi="National"/>
          <w:b/>
          <w:bCs/>
          <w:iCs/>
          <w:color w:val="303AB2"/>
          <w:sz w:val="28"/>
          <w:szCs w:val="160"/>
          <w:lang w:val="es-ES"/>
        </w:rPr>
        <w:t>con precio y p</w:t>
      </w:r>
      <w:r w:rsidR="002E582A" w:rsidRPr="00D82713">
        <w:rPr>
          <w:rFonts w:ascii="National" w:hAnsi="National"/>
          <w:b/>
          <w:bCs/>
          <w:iCs/>
          <w:color w:val="303AB2"/>
          <w:sz w:val="28"/>
          <w:szCs w:val="160"/>
          <w:lang w:val="es-ES"/>
        </w:rPr>
        <w:t>orcentaje</w:t>
      </w:r>
      <w:r w:rsidR="002E582A">
        <w:rPr>
          <w:rFonts w:ascii="National" w:hAnsi="National"/>
          <w:b/>
          <w:bCs/>
          <w:iCs/>
          <w:color w:val="303AB2"/>
          <w:sz w:val="28"/>
          <w:szCs w:val="160"/>
          <w:lang w:val="es-ES"/>
        </w:rPr>
        <w:t xml:space="preserve"> anual 202</w:t>
      </w:r>
      <w:r w:rsidR="00B40011">
        <w:rPr>
          <w:rFonts w:ascii="National" w:hAnsi="National"/>
          <w:b/>
          <w:bCs/>
          <w:iCs/>
          <w:color w:val="303AB2"/>
          <w:sz w:val="28"/>
          <w:szCs w:val="160"/>
          <w:lang w:val="es-ES"/>
        </w:rPr>
        <w:t>5</w:t>
      </w:r>
      <w:r w:rsidR="002E582A" w:rsidRPr="00D82713">
        <w:rPr>
          <w:rFonts w:ascii="National" w:hAnsi="National"/>
          <w:b/>
          <w:bCs/>
          <w:iCs/>
          <w:color w:val="303AB2"/>
          <w:sz w:val="28"/>
          <w:szCs w:val="160"/>
          <w:lang w:val="es-ES"/>
        </w:rPr>
        <w:t xml:space="preserve"> (%)</w:t>
      </w:r>
      <w:r w:rsidR="002E582A" w:rsidRPr="001C6AC4">
        <w:rPr>
          <w:rFonts w:ascii="National" w:hAnsi="National"/>
          <w:b/>
          <w:bCs/>
          <w:iCs/>
          <w:color w:val="FF0000"/>
          <w:sz w:val="28"/>
          <w:szCs w:val="160"/>
          <w:lang w:val="es-ES"/>
        </w:rPr>
        <w:t xml:space="preserve"> </w:t>
      </w:r>
      <w:r w:rsidR="003A7DB8">
        <w:rPr>
          <w:rFonts w:ascii="National" w:hAnsi="National"/>
          <w:b/>
          <w:bCs/>
          <w:iCs/>
          <w:color w:val="303AB2"/>
          <w:sz w:val="28"/>
          <w:szCs w:val="160"/>
          <w:lang w:val="es-ES"/>
        </w:rPr>
        <w:t>de garajes</w:t>
      </w:r>
    </w:p>
    <w:p w14:paraId="001927D8" w14:textId="77777777" w:rsidR="00C12F1D" w:rsidRPr="00C12F1D" w:rsidRDefault="00C12F1D" w:rsidP="00583D8D">
      <w:pPr>
        <w:pStyle w:val="Prrafodelista"/>
        <w:spacing w:line="276" w:lineRule="auto"/>
        <w:ind w:left="0" w:right="-574"/>
        <w:jc w:val="center"/>
        <w:rPr>
          <w:rFonts w:ascii="National" w:hAnsi="National"/>
          <w:b/>
          <w:bCs/>
          <w:iCs/>
          <w:color w:val="303AB2"/>
          <w:sz w:val="16"/>
          <w:szCs w:val="16"/>
          <w:lang w:val="es-ES"/>
        </w:rPr>
      </w:pPr>
    </w:p>
    <w:tbl>
      <w:tblPr>
        <w:tblStyle w:val="Tablaconcuadrcula4-nfasis3"/>
        <w:tblW w:w="8992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2713"/>
        <w:gridCol w:w="2135"/>
        <w:gridCol w:w="2135"/>
        <w:gridCol w:w="2009"/>
      </w:tblGrid>
      <w:tr w:rsidR="009A7F07" w:rsidRPr="008321EB" w14:paraId="2C5AEF96" w14:textId="77777777" w:rsidTr="000775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3" w:type="dxa"/>
            <w:shd w:val="clear" w:color="auto" w:fill="8496B0" w:themeFill="text2" w:themeFillTint="99"/>
            <w:vAlign w:val="center"/>
            <w:hideMark/>
          </w:tcPr>
          <w:p w14:paraId="01C3DF6A" w14:textId="77777777" w:rsidR="009A7F07" w:rsidRPr="008321EB" w:rsidRDefault="009A7F07" w:rsidP="009A7F07">
            <w:pPr>
              <w:rPr>
                <w:rFonts w:ascii="Open Sans" w:eastAsia="Times New Roman" w:hAnsi="Open Sans" w:cs="Open Sans"/>
                <w:b w:val="0"/>
                <w:bCs w:val="0"/>
                <w:sz w:val="22"/>
                <w:szCs w:val="22"/>
                <w:lang w:val="es-ES" w:eastAsia="es-ES"/>
              </w:rPr>
            </w:pPr>
            <w:bookmarkStart w:id="0" w:name="_Hlk46655914"/>
            <w:r w:rsidRPr="008321EB">
              <w:rPr>
                <w:rFonts w:ascii="Open Sans" w:eastAsia="Times New Roman" w:hAnsi="Open Sans" w:cs="Open Sans"/>
                <w:b w:val="0"/>
                <w:bCs w:val="0"/>
                <w:sz w:val="22"/>
                <w:szCs w:val="22"/>
                <w:lang w:val="es-ES" w:eastAsia="es-ES"/>
              </w:rPr>
              <w:t>CCAA</w:t>
            </w:r>
          </w:p>
        </w:tc>
        <w:tc>
          <w:tcPr>
            <w:tcW w:w="2135" w:type="dxa"/>
            <w:shd w:val="clear" w:color="auto" w:fill="8496B0" w:themeFill="text2" w:themeFillTint="99"/>
            <w:vAlign w:val="center"/>
          </w:tcPr>
          <w:p w14:paraId="00BE0F6F" w14:textId="77777777" w:rsidR="009A7F07" w:rsidRPr="009A7F07" w:rsidRDefault="009A7F07" w:rsidP="009A7F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b w:val="0"/>
                <w:bCs w:val="0"/>
                <w:sz w:val="22"/>
                <w:szCs w:val="22"/>
                <w:lang w:eastAsia="es-ES"/>
              </w:rPr>
            </w:pPr>
            <w:r w:rsidRPr="009A7F07">
              <w:rPr>
                <w:rFonts w:ascii="Open Sans" w:eastAsia="Times New Roman" w:hAnsi="Open Sans" w:cs="Open Sans"/>
                <w:b w:val="0"/>
                <w:bCs w:val="0"/>
                <w:sz w:val="22"/>
                <w:szCs w:val="22"/>
                <w:lang w:eastAsia="es-ES"/>
              </w:rPr>
              <w:t xml:space="preserve">Precio medio </w:t>
            </w:r>
          </w:p>
          <w:p w14:paraId="0330FE5D" w14:textId="64668759" w:rsidR="009A7F07" w:rsidRPr="009A7F07" w:rsidRDefault="009A7F07" w:rsidP="009A7F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b w:val="0"/>
                <w:bCs w:val="0"/>
                <w:sz w:val="22"/>
                <w:szCs w:val="22"/>
                <w:lang w:eastAsia="es-ES"/>
              </w:rPr>
            </w:pPr>
            <w:r w:rsidRPr="009A7F07">
              <w:rPr>
                <w:rFonts w:ascii="Open Sans" w:eastAsia="Times New Roman" w:hAnsi="Open Sans" w:cs="Open Sans"/>
                <w:b w:val="0"/>
                <w:bCs w:val="0"/>
                <w:sz w:val="22"/>
                <w:szCs w:val="22"/>
                <w:lang w:eastAsia="es-ES"/>
              </w:rPr>
              <w:t>Garaje 202</w:t>
            </w:r>
            <w:r w:rsidR="00B40011">
              <w:rPr>
                <w:rFonts w:ascii="Open Sans" w:eastAsia="Times New Roman" w:hAnsi="Open Sans" w:cs="Open Sans"/>
                <w:b w:val="0"/>
                <w:bCs w:val="0"/>
                <w:sz w:val="22"/>
                <w:szCs w:val="22"/>
                <w:lang w:eastAsia="es-ES"/>
              </w:rPr>
              <w:t>4</w:t>
            </w:r>
          </w:p>
        </w:tc>
        <w:tc>
          <w:tcPr>
            <w:tcW w:w="2135" w:type="dxa"/>
            <w:shd w:val="clear" w:color="auto" w:fill="8496B0" w:themeFill="text2" w:themeFillTint="99"/>
            <w:vAlign w:val="center"/>
            <w:hideMark/>
          </w:tcPr>
          <w:p w14:paraId="144D7650" w14:textId="77777777" w:rsidR="009A7F07" w:rsidRPr="009A7F07" w:rsidRDefault="009A7F07" w:rsidP="009A7F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b w:val="0"/>
                <w:bCs w:val="0"/>
                <w:sz w:val="22"/>
                <w:szCs w:val="22"/>
                <w:lang w:eastAsia="es-ES"/>
              </w:rPr>
            </w:pPr>
            <w:r w:rsidRPr="009A7F07">
              <w:rPr>
                <w:rFonts w:ascii="Open Sans" w:eastAsia="Times New Roman" w:hAnsi="Open Sans" w:cs="Open Sans"/>
                <w:b w:val="0"/>
                <w:bCs w:val="0"/>
                <w:sz w:val="22"/>
                <w:szCs w:val="22"/>
                <w:lang w:eastAsia="es-ES"/>
              </w:rPr>
              <w:t xml:space="preserve">Precio medio </w:t>
            </w:r>
          </w:p>
          <w:p w14:paraId="112B7838" w14:textId="1D5A416A" w:rsidR="009A7F07" w:rsidRPr="009A7F07" w:rsidRDefault="009A7F07" w:rsidP="009A7F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b w:val="0"/>
                <w:bCs w:val="0"/>
                <w:sz w:val="22"/>
                <w:szCs w:val="22"/>
                <w:lang w:val="es-ES" w:eastAsia="es-ES"/>
              </w:rPr>
            </w:pPr>
            <w:r w:rsidRPr="009A7F07">
              <w:rPr>
                <w:rFonts w:ascii="Open Sans" w:eastAsia="Times New Roman" w:hAnsi="Open Sans" w:cs="Open Sans"/>
                <w:b w:val="0"/>
                <w:bCs w:val="0"/>
                <w:sz w:val="22"/>
                <w:szCs w:val="22"/>
                <w:lang w:eastAsia="es-ES"/>
              </w:rPr>
              <w:t>Garaje 202</w:t>
            </w:r>
            <w:r w:rsidR="00B40011">
              <w:rPr>
                <w:rFonts w:ascii="Open Sans" w:eastAsia="Times New Roman" w:hAnsi="Open Sans" w:cs="Open Sans"/>
                <w:b w:val="0"/>
                <w:bCs w:val="0"/>
                <w:sz w:val="22"/>
                <w:szCs w:val="22"/>
                <w:lang w:eastAsia="es-ES"/>
              </w:rPr>
              <w:t>5</w:t>
            </w:r>
          </w:p>
        </w:tc>
        <w:tc>
          <w:tcPr>
            <w:tcW w:w="2009" w:type="dxa"/>
            <w:shd w:val="clear" w:color="auto" w:fill="8496B0" w:themeFill="text2" w:themeFillTint="99"/>
            <w:vAlign w:val="center"/>
            <w:hideMark/>
          </w:tcPr>
          <w:p w14:paraId="4BAFA508" w14:textId="193A721F" w:rsidR="009A7F07" w:rsidRPr="008321EB" w:rsidRDefault="009A7F07" w:rsidP="009A7F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sz w:val="22"/>
                <w:szCs w:val="22"/>
                <w:lang w:val="es-ES" w:eastAsia="es-ES"/>
              </w:rPr>
            </w:pPr>
            <w:r w:rsidRPr="008321EB">
              <w:rPr>
                <w:rFonts w:ascii="Open Sans" w:eastAsia="Times New Roman" w:hAnsi="Open Sans" w:cs="Open Sans"/>
                <w:b w:val="0"/>
                <w:bCs w:val="0"/>
                <w:sz w:val="22"/>
                <w:szCs w:val="22"/>
                <w:lang w:eastAsia="es-ES"/>
              </w:rPr>
              <w:t xml:space="preserve">Variación anual </w:t>
            </w:r>
            <w:r>
              <w:rPr>
                <w:rFonts w:ascii="Open Sans" w:eastAsia="Times New Roman" w:hAnsi="Open Sans" w:cs="Open Sans"/>
                <w:b w:val="0"/>
                <w:bCs w:val="0"/>
                <w:sz w:val="22"/>
                <w:szCs w:val="22"/>
                <w:lang w:eastAsia="es-ES"/>
              </w:rPr>
              <w:t>G</w:t>
            </w:r>
            <w:r w:rsidRPr="008321EB">
              <w:rPr>
                <w:rFonts w:ascii="Open Sans" w:eastAsia="Times New Roman" w:hAnsi="Open Sans" w:cs="Open Sans"/>
                <w:b w:val="0"/>
                <w:bCs w:val="0"/>
                <w:sz w:val="22"/>
                <w:szCs w:val="22"/>
                <w:lang w:eastAsia="es-ES"/>
              </w:rPr>
              <w:t>arajes</w:t>
            </w:r>
            <w:r>
              <w:rPr>
                <w:rFonts w:ascii="Open Sans" w:eastAsia="Times New Roman" w:hAnsi="Open Sans" w:cs="Open Sans"/>
                <w:b w:val="0"/>
                <w:bCs w:val="0"/>
                <w:sz w:val="22"/>
                <w:szCs w:val="22"/>
                <w:lang w:eastAsia="es-ES"/>
              </w:rPr>
              <w:t xml:space="preserve"> </w:t>
            </w:r>
            <w:r w:rsidRPr="008321EB">
              <w:rPr>
                <w:rFonts w:ascii="Open Sans" w:eastAsia="Times New Roman" w:hAnsi="Open Sans" w:cs="Open Sans"/>
                <w:b w:val="0"/>
                <w:bCs w:val="0"/>
                <w:sz w:val="22"/>
                <w:szCs w:val="22"/>
                <w:lang w:val="es-ES" w:eastAsia="es-ES"/>
              </w:rPr>
              <w:t>202</w:t>
            </w:r>
            <w:r w:rsidR="00B40011">
              <w:rPr>
                <w:rFonts w:ascii="Open Sans" w:eastAsia="Times New Roman" w:hAnsi="Open Sans" w:cs="Open Sans"/>
                <w:b w:val="0"/>
                <w:bCs w:val="0"/>
                <w:sz w:val="22"/>
                <w:szCs w:val="22"/>
                <w:lang w:val="es-ES" w:eastAsia="es-ES"/>
              </w:rPr>
              <w:t>5</w:t>
            </w:r>
          </w:p>
        </w:tc>
      </w:tr>
      <w:tr w:rsidR="00B40011" w:rsidRPr="008321EB" w14:paraId="43469D75" w14:textId="77777777" w:rsidTr="006502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3" w:type="dxa"/>
            <w:shd w:val="clear" w:color="auto" w:fill="8496B0" w:themeFill="text2" w:themeFillTint="99"/>
            <w:vAlign w:val="bottom"/>
            <w:hideMark/>
          </w:tcPr>
          <w:p w14:paraId="37A61281" w14:textId="6F8266EE" w:rsidR="00B40011" w:rsidRPr="00B40011" w:rsidRDefault="00B40011" w:rsidP="00B40011">
            <w:pPr>
              <w:rPr>
                <w:rFonts w:ascii="Open Sans" w:eastAsia="Times New Roman" w:hAnsi="Open Sans" w:cs="Open Sans"/>
                <w:b w:val="0"/>
                <w:bCs w:val="0"/>
                <w:color w:val="FFFFFF" w:themeColor="background1"/>
                <w:sz w:val="22"/>
                <w:szCs w:val="22"/>
                <w:lang w:val="es-ES" w:eastAsia="es-ES"/>
              </w:rPr>
            </w:pPr>
            <w:r w:rsidRPr="00B40011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Asturias</w:t>
            </w:r>
          </w:p>
        </w:tc>
        <w:tc>
          <w:tcPr>
            <w:tcW w:w="2135" w:type="dxa"/>
            <w:shd w:val="clear" w:color="auto" w:fill="auto"/>
            <w:vAlign w:val="bottom"/>
          </w:tcPr>
          <w:p w14:paraId="1638A96C" w14:textId="1FCDDB14" w:rsidR="00B40011" w:rsidRPr="008321EB" w:rsidRDefault="00B40011" w:rsidP="00B400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67,22 €</w:t>
            </w:r>
          </w:p>
        </w:tc>
        <w:tc>
          <w:tcPr>
            <w:tcW w:w="2135" w:type="dxa"/>
            <w:shd w:val="clear" w:color="auto" w:fill="auto"/>
            <w:noWrap/>
            <w:vAlign w:val="bottom"/>
            <w:hideMark/>
          </w:tcPr>
          <w:p w14:paraId="73473201" w14:textId="20813AB1" w:rsidR="00B40011" w:rsidRPr="008321EB" w:rsidRDefault="00B40011" w:rsidP="00B400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73,66 €</w:t>
            </w:r>
          </w:p>
        </w:tc>
        <w:tc>
          <w:tcPr>
            <w:tcW w:w="2009" w:type="dxa"/>
            <w:shd w:val="clear" w:color="auto" w:fill="auto"/>
            <w:noWrap/>
            <w:vAlign w:val="bottom"/>
            <w:hideMark/>
          </w:tcPr>
          <w:p w14:paraId="0D564FF8" w14:textId="07EFFC7E" w:rsidR="00B40011" w:rsidRPr="008321EB" w:rsidRDefault="00B40011" w:rsidP="00B400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9,6%</w:t>
            </w:r>
          </w:p>
        </w:tc>
      </w:tr>
      <w:tr w:rsidR="00B40011" w:rsidRPr="008321EB" w14:paraId="71CBF826" w14:textId="77777777" w:rsidTr="0065027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3" w:type="dxa"/>
            <w:shd w:val="clear" w:color="auto" w:fill="8496B0" w:themeFill="text2" w:themeFillTint="99"/>
            <w:vAlign w:val="bottom"/>
            <w:hideMark/>
          </w:tcPr>
          <w:p w14:paraId="07136C78" w14:textId="1F533F71" w:rsidR="00B40011" w:rsidRPr="00B40011" w:rsidRDefault="00B40011" w:rsidP="00B40011">
            <w:pPr>
              <w:rPr>
                <w:rFonts w:ascii="Open Sans" w:eastAsia="Times New Roman" w:hAnsi="Open Sans" w:cs="Open Sans"/>
                <w:b w:val="0"/>
                <w:bCs w:val="0"/>
                <w:color w:val="FFFFFF" w:themeColor="background1"/>
                <w:sz w:val="22"/>
                <w:szCs w:val="22"/>
                <w:lang w:val="es-ES" w:eastAsia="es-ES"/>
              </w:rPr>
            </w:pPr>
            <w:r w:rsidRPr="00B40011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Baleares</w:t>
            </w:r>
          </w:p>
        </w:tc>
        <w:tc>
          <w:tcPr>
            <w:tcW w:w="2135" w:type="dxa"/>
            <w:shd w:val="clear" w:color="auto" w:fill="D5DCE4" w:themeFill="text2" w:themeFillTint="33"/>
            <w:vAlign w:val="bottom"/>
          </w:tcPr>
          <w:p w14:paraId="1FBAE10E" w14:textId="01A3FAE1" w:rsidR="00B40011" w:rsidRPr="008321EB" w:rsidRDefault="00B40011" w:rsidP="00B400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95,03 €</w:t>
            </w:r>
          </w:p>
        </w:tc>
        <w:tc>
          <w:tcPr>
            <w:tcW w:w="2135" w:type="dxa"/>
            <w:shd w:val="clear" w:color="auto" w:fill="D5DCE4" w:themeFill="text2" w:themeFillTint="33"/>
            <w:noWrap/>
            <w:vAlign w:val="bottom"/>
            <w:hideMark/>
          </w:tcPr>
          <w:p w14:paraId="7F1C0153" w14:textId="3C594D59" w:rsidR="00B40011" w:rsidRPr="008321EB" w:rsidRDefault="00B40011" w:rsidP="00B400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101,40 €</w:t>
            </w:r>
          </w:p>
        </w:tc>
        <w:tc>
          <w:tcPr>
            <w:tcW w:w="2009" w:type="dxa"/>
            <w:shd w:val="clear" w:color="auto" w:fill="D5DCE4" w:themeFill="text2" w:themeFillTint="33"/>
            <w:noWrap/>
            <w:vAlign w:val="bottom"/>
            <w:hideMark/>
          </w:tcPr>
          <w:p w14:paraId="706BC75C" w14:textId="1E28083E" w:rsidR="00B40011" w:rsidRPr="008321EB" w:rsidRDefault="00B40011" w:rsidP="00B400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6,7%</w:t>
            </w:r>
          </w:p>
        </w:tc>
      </w:tr>
      <w:tr w:rsidR="00B40011" w:rsidRPr="008321EB" w14:paraId="4D526441" w14:textId="77777777" w:rsidTr="006502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3" w:type="dxa"/>
            <w:shd w:val="clear" w:color="auto" w:fill="8496B0" w:themeFill="text2" w:themeFillTint="99"/>
            <w:vAlign w:val="bottom"/>
            <w:hideMark/>
          </w:tcPr>
          <w:p w14:paraId="38FBC104" w14:textId="6BF844E2" w:rsidR="00B40011" w:rsidRPr="00B40011" w:rsidRDefault="00B40011" w:rsidP="00B40011">
            <w:pPr>
              <w:rPr>
                <w:rFonts w:ascii="Open Sans" w:eastAsia="Times New Roman" w:hAnsi="Open Sans" w:cs="Open Sans"/>
                <w:b w:val="0"/>
                <w:bCs w:val="0"/>
                <w:color w:val="FFFFFF" w:themeColor="background1"/>
                <w:sz w:val="22"/>
                <w:szCs w:val="22"/>
                <w:lang w:val="es-ES" w:eastAsia="es-ES"/>
              </w:rPr>
            </w:pPr>
            <w:r w:rsidRPr="00B40011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Castilla y León</w:t>
            </w:r>
          </w:p>
        </w:tc>
        <w:tc>
          <w:tcPr>
            <w:tcW w:w="2135" w:type="dxa"/>
            <w:shd w:val="clear" w:color="auto" w:fill="auto"/>
            <w:vAlign w:val="bottom"/>
          </w:tcPr>
          <w:p w14:paraId="63899092" w14:textId="16A9816C" w:rsidR="00B40011" w:rsidRPr="008321EB" w:rsidRDefault="00B40011" w:rsidP="00B400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57,52 €</w:t>
            </w:r>
          </w:p>
        </w:tc>
        <w:tc>
          <w:tcPr>
            <w:tcW w:w="2135" w:type="dxa"/>
            <w:shd w:val="clear" w:color="auto" w:fill="auto"/>
            <w:noWrap/>
            <w:vAlign w:val="bottom"/>
            <w:hideMark/>
          </w:tcPr>
          <w:p w14:paraId="0828DF70" w14:textId="6C127FF6" w:rsidR="00B40011" w:rsidRPr="008321EB" w:rsidRDefault="00B40011" w:rsidP="00B400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60,50 €</w:t>
            </w:r>
          </w:p>
        </w:tc>
        <w:tc>
          <w:tcPr>
            <w:tcW w:w="2009" w:type="dxa"/>
            <w:shd w:val="clear" w:color="auto" w:fill="auto"/>
            <w:noWrap/>
            <w:vAlign w:val="bottom"/>
            <w:hideMark/>
          </w:tcPr>
          <w:p w14:paraId="23108F33" w14:textId="0BB04EEC" w:rsidR="00B40011" w:rsidRPr="008321EB" w:rsidRDefault="00B40011" w:rsidP="00B400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5,2%</w:t>
            </w:r>
          </w:p>
        </w:tc>
      </w:tr>
      <w:tr w:rsidR="00B40011" w:rsidRPr="008321EB" w14:paraId="487BE80E" w14:textId="77777777" w:rsidTr="0065027B"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3" w:type="dxa"/>
            <w:shd w:val="clear" w:color="auto" w:fill="8496B0" w:themeFill="text2" w:themeFillTint="99"/>
            <w:vAlign w:val="bottom"/>
            <w:hideMark/>
          </w:tcPr>
          <w:p w14:paraId="6CDCEB73" w14:textId="388B763E" w:rsidR="00B40011" w:rsidRPr="00B40011" w:rsidRDefault="00B40011" w:rsidP="00B40011">
            <w:pPr>
              <w:rPr>
                <w:rFonts w:ascii="Open Sans" w:eastAsia="Times New Roman" w:hAnsi="Open Sans" w:cs="Open Sans"/>
                <w:b w:val="0"/>
                <w:bCs w:val="0"/>
                <w:color w:val="FFFFFF" w:themeColor="background1"/>
                <w:sz w:val="22"/>
                <w:szCs w:val="22"/>
                <w:lang w:val="es-ES" w:eastAsia="es-ES"/>
              </w:rPr>
            </w:pPr>
            <w:r w:rsidRPr="00B40011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Cantabria</w:t>
            </w:r>
          </w:p>
        </w:tc>
        <w:tc>
          <w:tcPr>
            <w:tcW w:w="2135" w:type="dxa"/>
            <w:shd w:val="clear" w:color="auto" w:fill="D5DCE4" w:themeFill="text2" w:themeFillTint="33"/>
            <w:vAlign w:val="bottom"/>
          </w:tcPr>
          <w:p w14:paraId="499113AC" w14:textId="224061DD" w:rsidR="00B40011" w:rsidRPr="008321EB" w:rsidRDefault="00B40011" w:rsidP="00B400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88,17 €</w:t>
            </w:r>
          </w:p>
        </w:tc>
        <w:tc>
          <w:tcPr>
            <w:tcW w:w="2135" w:type="dxa"/>
            <w:shd w:val="clear" w:color="auto" w:fill="D5DCE4" w:themeFill="text2" w:themeFillTint="33"/>
            <w:noWrap/>
            <w:vAlign w:val="bottom"/>
            <w:hideMark/>
          </w:tcPr>
          <w:p w14:paraId="58AA0F1A" w14:textId="148DAE8A" w:rsidR="00B40011" w:rsidRPr="008321EB" w:rsidRDefault="00B40011" w:rsidP="00B400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92,18 €</w:t>
            </w:r>
          </w:p>
        </w:tc>
        <w:tc>
          <w:tcPr>
            <w:tcW w:w="2009" w:type="dxa"/>
            <w:shd w:val="clear" w:color="auto" w:fill="D5DCE4" w:themeFill="text2" w:themeFillTint="33"/>
            <w:noWrap/>
            <w:vAlign w:val="bottom"/>
            <w:hideMark/>
          </w:tcPr>
          <w:p w14:paraId="0F1234AF" w14:textId="52730C04" w:rsidR="00B40011" w:rsidRPr="008321EB" w:rsidRDefault="00B40011" w:rsidP="00B400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4,5%</w:t>
            </w:r>
          </w:p>
        </w:tc>
      </w:tr>
      <w:tr w:rsidR="00B40011" w:rsidRPr="008321EB" w14:paraId="1BFA4652" w14:textId="77777777" w:rsidTr="006502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3" w:type="dxa"/>
            <w:shd w:val="clear" w:color="auto" w:fill="8496B0" w:themeFill="text2" w:themeFillTint="99"/>
            <w:vAlign w:val="bottom"/>
            <w:hideMark/>
          </w:tcPr>
          <w:p w14:paraId="548229B1" w14:textId="22324EEA" w:rsidR="00B40011" w:rsidRPr="00B40011" w:rsidRDefault="00B40011" w:rsidP="00B40011">
            <w:pPr>
              <w:rPr>
                <w:rFonts w:ascii="Open Sans" w:eastAsia="Times New Roman" w:hAnsi="Open Sans" w:cs="Open Sans"/>
                <w:b w:val="0"/>
                <w:bCs w:val="0"/>
                <w:color w:val="FFFFFF" w:themeColor="background1"/>
                <w:sz w:val="22"/>
                <w:szCs w:val="22"/>
                <w:lang w:val="es-ES" w:eastAsia="es-ES"/>
              </w:rPr>
            </w:pPr>
            <w:r w:rsidRPr="00B40011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Galicia</w:t>
            </w:r>
          </w:p>
        </w:tc>
        <w:tc>
          <w:tcPr>
            <w:tcW w:w="2135" w:type="dxa"/>
            <w:shd w:val="clear" w:color="auto" w:fill="auto"/>
            <w:vAlign w:val="bottom"/>
          </w:tcPr>
          <w:p w14:paraId="3D074163" w14:textId="79B16997" w:rsidR="00B40011" w:rsidRPr="008321EB" w:rsidRDefault="00B40011" w:rsidP="00B400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59,71 €</w:t>
            </w:r>
          </w:p>
        </w:tc>
        <w:tc>
          <w:tcPr>
            <w:tcW w:w="2135" w:type="dxa"/>
            <w:shd w:val="clear" w:color="auto" w:fill="auto"/>
            <w:noWrap/>
            <w:vAlign w:val="bottom"/>
            <w:hideMark/>
          </w:tcPr>
          <w:p w14:paraId="5A25A71A" w14:textId="1DFC27AE" w:rsidR="00B40011" w:rsidRPr="008321EB" w:rsidRDefault="00B40011" w:rsidP="00B400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62,13 €</w:t>
            </w:r>
          </w:p>
        </w:tc>
        <w:tc>
          <w:tcPr>
            <w:tcW w:w="2009" w:type="dxa"/>
            <w:shd w:val="clear" w:color="auto" w:fill="auto"/>
            <w:noWrap/>
            <w:vAlign w:val="bottom"/>
            <w:hideMark/>
          </w:tcPr>
          <w:p w14:paraId="71887B97" w14:textId="76D0F722" w:rsidR="00B40011" w:rsidRPr="008321EB" w:rsidRDefault="00B40011" w:rsidP="00B400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4,1%</w:t>
            </w:r>
          </w:p>
        </w:tc>
      </w:tr>
      <w:tr w:rsidR="00B40011" w:rsidRPr="008321EB" w14:paraId="12C7F46D" w14:textId="77777777" w:rsidTr="0065027B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3" w:type="dxa"/>
            <w:shd w:val="clear" w:color="auto" w:fill="8496B0" w:themeFill="text2" w:themeFillTint="99"/>
            <w:vAlign w:val="bottom"/>
            <w:hideMark/>
          </w:tcPr>
          <w:p w14:paraId="6B687202" w14:textId="44EB5316" w:rsidR="00B40011" w:rsidRPr="00B40011" w:rsidRDefault="00B40011" w:rsidP="00B40011">
            <w:pPr>
              <w:rPr>
                <w:rFonts w:ascii="Open Sans" w:eastAsia="Times New Roman" w:hAnsi="Open Sans" w:cs="Open Sans"/>
                <w:b w:val="0"/>
                <w:bCs w:val="0"/>
                <w:color w:val="FFFFFF" w:themeColor="background1"/>
                <w:sz w:val="22"/>
                <w:szCs w:val="22"/>
                <w:lang w:val="es-ES" w:eastAsia="es-ES"/>
              </w:rPr>
            </w:pPr>
            <w:r w:rsidRPr="00B40011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Castilla-La Mancha</w:t>
            </w:r>
          </w:p>
        </w:tc>
        <w:tc>
          <w:tcPr>
            <w:tcW w:w="2135" w:type="dxa"/>
            <w:shd w:val="clear" w:color="auto" w:fill="D5DCE4" w:themeFill="text2" w:themeFillTint="33"/>
            <w:vAlign w:val="bottom"/>
          </w:tcPr>
          <w:p w14:paraId="5547E7FB" w14:textId="08524880" w:rsidR="00B40011" w:rsidRPr="008321EB" w:rsidRDefault="00B40011" w:rsidP="00B400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56,88 €</w:t>
            </w:r>
          </w:p>
        </w:tc>
        <w:tc>
          <w:tcPr>
            <w:tcW w:w="2135" w:type="dxa"/>
            <w:shd w:val="clear" w:color="auto" w:fill="D5DCE4" w:themeFill="text2" w:themeFillTint="33"/>
            <w:noWrap/>
            <w:vAlign w:val="bottom"/>
            <w:hideMark/>
          </w:tcPr>
          <w:p w14:paraId="627F336C" w14:textId="2EC1E695" w:rsidR="00B40011" w:rsidRPr="008321EB" w:rsidRDefault="00B40011" w:rsidP="00B400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59,09 €</w:t>
            </w:r>
          </w:p>
        </w:tc>
        <w:tc>
          <w:tcPr>
            <w:tcW w:w="2009" w:type="dxa"/>
            <w:shd w:val="clear" w:color="auto" w:fill="D5DCE4" w:themeFill="text2" w:themeFillTint="33"/>
            <w:noWrap/>
            <w:vAlign w:val="bottom"/>
            <w:hideMark/>
          </w:tcPr>
          <w:p w14:paraId="44E4A62D" w14:textId="7A4D51CD" w:rsidR="00B40011" w:rsidRPr="008321EB" w:rsidRDefault="00B40011" w:rsidP="00B400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3,9%</w:t>
            </w:r>
          </w:p>
        </w:tc>
      </w:tr>
      <w:tr w:rsidR="00B40011" w:rsidRPr="008321EB" w14:paraId="6DFCF7AA" w14:textId="77777777" w:rsidTr="00B400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3" w:type="dxa"/>
            <w:shd w:val="clear" w:color="auto" w:fill="8496B0" w:themeFill="text2" w:themeFillTint="99"/>
            <w:vAlign w:val="bottom"/>
            <w:hideMark/>
          </w:tcPr>
          <w:p w14:paraId="1BF8B88A" w14:textId="1A06AAE6" w:rsidR="00B40011" w:rsidRPr="00B40011" w:rsidRDefault="00B40011" w:rsidP="00B40011">
            <w:pPr>
              <w:rPr>
                <w:rFonts w:ascii="Open Sans" w:eastAsia="Times New Roman" w:hAnsi="Open Sans" w:cs="Open Sans"/>
                <w:b w:val="0"/>
                <w:bCs w:val="0"/>
                <w:color w:val="FFFFFF" w:themeColor="background1"/>
                <w:sz w:val="22"/>
                <w:szCs w:val="22"/>
                <w:lang w:val="es-ES" w:eastAsia="es-ES"/>
              </w:rPr>
            </w:pPr>
            <w:r w:rsidRPr="00B40011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Canarias</w:t>
            </w:r>
          </w:p>
        </w:tc>
        <w:tc>
          <w:tcPr>
            <w:tcW w:w="2135" w:type="dxa"/>
            <w:shd w:val="clear" w:color="auto" w:fill="auto"/>
            <w:vAlign w:val="bottom"/>
          </w:tcPr>
          <w:p w14:paraId="5F5CA2B8" w14:textId="25B5F626" w:rsidR="00B40011" w:rsidRPr="00D86563" w:rsidRDefault="00B40011" w:rsidP="00B400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FFFFFF" w:themeColor="background1"/>
                <w:sz w:val="22"/>
                <w:szCs w:val="22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74,19 €</w:t>
            </w:r>
          </w:p>
        </w:tc>
        <w:tc>
          <w:tcPr>
            <w:tcW w:w="2135" w:type="dxa"/>
            <w:shd w:val="clear" w:color="auto" w:fill="auto"/>
            <w:noWrap/>
            <w:vAlign w:val="bottom"/>
            <w:hideMark/>
          </w:tcPr>
          <w:p w14:paraId="4C1DC110" w14:textId="2ACA159A" w:rsidR="00B40011" w:rsidRPr="00D86563" w:rsidRDefault="00B40011" w:rsidP="00B400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FFFFFF" w:themeColor="background1"/>
                <w:sz w:val="22"/>
                <w:szCs w:val="22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76,73 €</w:t>
            </w:r>
          </w:p>
        </w:tc>
        <w:tc>
          <w:tcPr>
            <w:tcW w:w="2009" w:type="dxa"/>
            <w:shd w:val="clear" w:color="auto" w:fill="auto"/>
            <w:noWrap/>
            <w:vAlign w:val="bottom"/>
            <w:hideMark/>
          </w:tcPr>
          <w:p w14:paraId="2C8463FF" w14:textId="41009A2F" w:rsidR="00B40011" w:rsidRPr="00D86563" w:rsidRDefault="00B40011" w:rsidP="00B400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FFFFFF" w:themeColor="background1"/>
                <w:sz w:val="22"/>
                <w:szCs w:val="22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3,4%</w:t>
            </w:r>
          </w:p>
        </w:tc>
      </w:tr>
      <w:tr w:rsidR="00B40011" w:rsidRPr="008321EB" w14:paraId="6808A3E4" w14:textId="77777777" w:rsidTr="0065027B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3" w:type="dxa"/>
            <w:shd w:val="clear" w:color="auto" w:fill="8496B0" w:themeFill="text2" w:themeFillTint="99"/>
            <w:vAlign w:val="bottom"/>
            <w:hideMark/>
          </w:tcPr>
          <w:p w14:paraId="1CB62048" w14:textId="30FBE7C8" w:rsidR="00B40011" w:rsidRPr="00B40011" w:rsidRDefault="00B40011" w:rsidP="00B40011">
            <w:pPr>
              <w:rPr>
                <w:rFonts w:ascii="Open Sans" w:eastAsia="Times New Roman" w:hAnsi="Open Sans" w:cs="Open Sans"/>
                <w:b w:val="0"/>
                <w:bCs w:val="0"/>
                <w:color w:val="FFFFFF" w:themeColor="background1"/>
                <w:sz w:val="22"/>
                <w:szCs w:val="22"/>
                <w:lang w:val="es-ES" w:eastAsia="es-ES"/>
              </w:rPr>
            </w:pPr>
            <w:r w:rsidRPr="00B40011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Región de Murcia</w:t>
            </w:r>
          </w:p>
        </w:tc>
        <w:tc>
          <w:tcPr>
            <w:tcW w:w="2135" w:type="dxa"/>
            <w:shd w:val="clear" w:color="auto" w:fill="D5DCE4" w:themeFill="text2" w:themeFillTint="33"/>
            <w:vAlign w:val="bottom"/>
          </w:tcPr>
          <w:p w14:paraId="1C9D7D72" w14:textId="3FE819D5" w:rsidR="00B40011" w:rsidRPr="008321EB" w:rsidRDefault="00B40011" w:rsidP="00B400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63,57 €</w:t>
            </w:r>
          </w:p>
        </w:tc>
        <w:tc>
          <w:tcPr>
            <w:tcW w:w="2135" w:type="dxa"/>
            <w:shd w:val="clear" w:color="auto" w:fill="D5DCE4" w:themeFill="text2" w:themeFillTint="33"/>
            <w:noWrap/>
            <w:vAlign w:val="bottom"/>
            <w:hideMark/>
          </w:tcPr>
          <w:p w14:paraId="53A07612" w14:textId="4DA0AF84" w:rsidR="00B40011" w:rsidRPr="008321EB" w:rsidRDefault="00B40011" w:rsidP="00B400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64,81 €</w:t>
            </w:r>
          </w:p>
        </w:tc>
        <w:tc>
          <w:tcPr>
            <w:tcW w:w="2009" w:type="dxa"/>
            <w:shd w:val="clear" w:color="auto" w:fill="D5DCE4" w:themeFill="text2" w:themeFillTint="33"/>
            <w:noWrap/>
            <w:vAlign w:val="bottom"/>
            <w:hideMark/>
          </w:tcPr>
          <w:p w14:paraId="4DDE6655" w14:textId="58114937" w:rsidR="00B40011" w:rsidRPr="008321EB" w:rsidRDefault="00B40011" w:rsidP="00B400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2,0%</w:t>
            </w:r>
          </w:p>
        </w:tc>
      </w:tr>
      <w:tr w:rsidR="00B40011" w:rsidRPr="008321EB" w14:paraId="16FEB361" w14:textId="77777777" w:rsidTr="006502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3" w:type="dxa"/>
            <w:shd w:val="clear" w:color="auto" w:fill="8496B0" w:themeFill="text2" w:themeFillTint="99"/>
            <w:vAlign w:val="bottom"/>
            <w:hideMark/>
          </w:tcPr>
          <w:p w14:paraId="2E8459F1" w14:textId="1928711C" w:rsidR="00B40011" w:rsidRPr="00B40011" w:rsidRDefault="00B40011" w:rsidP="00B40011">
            <w:pPr>
              <w:rPr>
                <w:rFonts w:ascii="Open Sans" w:eastAsia="Times New Roman" w:hAnsi="Open Sans" w:cs="Open Sans"/>
                <w:b w:val="0"/>
                <w:bCs w:val="0"/>
                <w:color w:val="FFFFFF" w:themeColor="background1"/>
                <w:sz w:val="22"/>
                <w:szCs w:val="22"/>
                <w:lang w:val="es-ES" w:eastAsia="es-ES"/>
              </w:rPr>
            </w:pPr>
            <w:r w:rsidRPr="00B40011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Comunitat Valenciana</w:t>
            </w:r>
          </w:p>
        </w:tc>
        <w:tc>
          <w:tcPr>
            <w:tcW w:w="2135" w:type="dxa"/>
            <w:shd w:val="clear" w:color="auto" w:fill="auto"/>
            <w:vAlign w:val="bottom"/>
          </w:tcPr>
          <w:p w14:paraId="6005907B" w14:textId="748A12EE" w:rsidR="00B40011" w:rsidRPr="008321EB" w:rsidRDefault="00B40011" w:rsidP="00B400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67,64 €</w:t>
            </w:r>
          </w:p>
        </w:tc>
        <w:tc>
          <w:tcPr>
            <w:tcW w:w="2135" w:type="dxa"/>
            <w:shd w:val="clear" w:color="auto" w:fill="auto"/>
            <w:noWrap/>
            <w:vAlign w:val="bottom"/>
            <w:hideMark/>
          </w:tcPr>
          <w:p w14:paraId="5E68C0F6" w14:textId="1282F25A" w:rsidR="00B40011" w:rsidRPr="008321EB" w:rsidRDefault="00B40011" w:rsidP="00B400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68,87 €</w:t>
            </w:r>
          </w:p>
        </w:tc>
        <w:tc>
          <w:tcPr>
            <w:tcW w:w="2009" w:type="dxa"/>
            <w:shd w:val="clear" w:color="auto" w:fill="auto"/>
            <w:noWrap/>
            <w:vAlign w:val="bottom"/>
            <w:hideMark/>
          </w:tcPr>
          <w:p w14:paraId="73BF8FDB" w14:textId="26A4017D" w:rsidR="00B40011" w:rsidRPr="008321EB" w:rsidRDefault="00B40011" w:rsidP="00B400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1,8%</w:t>
            </w:r>
          </w:p>
        </w:tc>
      </w:tr>
      <w:tr w:rsidR="00B40011" w:rsidRPr="008321EB" w14:paraId="6935869B" w14:textId="77777777" w:rsidTr="0065027B">
        <w:trPr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3" w:type="dxa"/>
            <w:shd w:val="clear" w:color="auto" w:fill="8496B0" w:themeFill="text2" w:themeFillTint="99"/>
            <w:vAlign w:val="bottom"/>
            <w:hideMark/>
          </w:tcPr>
          <w:p w14:paraId="44345C97" w14:textId="6003FE7D" w:rsidR="00B40011" w:rsidRPr="00B40011" w:rsidRDefault="00B40011" w:rsidP="00B40011">
            <w:pPr>
              <w:rPr>
                <w:rFonts w:ascii="Open Sans" w:eastAsia="Times New Roman" w:hAnsi="Open Sans" w:cs="Open Sans"/>
                <w:b w:val="0"/>
                <w:bCs w:val="0"/>
                <w:color w:val="FFFFFF" w:themeColor="background1"/>
                <w:sz w:val="22"/>
                <w:szCs w:val="22"/>
                <w:lang w:val="es-ES" w:eastAsia="es-ES"/>
              </w:rPr>
            </w:pPr>
            <w:r w:rsidRPr="00B40011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Andalucía</w:t>
            </w:r>
          </w:p>
        </w:tc>
        <w:tc>
          <w:tcPr>
            <w:tcW w:w="2135" w:type="dxa"/>
            <w:shd w:val="clear" w:color="auto" w:fill="D5DCE4" w:themeFill="text2" w:themeFillTint="33"/>
            <w:vAlign w:val="bottom"/>
          </w:tcPr>
          <w:p w14:paraId="0E656A1B" w14:textId="1D447839" w:rsidR="00B40011" w:rsidRPr="008321EB" w:rsidRDefault="00B40011" w:rsidP="00B400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71,96 €</w:t>
            </w:r>
          </w:p>
        </w:tc>
        <w:tc>
          <w:tcPr>
            <w:tcW w:w="2135" w:type="dxa"/>
            <w:shd w:val="clear" w:color="auto" w:fill="D5DCE4" w:themeFill="text2" w:themeFillTint="33"/>
            <w:noWrap/>
            <w:vAlign w:val="bottom"/>
            <w:hideMark/>
          </w:tcPr>
          <w:p w14:paraId="14B62643" w14:textId="2B89F605" w:rsidR="00B40011" w:rsidRPr="008321EB" w:rsidRDefault="00B40011" w:rsidP="00B400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73,17 €</w:t>
            </w:r>
          </w:p>
        </w:tc>
        <w:tc>
          <w:tcPr>
            <w:tcW w:w="2009" w:type="dxa"/>
            <w:shd w:val="clear" w:color="auto" w:fill="D5DCE4" w:themeFill="text2" w:themeFillTint="33"/>
            <w:noWrap/>
            <w:vAlign w:val="bottom"/>
            <w:hideMark/>
          </w:tcPr>
          <w:p w14:paraId="2AE6897F" w14:textId="30DB2CBE" w:rsidR="00B40011" w:rsidRPr="008321EB" w:rsidRDefault="00B40011" w:rsidP="00B400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1,7%</w:t>
            </w:r>
          </w:p>
        </w:tc>
      </w:tr>
      <w:tr w:rsidR="00B40011" w:rsidRPr="008321EB" w14:paraId="76023ADD" w14:textId="77777777" w:rsidTr="006502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3" w:type="dxa"/>
            <w:shd w:val="clear" w:color="auto" w:fill="8496B0" w:themeFill="text2" w:themeFillTint="99"/>
            <w:vAlign w:val="bottom"/>
            <w:hideMark/>
          </w:tcPr>
          <w:p w14:paraId="4579CE5C" w14:textId="00301714" w:rsidR="00B40011" w:rsidRPr="00B40011" w:rsidRDefault="00B40011" w:rsidP="00B40011">
            <w:pPr>
              <w:rPr>
                <w:rFonts w:ascii="Open Sans" w:eastAsia="Times New Roman" w:hAnsi="Open Sans" w:cs="Open Sans"/>
                <w:b w:val="0"/>
                <w:bCs w:val="0"/>
                <w:color w:val="FFFFFF" w:themeColor="background1"/>
                <w:sz w:val="22"/>
                <w:szCs w:val="22"/>
                <w:lang w:val="es-ES" w:eastAsia="es-ES"/>
              </w:rPr>
            </w:pPr>
            <w:r w:rsidRPr="00B40011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lastRenderedPageBreak/>
              <w:t>Extremadura</w:t>
            </w:r>
          </w:p>
        </w:tc>
        <w:tc>
          <w:tcPr>
            <w:tcW w:w="2135" w:type="dxa"/>
            <w:shd w:val="clear" w:color="auto" w:fill="auto"/>
            <w:vAlign w:val="bottom"/>
          </w:tcPr>
          <w:p w14:paraId="32CD7823" w14:textId="04C01C1C" w:rsidR="00B40011" w:rsidRPr="008321EB" w:rsidRDefault="00B40011" w:rsidP="00B400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9C0006"/>
                <w:sz w:val="22"/>
                <w:szCs w:val="22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59,49 €</w:t>
            </w:r>
          </w:p>
        </w:tc>
        <w:tc>
          <w:tcPr>
            <w:tcW w:w="2135" w:type="dxa"/>
            <w:shd w:val="clear" w:color="auto" w:fill="auto"/>
            <w:noWrap/>
            <w:vAlign w:val="bottom"/>
            <w:hideMark/>
          </w:tcPr>
          <w:p w14:paraId="15F376E4" w14:textId="6344FBF2" w:rsidR="00B40011" w:rsidRPr="008321EB" w:rsidRDefault="00B40011" w:rsidP="00B400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9C0006"/>
                <w:sz w:val="22"/>
                <w:szCs w:val="22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60,09 €</w:t>
            </w:r>
          </w:p>
        </w:tc>
        <w:tc>
          <w:tcPr>
            <w:tcW w:w="2009" w:type="dxa"/>
            <w:shd w:val="clear" w:color="auto" w:fill="auto"/>
            <w:noWrap/>
            <w:vAlign w:val="bottom"/>
            <w:hideMark/>
          </w:tcPr>
          <w:p w14:paraId="3824C765" w14:textId="34C738C1" w:rsidR="00B40011" w:rsidRPr="008321EB" w:rsidRDefault="00B40011" w:rsidP="00B400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1,0%</w:t>
            </w:r>
          </w:p>
        </w:tc>
      </w:tr>
      <w:tr w:rsidR="00B40011" w:rsidRPr="008321EB" w14:paraId="283A32ED" w14:textId="77777777" w:rsidTr="0065027B">
        <w:trPr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3" w:type="dxa"/>
            <w:shd w:val="clear" w:color="auto" w:fill="8496B0" w:themeFill="text2" w:themeFillTint="99"/>
            <w:vAlign w:val="bottom"/>
            <w:hideMark/>
          </w:tcPr>
          <w:p w14:paraId="4E9933EF" w14:textId="1251175B" w:rsidR="00B40011" w:rsidRPr="00B40011" w:rsidRDefault="00B40011" w:rsidP="00B40011">
            <w:pPr>
              <w:rPr>
                <w:rFonts w:ascii="Open Sans" w:eastAsia="Times New Roman" w:hAnsi="Open Sans" w:cs="Open Sans"/>
                <w:b w:val="0"/>
                <w:bCs w:val="0"/>
                <w:color w:val="FFFFFF" w:themeColor="background1"/>
                <w:sz w:val="22"/>
                <w:szCs w:val="22"/>
                <w:lang w:val="es-ES" w:eastAsia="es-ES"/>
              </w:rPr>
            </w:pPr>
            <w:r w:rsidRPr="00B40011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La Rioja</w:t>
            </w:r>
          </w:p>
        </w:tc>
        <w:tc>
          <w:tcPr>
            <w:tcW w:w="2135" w:type="dxa"/>
            <w:shd w:val="clear" w:color="auto" w:fill="D5DCE4" w:themeFill="text2" w:themeFillTint="33"/>
            <w:vAlign w:val="bottom"/>
          </w:tcPr>
          <w:p w14:paraId="3A952743" w14:textId="6A12166C" w:rsidR="00B40011" w:rsidRPr="008321EB" w:rsidRDefault="00B40011" w:rsidP="00B400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61,02 €</w:t>
            </w:r>
          </w:p>
        </w:tc>
        <w:tc>
          <w:tcPr>
            <w:tcW w:w="2135" w:type="dxa"/>
            <w:shd w:val="clear" w:color="auto" w:fill="D5DCE4" w:themeFill="text2" w:themeFillTint="33"/>
            <w:noWrap/>
            <w:vAlign w:val="bottom"/>
            <w:hideMark/>
          </w:tcPr>
          <w:p w14:paraId="13D4CEDD" w14:textId="5182A8A4" w:rsidR="00B40011" w:rsidRPr="008321EB" w:rsidRDefault="00B40011" w:rsidP="00B400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61,33 €</w:t>
            </w:r>
          </w:p>
        </w:tc>
        <w:tc>
          <w:tcPr>
            <w:tcW w:w="2009" w:type="dxa"/>
            <w:shd w:val="clear" w:color="auto" w:fill="D5DCE4" w:themeFill="text2" w:themeFillTint="33"/>
            <w:noWrap/>
            <w:vAlign w:val="bottom"/>
            <w:hideMark/>
          </w:tcPr>
          <w:p w14:paraId="6610A942" w14:textId="71CD6F6A" w:rsidR="00B40011" w:rsidRPr="008321EB" w:rsidRDefault="00B40011" w:rsidP="00B400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0,5%</w:t>
            </w:r>
          </w:p>
        </w:tc>
      </w:tr>
      <w:tr w:rsidR="00B40011" w:rsidRPr="008321EB" w14:paraId="55AFF461" w14:textId="77777777" w:rsidTr="006502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3" w:type="dxa"/>
            <w:shd w:val="clear" w:color="auto" w:fill="8496B0" w:themeFill="text2" w:themeFillTint="99"/>
            <w:vAlign w:val="bottom"/>
            <w:hideMark/>
          </w:tcPr>
          <w:p w14:paraId="5BC081CB" w14:textId="491638A9" w:rsidR="00B40011" w:rsidRPr="00B40011" w:rsidRDefault="00B40011" w:rsidP="00B40011">
            <w:pPr>
              <w:rPr>
                <w:rFonts w:ascii="Open Sans" w:eastAsia="Times New Roman" w:hAnsi="Open Sans" w:cs="Open Sans"/>
                <w:b w:val="0"/>
                <w:bCs w:val="0"/>
                <w:color w:val="FFFFFF" w:themeColor="background1"/>
                <w:sz w:val="22"/>
                <w:szCs w:val="22"/>
                <w:lang w:val="es-ES" w:eastAsia="es-ES"/>
              </w:rPr>
            </w:pPr>
            <w:r w:rsidRPr="00B40011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Navarra</w:t>
            </w:r>
          </w:p>
        </w:tc>
        <w:tc>
          <w:tcPr>
            <w:tcW w:w="2135" w:type="dxa"/>
            <w:shd w:val="clear" w:color="auto" w:fill="auto"/>
            <w:vAlign w:val="bottom"/>
          </w:tcPr>
          <w:p w14:paraId="0D9EEF56" w14:textId="54EB8B3F" w:rsidR="00B40011" w:rsidRPr="008321EB" w:rsidRDefault="00B40011" w:rsidP="00B400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59,03 €</w:t>
            </w:r>
          </w:p>
        </w:tc>
        <w:tc>
          <w:tcPr>
            <w:tcW w:w="2135" w:type="dxa"/>
            <w:shd w:val="clear" w:color="auto" w:fill="auto"/>
            <w:noWrap/>
            <w:vAlign w:val="bottom"/>
            <w:hideMark/>
          </w:tcPr>
          <w:p w14:paraId="4DDD8D47" w14:textId="0B67983E" w:rsidR="00B40011" w:rsidRPr="008321EB" w:rsidRDefault="00B40011" w:rsidP="00B400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59,17 €</w:t>
            </w:r>
          </w:p>
        </w:tc>
        <w:tc>
          <w:tcPr>
            <w:tcW w:w="2009" w:type="dxa"/>
            <w:shd w:val="clear" w:color="auto" w:fill="auto"/>
            <w:noWrap/>
            <w:vAlign w:val="bottom"/>
            <w:hideMark/>
          </w:tcPr>
          <w:p w14:paraId="4781B2AA" w14:textId="3AD19D7D" w:rsidR="00B40011" w:rsidRPr="008321EB" w:rsidRDefault="00B40011" w:rsidP="00B400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0,2%</w:t>
            </w:r>
          </w:p>
        </w:tc>
      </w:tr>
      <w:tr w:rsidR="00B40011" w:rsidRPr="008321EB" w14:paraId="5D61F228" w14:textId="77777777" w:rsidTr="0065027B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3" w:type="dxa"/>
            <w:shd w:val="clear" w:color="auto" w:fill="8496B0" w:themeFill="text2" w:themeFillTint="99"/>
            <w:vAlign w:val="bottom"/>
            <w:hideMark/>
          </w:tcPr>
          <w:p w14:paraId="5A3F1829" w14:textId="3432A30E" w:rsidR="00B40011" w:rsidRPr="00B40011" w:rsidRDefault="00B40011" w:rsidP="00B40011">
            <w:pPr>
              <w:rPr>
                <w:rFonts w:ascii="Open Sans" w:eastAsia="Times New Roman" w:hAnsi="Open Sans" w:cs="Open Sans"/>
                <w:b w:val="0"/>
                <w:bCs w:val="0"/>
                <w:color w:val="FFFFFF" w:themeColor="background1"/>
                <w:sz w:val="22"/>
                <w:szCs w:val="22"/>
                <w:lang w:val="es-ES" w:eastAsia="es-ES"/>
              </w:rPr>
            </w:pPr>
            <w:r w:rsidRPr="00B40011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Cataluña</w:t>
            </w:r>
          </w:p>
        </w:tc>
        <w:tc>
          <w:tcPr>
            <w:tcW w:w="2135" w:type="dxa"/>
            <w:shd w:val="clear" w:color="auto" w:fill="D5DCE4" w:themeFill="text2" w:themeFillTint="33"/>
            <w:vAlign w:val="bottom"/>
          </w:tcPr>
          <w:p w14:paraId="188D0E2D" w14:textId="0DB3EB05" w:rsidR="00B40011" w:rsidRPr="008321EB" w:rsidRDefault="00B40011" w:rsidP="00B400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9C0006"/>
                <w:sz w:val="22"/>
                <w:szCs w:val="22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80,59 €</w:t>
            </w:r>
          </w:p>
        </w:tc>
        <w:tc>
          <w:tcPr>
            <w:tcW w:w="2135" w:type="dxa"/>
            <w:shd w:val="clear" w:color="auto" w:fill="D5DCE4" w:themeFill="text2" w:themeFillTint="33"/>
            <w:noWrap/>
            <w:vAlign w:val="bottom"/>
            <w:hideMark/>
          </w:tcPr>
          <w:p w14:paraId="1C2D2EA7" w14:textId="5A8190E6" w:rsidR="00B40011" w:rsidRPr="008321EB" w:rsidRDefault="00B40011" w:rsidP="00B400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9C0006"/>
                <w:sz w:val="22"/>
                <w:szCs w:val="22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80,66 €</w:t>
            </w:r>
          </w:p>
        </w:tc>
        <w:tc>
          <w:tcPr>
            <w:tcW w:w="2009" w:type="dxa"/>
            <w:shd w:val="clear" w:color="auto" w:fill="D5DCE4" w:themeFill="text2" w:themeFillTint="33"/>
            <w:noWrap/>
            <w:vAlign w:val="bottom"/>
            <w:hideMark/>
          </w:tcPr>
          <w:p w14:paraId="0C636D3A" w14:textId="0220A4C3" w:rsidR="00B40011" w:rsidRPr="008321EB" w:rsidRDefault="00B40011" w:rsidP="00B400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0,1%</w:t>
            </w:r>
          </w:p>
        </w:tc>
      </w:tr>
      <w:tr w:rsidR="00B40011" w:rsidRPr="008321EB" w14:paraId="2BB6C5D6" w14:textId="77777777" w:rsidTr="006502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3" w:type="dxa"/>
            <w:shd w:val="clear" w:color="auto" w:fill="8496B0" w:themeFill="text2" w:themeFillTint="99"/>
            <w:vAlign w:val="bottom"/>
            <w:hideMark/>
          </w:tcPr>
          <w:p w14:paraId="1193C931" w14:textId="23723176" w:rsidR="00B40011" w:rsidRPr="00B40011" w:rsidRDefault="00B40011" w:rsidP="00B40011">
            <w:pPr>
              <w:rPr>
                <w:rFonts w:ascii="Open Sans" w:eastAsia="Times New Roman" w:hAnsi="Open Sans" w:cs="Open Sans"/>
                <w:b w:val="0"/>
                <w:bCs w:val="0"/>
                <w:color w:val="FFFFFF" w:themeColor="background1"/>
                <w:sz w:val="22"/>
                <w:szCs w:val="22"/>
                <w:lang w:val="es-ES" w:eastAsia="es-ES"/>
              </w:rPr>
            </w:pPr>
            <w:r w:rsidRPr="00B40011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Madrid</w:t>
            </w:r>
          </w:p>
        </w:tc>
        <w:tc>
          <w:tcPr>
            <w:tcW w:w="2135" w:type="dxa"/>
            <w:shd w:val="clear" w:color="auto" w:fill="auto"/>
            <w:vAlign w:val="bottom"/>
          </w:tcPr>
          <w:p w14:paraId="2F43C4E5" w14:textId="2A3F5BA3" w:rsidR="00B40011" w:rsidRPr="008321EB" w:rsidRDefault="00B40011" w:rsidP="00B400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80,78 €</w:t>
            </w:r>
          </w:p>
        </w:tc>
        <w:tc>
          <w:tcPr>
            <w:tcW w:w="2135" w:type="dxa"/>
            <w:shd w:val="clear" w:color="auto" w:fill="auto"/>
            <w:noWrap/>
            <w:vAlign w:val="bottom"/>
            <w:hideMark/>
          </w:tcPr>
          <w:p w14:paraId="4C40F083" w14:textId="56BAECA3" w:rsidR="00B40011" w:rsidRPr="008321EB" w:rsidRDefault="00B40011" w:rsidP="00B400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80,66 €</w:t>
            </w:r>
          </w:p>
        </w:tc>
        <w:tc>
          <w:tcPr>
            <w:tcW w:w="2009" w:type="dxa"/>
            <w:shd w:val="clear" w:color="auto" w:fill="auto"/>
            <w:noWrap/>
            <w:vAlign w:val="bottom"/>
            <w:hideMark/>
          </w:tcPr>
          <w:p w14:paraId="7257C1E8" w14:textId="488B95CC" w:rsidR="00B40011" w:rsidRPr="008321EB" w:rsidRDefault="00B40011" w:rsidP="00B400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9C0006"/>
                <w:sz w:val="22"/>
                <w:szCs w:val="22"/>
                <w:lang w:val="es-ES" w:eastAsia="es-ES"/>
              </w:rPr>
            </w:pPr>
            <w:r>
              <w:rPr>
                <w:rFonts w:ascii="Open Sans" w:hAnsi="Open Sans" w:cs="Open Sans"/>
                <w:color w:val="9C0006"/>
                <w:sz w:val="22"/>
                <w:szCs w:val="22"/>
              </w:rPr>
              <w:t>-0,1%</w:t>
            </w:r>
          </w:p>
        </w:tc>
      </w:tr>
      <w:tr w:rsidR="00B40011" w:rsidRPr="008321EB" w14:paraId="13650311" w14:textId="77777777" w:rsidTr="0065027B">
        <w:trPr>
          <w:trHeight w:val="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3" w:type="dxa"/>
            <w:shd w:val="clear" w:color="auto" w:fill="8496B0" w:themeFill="text2" w:themeFillTint="99"/>
            <w:vAlign w:val="bottom"/>
            <w:hideMark/>
          </w:tcPr>
          <w:p w14:paraId="1DD07398" w14:textId="2AFAC3D4" w:rsidR="00B40011" w:rsidRPr="00B40011" w:rsidRDefault="00B40011" w:rsidP="00B40011">
            <w:pPr>
              <w:rPr>
                <w:rFonts w:ascii="Open Sans" w:eastAsia="Times New Roman" w:hAnsi="Open Sans" w:cs="Open Sans"/>
                <w:b w:val="0"/>
                <w:bCs w:val="0"/>
                <w:color w:val="FFFFFF" w:themeColor="background1"/>
                <w:sz w:val="22"/>
                <w:szCs w:val="22"/>
                <w:lang w:val="es-ES" w:eastAsia="es-ES"/>
              </w:rPr>
            </w:pPr>
            <w:r w:rsidRPr="00B40011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Aragón</w:t>
            </w:r>
          </w:p>
        </w:tc>
        <w:tc>
          <w:tcPr>
            <w:tcW w:w="2135" w:type="dxa"/>
            <w:shd w:val="clear" w:color="auto" w:fill="D5DCE4" w:themeFill="text2" w:themeFillTint="33"/>
            <w:vAlign w:val="bottom"/>
          </w:tcPr>
          <w:p w14:paraId="5B1F8BB7" w14:textId="2E5973CB" w:rsidR="00B40011" w:rsidRPr="008321EB" w:rsidRDefault="00B40011" w:rsidP="00B400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9C0006"/>
                <w:sz w:val="22"/>
                <w:szCs w:val="22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65,63 €</w:t>
            </w:r>
          </w:p>
        </w:tc>
        <w:tc>
          <w:tcPr>
            <w:tcW w:w="2135" w:type="dxa"/>
            <w:shd w:val="clear" w:color="auto" w:fill="D5DCE4" w:themeFill="text2" w:themeFillTint="33"/>
            <w:noWrap/>
            <w:vAlign w:val="bottom"/>
            <w:hideMark/>
          </w:tcPr>
          <w:p w14:paraId="55A9BBFB" w14:textId="1DB510C6" w:rsidR="00B40011" w:rsidRPr="008321EB" w:rsidRDefault="00B40011" w:rsidP="00B400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9C0006"/>
                <w:sz w:val="22"/>
                <w:szCs w:val="22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64,44 €</w:t>
            </w:r>
          </w:p>
        </w:tc>
        <w:tc>
          <w:tcPr>
            <w:tcW w:w="2009" w:type="dxa"/>
            <w:shd w:val="clear" w:color="auto" w:fill="D5DCE4" w:themeFill="text2" w:themeFillTint="33"/>
            <w:noWrap/>
            <w:vAlign w:val="bottom"/>
            <w:hideMark/>
          </w:tcPr>
          <w:p w14:paraId="6B9D7A2D" w14:textId="24E2FD39" w:rsidR="00B40011" w:rsidRPr="008321EB" w:rsidRDefault="00B40011" w:rsidP="00B400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9C0006"/>
                <w:sz w:val="22"/>
                <w:szCs w:val="22"/>
                <w:lang w:val="es-ES" w:eastAsia="es-ES"/>
              </w:rPr>
            </w:pPr>
            <w:r>
              <w:rPr>
                <w:rFonts w:ascii="Open Sans" w:hAnsi="Open Sans" w:cs="Open Sans"/>
                <w:color w:val="9C0006"/>
                <w:sz w:val="22"/>
                <w:szCs w:val="22"/>
              </w:rPr>
              <w:t>-1,8%</w:t>
            </w:r>
          </w:p>
        </w:tc>
      </w:tr>
      <w:tr w:rsidR="00B40011" w:rsidRPr="008321EB" w14:paraId="35A39FC0" w14:textId="77777777" w:rsidTr="006502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3" w:type="dxa"/>
            <w:shd w:val="clear" w:color="auto" w:fill="8496B0" w:themeFill="text2" w:themeFillTint="99"/>
            <w:vAlign w:val="bottom"/>
            <w:hideMark/>
          </w:tcPr>
          <w:p w14:paraId="25335A40" w14:textId="77D3A2AD" w:rsidR="00B40011" w:rsidRPr="00B40011" w:rsidRDefault="00B40011" w:rsidP="00B40011">
            <w:pPr>
              <w:rPr>
                <w:rFonts w:ascii="Open Sans" w:eastAsia="Times New Roman" w:hAnsi="Open Sans" w:cs="Open Sans"/>
                <w:b w:val="0"/>
                <w:bCs w:val="0"/>
                <w:color w:val="FFFFFF" w:themeColor="background1"/>
                <w:sz w:val="22"/>
                <w:szCs w:val="22"/>
                <w:lang w:val="es-ES" w:eastAsia="es-ES"/>
              </w:rPr>
            </w:pPr>
            <w:r w:rsidRPr="00B40011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País Vasco</w:t>
            </w:r>
          </w:p>
        </w:tc>
        <w:tc>
          <w:tcPr>
            <w:tcW w:w="2135" w:type="dxa"/>
            <w:shd w:val="clear" w:color="auto" w:fill="auto"/>
            <w:vAlign w:val="bottom"/>
          </w:tcPr>
          <w:p w14:paraId="7FF45044" w14:textId="37B64ADD" w:rsidR="00B40011" w:rsidRPr="008321EB" w:rsidRDefault="00B40011" w:rsidP="00B400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9C0006"/>
                <w:sz w:val="22"/>
                <w:szCs w:val="22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90,29 €</w:t>
            </w:r>
          </w:p>
        </w:tc>
        <w:tc>
          <w:tcPr>
            <w:tcW w:w="2135" w:type="dxa"/>
            <w:shd w:val="clear" w:color="auto" w:fill="auto"/>
            <w:noWrap/>
            <w:vAlign w:val="bottom"/>
            <w:hideMark/>
          </w:tcPr>
          <w:p w14:paraId="08E9BBC0" w14:textId="5337B340" w:rsidR="00B40011" w:rsidRPr="008321EB" w:rsidRDefault="00B40011" w:rsidP="00B400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9C0006"/>
                <w:sz w:val="22"/>
                <w:szCs w:val="22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88,00 €</w:t>
            </w:r>
          </w:p>
        </w:tc>
        <w:tc>
          <w:tcPr>
            <w:tcW w:w="2009" w:type="dxa"/>
            <w:shd w:val="clear" w:color="auto" w:fill="auto"/>
            <w:noWrap/>
            <w:vAlign w:val="bottom"/>
            <w:hideMark/>
          </w:tcPr>
          <w:p w14:paraId="09D46E99" w14:textId="5ACE9602" w:rsidR="00B40011" w:rsidRPr="008321EB" w:rsidRDefault="00B40011" w:rsidP="00B400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9C0006"/>
                <w:sz w:val="22"/>
                <w:szCs w:val="22"/>
                <w:lang w:val="es-ES" w:eastAsia="es-ES"/>
              </w:rPr>
            </w:pPr>
            <w:r>
              <w:rPr>
                <w:rFonts w:ascii="Open Sans" w:hAnsi="Open Sans" w:cs="Open Sans"/>
                <w:color w:val="9C0006"/>
                <w:sz w:val="22"/>
                <w:szCs w:val="22"/>
              </w:rPr>
              <w:t>-2,5%</w:t>
            </w:r>
          </w:p>
        </w:tc>
      </w:tr>
      <w:tr w:rsidR="00B40011" w:rsidRPr="008321EB" w14:paraId="72462309" w14:textId="77777777" w:rsidTr="0065027B">
        <w:trPr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3" w:type="dxa"/>
            <w:shd w:val="clear" w:color="auto" w:fill="8496B0" w:themeFill="text2" w:themeFillTint="99"/>
            <w:vAlign w:val="bottom"/>
            <w:hideMark/>
          </w:tcPr>
          <w:p w14:paraId="61345D1E" w14:textId="6F702320" w:rsidR="00B40011" w:rsidRPr="00B40011" w:rsidRDefault="00B40011" w:rsidP="00B40011">
            <w:pPr>
              <w:rPr>
                <w:rFonts w:ascii="Open Sans" w:eastAsia="Times New Roman" w:hAnsi="Open Sans" w:cs="Open Sans"/>
                <w:b w:val="0"/>
                <w:bCs w:val="0"/>
                <w:color w:val="FFFFFF" w:themeColor="background1"/>
                <w:sz w:val="22"/>
                <w:szCs w:val="22"/>
                <w:lang w:val="es-ES" w:eastAsia="es-ES"/>
              </w:rPr>
            </w:pPr>
            <w:r w:rsidRPr="00B40011">
              <w:rPr>
                <w:rFonts w:ascii="Open Sans" w:hAnsi="Open Sans" w:cs="Open Sans"/>
                <w:b w:val="0"/>
                <w:bCs w:val="0"/>
                <w:color w:val="FFFFFF" w:themeColor="background1"/>
                <w:sz w:val="22"/>
                <w:szCs w:val="22"/>
              </w:rPr>
              <w:t>España</w:t>
            </w:r>
          </w:p>
        </w:tc>
        <w:tc>
          <w:tcPr>
            <w:tcW w:w="2135" w:type="dxa"/>
            <w:shd w:val="clear" w:color="auto" w:fill="D5DCE4" w:themeFill="text2" w:themeFillTint="33"/>
            <w:vAlign w:val="bottom"/>
          </w:tcPr>
          <w:p w14:paraId="6726727A" w14:textId="490565DB" w:rsidR="00B40011" w:rsidRPr="008321EB" w:rsidRDefault="00B40011" w:rsidP="00B400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74,70 €</w:t>
            </w:r>
          </w:p>
        </w:tc>
        <w:tc>
          <w:tcPr>
            <w:tcW w:w="2135" w:type="dxa"/>
            <w:shd w:val="clear" w:color="auto" w:fill="D5DCE4" w:themeFill="text2" w:themeFillTint="33"/>
            <w:noWrap/>
            <w:vAlign w:val="bottom"/>
            <w:hideMark/>
          </w:tcPr>
          <w:p w14:paraId="64543E6A" w14:textId="6EC2BCA3" w:rsidR="00B40011" w:rsidRPr="008321EB" w:rsidRDefault="00B40011" w:rsidP="00B400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74,95 €</w:t>
            </w:r>
          </w:p>
        </w:tc>
        <w:tc>
          <w:tcPr>
            <w:tcW w:w="2009" w:type="dxa"/>
            <w:shd w:val="clear" w:color="auto" w:fill="D5DCE4" w:themeFill="text2" w:themeFillTint="33"/>
            <w:noWrap/>
            <w:vAlign w:val="bottom"/>
            <w:hideMark/>
          </w:tcPr>
          <w:p w14:paraId="0EEB41C0" w14:textId="4CB5ED6C" w:rsidR="00B40011" w:rsidRPr="008321EB" w:rsidRDefault="00B40011" w:rsidP="00B400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b/>
                <w:bCs/>
                <w:color w:val="9C0006"/>
                <w:sz w:val="22"/>
                <w:szCs w:val="22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0,3%</w:t>
            </w:r>
          </w:p>
        </w:tc>
      </w:tr>
    </w:tbl>
    <w:p w14:paraId="38EA9CD9" w14:textId="77777777" w:rsidR="009F72D8" w:rsidRDefault="009F72D8" w:rsidP="00E07AE5">
      <w:pPr>
        <w:pStyle w:val="Prrafodelista"/>
        <w:spacing w:line="276" w:lineRule="auto"/>
        <w:ind w:left="0" w:right="-574"/>
        <w:jc w:val="center"/>
        <w:rPr>
          <w:rFonts w:ascii="National" w:hAnsi="National"/>
          <w:b/>
          <w:bCs/>
          <w:iCs/>
          <w:color w:val="303AB2"/>
          <w:sz w:val="28"/>
          <w:szCs w:val="160"/>
          <w:lang w:val="es-ES"/>
        </w:rPr>
      </w:pPr>
    </w:p>
    <w:p w14:paraId="1AED17D6" w14:textId="298BBBEE" w:rsidR="003F535B" w:rsidRDefault="00D41C3C" w:rsidP="00782B87">
      <w:pPr>
        <w:pStyle w:val="NormalWeb"/>
        <w:shd w:val="clear" w:color="auto" w:fill="FFFFFF"/>
        <w:spacing w:after="225" w:line="276" w:lineRule="auto"/>
        <w:ind w:right="-574"/>
        <w:jc w:val="both"/>
        <w:rPr>
          <w:rFonts w:ascii="National" w:eastAsiaTheme="minorHAnsi" w:hAnsi="National" w:cstheme="minorBidi"/>
          <w:b/>
          <w:bCs/>
          <w:iCs/>
          <w:color w:val="303AB2"/>
          <w:sz w:val="30"/>
          <w:szCs w:val="180"/>
          <w:lang w:eastAsia="en-US"/>
        </w:rPr>
      </w:pPr>
      <w:r>
        <w:rPr>
          <w:rFonts w:ascii="National" w:eastAsiaTheme="minorHAnsi" w:hAnsi="National" w:cstheme="minorBidi"/>
          <w:b/>
          <w:bCs/>
          <w:iCs/>
          <w:color w:val="303AB2"/>
          <w:sz w:val="30"/>
          <w:szCs w:val="180"/>
          <w:lang w:eastAsia="en-US"/>
        </w:rPr>
        <w:t>Los</w:t>
      </w:r>
      <w:r w:rsidR="003F535B" w:rsidRPr="00D41C3C">
        <w:rPr>
          <w:rFonts w:ascii="National" w:eastAsiaTheme="minorHAnsi" w:hAnsi="National" w:cstheme="minorBidi"/>
          <w:b/>
          <w:bCs/>
          <w:iCs/>
          <w:color w:val="303AB2"/>
          <w:sz w:val="30"/>
          <w:szCs w:val="180"/>
          <w:lang w:eastAsia="en-US"/>
        </w:rPr>
        <w:t xml:space="preserve"> </w:t>
      </w:r>
      <w:r w:rsidR="00D463B8">
        <w:rPr>
          <w:rFonts w:ascii="National" w:eastAsiaTheme="minorHAnsi" w:hAnsi="National" w:cstheme="minorBidi"/>
          <w:b/>
          <w:bCs/>
          <w:iCs/>
          <w:color w:val="303AB2"/>
          <w:sz w:val="30"/>
          <w:szCs w:val="180"/>
          <w:lang w:eastAsia="en-US"/>
        </w:rPr>
        <w:t xml:space="preserve">asturianos y </w:t>
      </w:r>
      <w:r w:rsidR="00502597">
        <w:rPr>
          <w:rFonts w:ascii="National" w:eastAsiaTheme="minorHAnsi" w:hAnsi="National" w:cstheme="minorBidi"/>
          <w:b/>
          <w:bCs/>
          <w:iCs/>
          <w:color w:val="303AB2"/>
          <w:sz w:val="30"/>
          <w:szCs w:val="180"/>
          <w:lang w:eastAsia="en-US"/>
        </w:rPr>
        <w:t>baleares</w:t>
      </w:r>
      <w:r w:rsidR="00403021">
        <w:rPr>
          <w:rFonts w:ascii="National" w:eastAsiaTheme="minorHAnsi" w:hAnsi="National" w:cstheme="minorBidi"/>
          <w:b/>
          <w:bCs/>
          <w:iCs/>
          <w:color w:val="303AB2"/>
          <w:sz w:val="30"/>
          <w:szCs w:val="180"/>
          <w:lang w:eastAsia="en-US"/>
        </w:rPr>
        <w:t xml:space="preserve"> </w:t>
      </w:r>
      <w:r w:rsidRPr="00D41C3C">
        <w:rPr>
          <w:rFonts w:ascii="National" w:eastAsiaTheme="minorHAnsi" w:hAnsi="National" w:cstheme="minorBidi"/>
          <w:b/>
          <w:bCs/>
          <w:iCs/>
          <w:color w:val="303AB2"/>
          <w:sz w:val="30"/>
          <w:szCs w:val="180"/>
          <w:lang w:eastAsia="en-US"/>
        </w:rPr>
        <w:t xml:space="preserve">son los más </w:t>
      </w:r>
      <w:r w:rsidR="00157BA7">
        <w:rPr>
          <w:rFonts w:ascii="National" w:eastAsiaTheme="minorHAnsi" w:hAnsi="National" w:cstheme="minorBidi"/>
          <w:b/>
          <w:bCs/>
          <w:iCs/>
          <w:color w:val="303AB2"/>
          <w:sz w:val="30"/>
          <w:szCs w:val="180"/>
          <w:lang w:eastAsia="en-US"/>
        </w:rPr>
        <w:t>notan</w:t>
      </w:r>
      <w:r w:rsidRPr="00D41C3C">
        <w:rPr>
          <w:rFonts w:ascii="National" w:eastAsiaTheme="minorHAnsi" w:hAnsi="National" w:cstheme="minorBidi"/>
          <w:b/>
          <w:bCs/>
          <w:iCs/>
          <w:color w:val="303AB2"/>
          <w:sz w:val="30"/>
          <w:szCs w:val="180"/>
          <w:lang w:eastAsia="en-US"/>
        </w:rPr>
        <w:t xml:space="preserve"> </w:t>
      </w:r>
      <w:r w:rsidR="00BF065E">
        <w:rPr>
          <w:rFonts w:ascii="National" w:eastAsiaTheme="minorHAnsi" w:hAnsi="National" w:cstheme="minorBidi"/>
          <w:b/>
          <w:bCs/>
          <w:iCs/>
          <w:color w:val="303AB2"/>
          <w:sz w:val="30"/>
          <w:szCs w:val="180"/>
          <w:lang w:eastAsia="en-US"/>
        </w:rPr>
        <w:t xml:space="preserve">la </w:t>
      </w:r>
      <w:r w:rsidR="00283B5D">
        <w:rPr>
          <w:rFonts w:ascii="National" w:eastAsiaTheme="minorHAnsi" w:hAnsi="National" w:cstheme="minorBidi"/>
          <w:b/>
          <w:bCs/>
          <w:iCs/>
          <w:color w:val="303AB2"/>
          <w:sz w:val="30"/>
          <w:szCs w:val="180"/>
          <w:lang w:eastAsia="en-US"/>
        </w:rPr>
        <w:t>subida</w:t>
      </w:r>
      <w:r w:rsidR="00BF065E">
        <w:rPr>
          <w:rFonts w:ascii="National" w:eastAsiaTheme="minorHAnsi" w:hAnsi="National" w:cstheme="minorBidi"/>
          <w:b/>
          <w:bCs/>
          <w:iCs/>
          <w:color w:val="303AB2"/>
          <w:sz w:val="30"/>
          <w:szCs w:val="180"/>
          <w:lang w:eastAsia="en-US"/>
        </w:rPr>
        <w:t xml:space="preserve"> de </w:t>
      </w:r>
      <w:r w:rsidR="00283B5D">
        <w:rPr>
          <w:rFonts w:ascii="National" w:eastAsiaTheme="minorHAnsi" w:hAnsi="National" w:cstheme="minorBidi"/>
          <w:b/>
          <w:bCs/>
          <w:iCs/>
          <w:color w:val="303AB2"/>
          <w:sz w:val="30"/>
          <w:szCs w:val="180"/>
          <w:lang w:eastAsia="en-US"/>
        </w:rPr>
        <w:t xml:space="preserve">los </w:t>
      </w:r>
      <w:r w:rsidR="00BF065E">
        <w:rPr>
          <w:rFonts w:ascii="National" w:eastAsiaTheme="minorHAnsi" w:hAnsi="National" w:cstheme="minorBidi"/>
          <w:b/>
          <w:bCs/>
          <w:iCs/>
          <w:color w:val="303AB2"/>
          <w:sz w:val="30"/>
          <w:szCs w:val="180"/>
          <w:lang w:eastAsia="en-US"/>
        </w:rPr>
        <w:t xml:space="preserve">precios </w:t>
      </w:r>
      <w:r w:rsidR="00283B5D">
        <w:rPr>
          <w:rFonts w:ascii="National" w:eastAsiaTheme="minorHAnsi" w:hAnsi="National" w:cstheme="minorBidi"/>
          <w:b/>
          <w:bCs/>
          <w:iCs/>
          <w:color w:val="303AB2"/>
          <w:sz w:val="30"/>
          <w:szCs w:val="180"/>
          <w:lang w:eastAsia="en-US"/>
        </w:rPr>
        <w:t>del último año</w:t>
      </w:r>
    </w:p>
    <w:bookmarkEnd w:id="0"/>
    <w:p w14:paraId="4ED61E4B" w14:textId="6E75B92B" w:rsidR="00F22751" w:rsidRDefault="004B0602" w:rsidP="00F22751">
      <w:pPr>
        <w:pStyle w:val="NormalWeb"/>
        <w:shd w:val="clear" w:color="auto" w:fill="FFFFFF"/>
        <w:spacing w:after="225" w:line="276" w:lineRule="auto"/>
        <w:ind w:right="-574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color w:val="000000"/>
          <w:sz w:val="22"/>
          <w:szCs w:val="22"/>
        </w:rPr>
        <w:t>E</w:t>
      </w:r>
      <w:r w:rsidR="001A1AB2">
        <w:rPr>
          <w:rFonts w:ascii="Open Sans" w:hAnsi="Open Sans" w:cs="Open Sans"/>
          <w:color w:val="000000"/>
          <w:sz w:val="22"/>
          <w:szCs w:val="22"/>
        </w:rPr>
        <w:t>l precio medio de los garajes ha subido en 1</w:t>
      </w:r>
      <w:r w:rsidR="00F22751">
        <w:rPr>
          <w:rFonts w:ascii="Open Sans" w:hAnsi="Open Sans" w:cs="Open Sans"/>
          <w:color w:val="000000"/>
          <w:sz w:val="22"/>
          <w:szCs w:val="22"/>
        </w:rPr>
        <w:t>4</w:t>
      </w:r>
      <w:r w:rsidR="001A1AB2">
        <w:rPr>
          <w:rFonts w:ascii="Open Sans" w:hAnsi="Open Sans" w:cs="Open Sans"/>
          <w:color w:val="000000"/>
          <w:sz w:val="22"/>
          <w:szCs w:val="22"/>
        </w:rPr>
        <w:t xml:space="preserve"> comunidades autónomas respecto al año anterior, según el</w:t>
      </w:r>
      <w:r w:rsidR="001A1AB2" w:rsidRPr="00132340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1A1AB2">
        <w:rPr>
          <w:rFonts w:ascii="Open Sans" w:hAnsi="Open Sans" w:cs="Open Sans"/>
          <w:color w:val="000000"/>
          <w:sz w:val="22"/>
          <w:szCs w:val="22"/>
        </w:rPr>
        <w:t>estudio</w:t>
      </w:r>
      <w:r w:rsidR="001A1AB2" w:rsidRPr="00132340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1A1AB2">
        <w:rPr>
          <w:rFonts w:ascii="Open Sans" w:hAnsi="Open Sans" w:cs="Open Sans"/>
          <w:color w:val="000000"/>
          <w:sz w:val="22"/>
          <w:szCs w:val="22"/>
        </w:rPr>
        <w:t xml:space="preserve">de </w:t>
      </w:r>
      <w:hyperlink r:id="rId14" w:history="1">
        <w:r w:rsidR="001A1AB2" w:rsidRPr="00132340">
          <w:rPr>
            <w:rStyle w:val="Hipervnculo"/>
            <w:rFonts w:ascii="Open Sans" w:hAnsi="Open Sans" w:cs="Open Sans"/>
            <w:sz w:val="22"/>
            <w:szCs w:val="22"/>
          </w:rPr>
          <w:t>Fotocasa</w:t>
        </w:r>
      </w:hyperlink>
      <w:r w:rsidR="00F22751">
        <w:rPr>
          <w:rFonts w:ascii="Open Sans" w:hAnsi="Open Sans" w:cs="Open Sans"/>
          <w:sz w:val="22"/>
          <w:szCs w:val="22"/>
        </w:rPr>
        <w:t xml:space="preserve"> y son: </w:t>
      </w:r>
      <w:r w:rsidR="00F22751" w:rsidRPr="00F22751">
        <w:rPr>
          <w:rFonts w:ascii="Open Sans" w:hAnsi="Open Sans" w:cs="Open Sans"/>
          <w:sz w:val="22"/>
          <w:szCs w:val="22"/>
        </w:rPr>
        <w:t>Asturias</w:t>
      </w:r>
      <w:r w:rsidR="00F22751">
        <w:rPr>
          <w:rFonts w:ascii="Open Sans" w:hAnsi="Open Sans" w:cs="Open Sans"/>
          <w:sz w:val="22"/>
          <w:szCs w:val="22"/>
        </w:rPr>
        <w:t xml:space="preserve"> (</w:t>
      </w:r>
      <w:r w:rsidR="00F22751" w:rsidRPr="00F22751">
        <w:rPr>
          <w:rFonts w:ascii="Open Sans" w:hAnsi="Open Sans" w:cs="Open Sans"/>
          <w:sz w:val="22"/>
          <w:szCs w:val="22"/>
        </w:rPr>
        <w:t>9,6%</w:t>
      </w:r>
      <w:r w:rsidR="00F22751">
        <w:rPr>
          <w:rFonts w:ascii="Open Sans" w:hAnsi="Open Sans" w:cs="Open Sans"/>
          <w:sz w:val="22"/>
          <w:szCs w:val="22"/>
        </w:rPr>
        <w:t xml:space="preserve">), </w:t>
      </w:r>
      <w:r w:rsidR="00F22751" w:rsidRPr="00F22751">
        <w:rPr>
          <w:rFonts w:ascii="Open Sans" w:hAnsi="Open Sans" w:cs="Open Sans"/>
          <w:sz w:val="22"/>
          <w:szCs w:val="22"/>
        </w:rPr>
        <w:t>Baleares</w:t>
      </w:r>
      <w:r w:rsidR="00F22751">
        <w:rPr>
          <w:rFonts w:ascii="Open Sans" w:hAnsi="Open Sans" w:cs="Open Sans"/>
          <w:sz w:val="22"/>
          <w:szCs w:val="22"/>
        </w:rPr>
        <w:t xml:space="preserve"> (</w:t>
      </w:r>
      <w:r w:rsidR="00F22751" w:rsidRPr="00F22751">
        <w:rPr>
          <w:rFonts w:ascii="Open Sans" w:hAnsi="Open Sans" w:cs="Open Sans"/>
          <w:sz w:val="22"/>
          <w:szCs w:val="22"/>
        </w:rPr>
        <w:t>6,7%</w:t>
      </w:r>
      <w:r w:rsidR="00F22751">
        <w:rPr>
          <w:rFonts w:ascii="Open Sans" w:hAnsi="Open Sans" w:cs="Open Sans"/>
          <w:sz w:val="22"/>
          <w:szCs w:val="22"/>
        </w:rPr>
        <w:t xml:space="preserve">), </w:t>
      </w:r>
      <w:r w:rsidR="00F22751" w:rsidRPr="00F22751">
        <w:rPr>
          <w:rFonts w:ascii="Open Sans" w:hAnsi="Open Sans" w:cs="Open Sans"/>
          <w:sz w:val="22"/>
          <w:szCs w:val="22"/>
        </w:rPr>
        <w:t>Castilla y León</w:t>
      </w:r>
      <w:r w:rsidR="00F22751">
        <w:rPr>
          <w:rFonts w:ascii="Open Sans" w:hAnsi="Open Sans" w:cs="Open Sans"/>
          <w:sz w:val="22"/>
          <w:szCs w:val="22"/>
        </w:rPr>
        <w:t xml:space="preserve"> (</w:t>
      </w:r>
      <w:r w:rsidR="00F22751" w:rsidRPr="00F22751">
        <w:rPr>
          <w:rFonts w:ascii="Open Sans" w:hAnsi="Open Sans" w:cs="Open Sans"/>
          <w:sz w:val="22"/>
          <w:szCs w:val="22"/>
        </w:rPr>
        <w:t>5,2%</w:t>
      </w:r>
      <w:r w:rsidR="00F22751">
        <w:rPr>
          <w:rFonts w:ascii="Open Sans" w:hAnsi="Open Sans" w:cs="Open Sans"/>
          <w:sz w:val="22"/>
          <w:szCs w:val="22"/>
        </w:rPr>
        <w:t xml:space="preserve">), </w:t>
      </w:r>
      <w:r w:rsidR="00F22751" w:rsidRPr="00F22751">
        <w:rPr>
          <w:rFonts w:ascii="Open Sans" w:hAnsi="Open Sans" w:cs="Open Sans"/>
          <w:sz w:val="22"/>
          <w:szCs w:val="22"/>
        </w:rPr>
        <w:t>Cantabria</w:t>
      </w:r>
      <w:r w:rsidR="00F22751">
        <w:rPr>
          <w:rFonts w:ascii="Open Sans" w:hAnsi="Open Sans" w:cs="Open Sans"/>
          <w:sz w:val="22"/>
          <w:szCs w:val="22"/>
        </w:rPr>
        <w:t xml:space="preserve"> (</w:t>
      </w:r>
      <w:r w:rsidR="00F22751" w:rsidRPr="00F22751">
        <w:rPr>
          <w:rFonts w:ascii="Open Sans" w:hAnsi="Open Sans" w:cs="Open Sans"/>
          <w:sz w:val="22"/>
          <w:szCs w:val="22"/>
        </w:rPr>
        <w:t>4,5%</w:t>
      </w:r>
      <w:r w:rsidR="00F22751">
        <w:rPr>
          <w:rFonts w:ascii="Open Sans" w:hAnsi="Open Sans" w:cs="Open Sans"/>
          <w:sz w:val="22"/>
          <w:szCs w:val="22"/>
        </w:rPr>
        <w:t xml:space="preserve">), </w:t>
      </w:r>
      <w:r w:rsidR="00F22751" w:rsidRPr="00F22751">
        <w:rPr>
          <w:rFonts w:ascii="Open Sans" w:hAnsi="Open Sans" w:cs="Open Sans"/>
          <w:sz w:val="22"/>
          <w:szCs w:val="22"/>
        </w:rPr>
        <w:t>Galicia</w:t>
      </w:r>
      <w:r w:rsidR="00F22751">
        <w:rPr>
          <w:rFonts w:ascii="Open Sans" w:hAnsi="Open Sans" w:cs="Open Sans"/>
          <w:sz w:val="22"/>
          <w:szCs w:val="22"/>
        </w:rPr>
        <w:t xml:space="preserve"> (</w:t>
      </w:r>
      <w:r w:rsidR="00F22751" w:rsidRPr="00F22751">
        <w:rPr>
          <w:rFonts w:ascii="Open Sans" w:hAnsi="Open Sans" w:cs="Open Sans"/>
          <w:sz w:val="22"/>
          <w:szCs w:val="22"/>
        </w:rPr>
        <w:t>4,1%</w:t>
      </w:r>
      <w:r w:rsidR="00F22751">
        <w:rPr>
          <w:rFonts w:ascii="Open Sans" w:hAnsi="Open Sans" w:cs="Open Sans"/>
          <w:sz w:val="22"/>
          <w:szCs w:val="22"/>
        </w:rPr>
        <w:t xml:space="preserve">), </w:t>
      </w:r>
      <w:r w:rsidR="00F22751" w:rsidRPr="00F22751">
        <w:rPr>
          <w:rFonts w:ascii="Open Sans" w:hAnsi="Open Sans" w:cs="Open Sans"/>
          <w:sz w:val="22"/>
          <w:szCs w:val="22"/>
        </w:rPr>
        <w:t>Castilla-La Mancha</w:t>
      </w:r>
      <w:r w:rsidR="00F22751">
        <w:rPr>
          <w:rFonts w:ascii="Open Sans" w:hAnsi="Open Sans" w:cs="Open Sans"/>
          <w:sz w:val="22"/>
          <w:szCs w:val="22"/>
        </w:rPr>
        <w:t xml:space="preserve"> (</w:t>
      </w:r>
      <w:r w:rsidR="00F22751" w:rsidRPr="00F22751">
        <w:rPr>
          <w:rFonts w:ascii="Open Sans" w:hAnsi="Open Sans" w:cs="Open Sans"/>
          <w:sz w:val="22"/>
          <w:szCs w:val="22"/>
        </w:rPr>
        <w:t>3,9%</w:t>
      </w:r>
      <w:r w:rsidR="00F22751">
        <w:rPr>
          <w:rFonts w:ascii="Open Sans" w:hAnsi="Open Sans" w:cs="Open Sans"/>
          <w:sz w:val="22"/>
          <w:szCs w:val="22"/>
        </w:rPr>
        <w:t xml:space="preserve">), </w:t>
      </w:r>
      <w:r w:rsidR="00F22751" w:rsidRPr="00F22751">
        <w:rPr>
          <w:rFonts w:ascii="Open Sans" w:hAnsi="Open Sans" w:cs="Open Sans"/>
          <w:sz w:val="22"/>
          <w:szCs w:val="22"/>
        </w:rPr>
        <w:t>Canarias</w:t>
      </w:r>
      <w:r w:rsidR="00F22751">
        <w:rPr>
          <w:rFonts w:ascii="Open Sans" w:hAnsi="Open Sans" w:cs="Open Sans"/>
          <w:sz w:val="22"/>
          <w:szCs w:val="22"/>
        </w:rPr>
        <w:t xml:space="preserve"> (</w:t>
      </w:r>
      <w:r w:rsidR="00F22751" w:rsidRPr="00F22751">
        <w:rPr>
          <w:rFonts w:ascii="Open Sans" w:hAnsi="Open Sans" w:cs="Open Sans"/>
          <w:sz w:val="22"/>
          <w:szCs w:val="22"/>
        </w:rPr>
        <w:t>3,4%</w:t>
      </w:r>
      <w:r w:rsidR="00F22751">
        <w:rPr>
          <w:rFonts w:ascii="Open Sans" w:hAnsi="Open Sans" w:cs="Open Sans"/>
          <w:sz w:val="22"/>
          <w:szCs w:val="22"/>
        </w:rPr>
        <w:t xml:space="preserve">), </w:t>
      </w:r>
      <w:r w:rsidR="00F22751" w:rsidRPr="00F22751">
        <w:rPr>
          <w:rFonts w:ascii="Open Sans" w:hAnsi="Open Sans" w:cs="Open Sans"/>
          <w:sz w:val="22"/>
          <w:szCs w:val="22"/>
        </w:rPr>
        <w:t>Región de Murcia</w:t>
      </w:r>
      <w:r w:rsidR="00F22751">
        <w:rPr>
          <w:rFonts w:ascii="Open Sans" w:hAnsi="Open Sans" w:cs="Open Sans"/>
          <w:sz w:val="22"/>
          <w:szCs w:val="22"/>
        </w:rPr>
        <w:t xml:space="preserve"> (</w:t>
      </w:r>
      <w:r w:rsidR="00F22751" w:rsidRPr="00F22751">
        <w:rPr>
          <w:rFonts w:ascii="Open Sans" w:hAnsi="Open Sans" w:cs="Open Sans"/>
          <w:sz w:val="22"/>
          <w:szCs w:val="22"/>
        </w:rPr>
        <w:t>2,0%</w:t>
      </w:r>
      <w:r w:rsidR="00F22751">
        <w:rPr>
          <w:rFonts w:ascii="Open Sans" w:hAnsi="Open Sans" w:cs="Open Sans"/>
          <w:sz w:val="22"/>
          <w:szCs w:val="22"/>
        </w:rPr>
        <w:t xml:space="preserve">), </w:t>
      </w:r>
      <w:r w:rsidR="00F22751" w:rsidRPr="00F22751">
        <w:rPr>
          <w:rFonts w:ascii="Open Sans" w:hAnsi="Open Sans" w:cs="Open Sans"/>
          <w:sz w:val="22"/>
          <w:szCs w:val="22"/>
        </w:rPr>
        <w:t>Comunitat Valenciana</w:t>
      </w:r>
      <w:r w:rsidR="00F22751">
        <w:rPr>
          <w:rFonts w:ascii="Open Sans" w:hAnsi="Open Sans" w:cs="Open Sans"/>
          <w:sz w:val="22"/>
          <w:szCs w:val="22"/>
        </w:rPr>
        <w:t xml:space="preserve"> (</w:t>
      </w:r>
      <w:r w:rsidR="00F22751" w:rsidRPr="00F22751">
        <w:rPr>
          <w:rFonts w:ascii="Open Sans" w:hAnsi="Open Sans" w:cs="Open Sans"/>
          <w:sz w:val="22"/>
          <w:szCs w:val="22"/>
        </w:rPr>
        <w:t>1,8%</w:t>
      </w:r>
      <w:r w:rsidR="00F22751">
        <w:rPr>
          <w:rFonts w:ascii="Open Sans" w:hAnsi="Open Sans" w:cs="Open Sans"/>
          <w:sz w:val="22"/>
          <w:szCs w:val="22"/>
        </w:rPr>
        <w:t xml:space="preserve">), </w:t>
      </w:r>
      <w:r w:rsidR="00F22751" w:rsidRPr="00F22751">
        <w:rPr>
          <w:rFonts w:ascii="Open Sans" w:hAnsi="Open Sans" w:cs="Open Sans"/>
          <w:sz w:val="22"/>
          <w:szCs w:val="22"/>
        </w:rPr>
        <w:t>Andalucía</w:t>
      </w:r>
      <w:r w:rsidR="00F22751">
        <w:rPr>
          <w:rFonts w:ascii="Open Sans" w:hAnsi="Open Sans" w:cs="Open Sans"/>
          <w:sz w:val="22"/>
          <w:szCs w:val="22"/>
        </w:rPr>
        <w:t xml:space="preserve"> (</w:t>
      </w:r>
      <w:r w:rsidR="00F22751" w:rsidRPr="00F22751">
        <w:rPr>
          <w:rFonts w:ascii="Open Sans" w:hAnsi="Open Sans" w:cs="Open Sans"/>
          <w:sz w:val="22"/>
          <w:szCs w:val="22"/>
        </w:rPr>
        <w:t>1,7%</w:t>
      </w:r>
      <w:r w:rsidR="00F22751">
        <w:rPr>
          <w:rFonts w:ascii="Open Sans" w:hAnsi="Open Sans" w:cs="Open Sans"/>
          <w:sz w:val="22"/>
          <w:szCs w:val="22"/>
        </w:rPr>
        <w:t xml:space="preserve">), </w:t>
      </w:r>
      <w:r w:rsidR="00F22751" w:rsidRPr="00F22751">
        <w:rPr>
          <w:rFonts w:ascii="Open Sans" w:hAnsi="Open Sans" w:cs="Open Sans"/>
          <w:sz w:val="22"/>
          <w:szCs w:val="22"/>
        </w:rPr>
        <w:t>Extremadura</w:t>
      </w:r>
      <w:r w:rsidR="00F22751">
        <w:rPr>
          <w:rFonts w:ascii="Open Sans" w:hAnsi="Open Sans" w:cs="Open Sans"/>
          <w:sz w:val="22"/>
          <w:szCs w:val="22"/>
        </w:rPr>
        <w:t xml:space="preserve"> (</w:t>
      </w:r>
      <w:r w:rsidR="00F22751" w:rsidRPr="00F22751">
        <w:rPr>
          <w:rFonts w:ascii="Open Sans" w:hAnsi="Open Sans" w:cs="Open Sans"/>
          <w:sz w:val="22"/>
          <w:szCs w:val="22"/>
        </w:rPr>
        <w:t>1,0%</w:t>
      </w:r>
      <w:r w:rsidR="00F22751">
        <w:rPr>
          <w:rFonts w:ascii="Open Sans" w:hAnsi="Open Sans" w:cs="Open Sans"/>
          <w:sz w:val="22"/>
          <w:szCs w:val="22"/>
        </w:rPr>
        <w:t xml:space="preserve">), </w:t>
      </w:r>
      <w:r w:rsidR="00F22751" w:rsidRPr="00F22751">
        <w:rPr>
          <w:rFonts w:ascii="Open Sans" w:hAnsi="Open Sans" w:cs="Open Sans"/>
          <w:sz w:val="22"/>
          <w:szCs w:val="22"/>
        </w:rPr>
        <w:t>La Rioja</w:t>
      </w:r>
      <w:r w:rsidR="00F22751">
        <w:rPr>
          <w:rFonts w:ascii="Open Sans" w:hAnsi="Open Sans" w:cs="Open Sans"/>
          <w:sz w:val="22"/>
          <w:szCs w:val="22"/>
        </w:rPr>
        <w:t xml:space="preserve"> (</w:t>
      </w:r>
      <w:r w:rsidR="00F22751" w:rsidRPr="00F22751">
        <w:rPr>
          <w:rFonts w:ascii="Open Sans" w:hAnsi="Open Sans" w:cs="Open Sans"/>
          <w:sz w:val="22"/>
          <w:szCs w:val="22"/>
        </w:rPr>
        <w:t>0,5%</w:t>
      </w:r>
      <w:r w:rsidR="00F22751">
        <w:rPr>
          <w:rFonts w:ascii="Open Sans" w:hAnsi="Open Sans" w:cs="Open Sans"/>
          <w:sz w:val="22"/>
          <w:szCs w:val="22"/>
        </w:rPr>
        <w:t xml:space="preserve">), </w:t>
      </w:r>
      <w:r w:rsidR="00F22751" w:rsidRPr="00F22751">
        <w:rPr>
          <w:rFonts w:ascii="Open Sans" w:hAnsi="Open Sans" w:cs="Open Sans"/>
          <w:sz w:val="22"/>
          <w:szCs w:val="22"/>
        </w:rPr>
        <w:t>Navarra</w:t>
      </w:r>
      <w:r w:rsidR="00F22751">
        <w:rPr>
          <w:rFonts w:ascii="Open Sans" w:hAnsi="Open Sans" w:cs="Open Sans"/>
          <w:sz w:val="22"/>
          <w:szCs w:val="22"/>
        </w:rPr>
        <w:t xml:space="preserve"> (</w:t>
      </w:r>
      <w:r w:rsidR="00F22751" w:rsidRPr="00F22751">
        <w:rPr>
          <w:rFonts w:ascii="Open Sans" w:hAnsi="Open Sans" w:cs="Open Sans"/>
          <w:sz w:val="22"/>
          <w:szCs w:val="22"/>
        </w:rPr>
        <w:t>0,2%</w:t>
      </w:r>
      <w:r w:rsidR="00F22751">
        <w:rPr>
          <w:rFonts w:ascii="Open Sans" w:hAnsi="Open Sans" w:cs="Open Sans"/>
          <w:sz w:val="22"/>
          <w:szCs w:val="22"/>
        </w:rPr>
        <w:t xml:space="preserve">) y </w:t>
      </w:r>
      <w:r w:rsidR="00F22751" w:rsidRPr="00F22751">
        <w:rPr>
          <w:rFonts w:ascii="Open Sans" w:hAnsi="Open Sans" w:cs="Open Sans"/>
          <w:sz w:val="22"/>
          <w:szCs w:val="22"/>
        </w:rPr>
        <w:t>Cataluña</w:t>
      </w:r>
      <w:r w:rsidR="00F22751">
        <w:rPr>
          <w:rFonts w:ascii="Open Sans" w:hAnsi="Open Sans" w:cs="Open Sans"/>
          <w:sz w:val="22"/>
          <w:szCs w:val="22"/>
        </w:rPr>
        <w:t xml:space="preserve"> (</w:t>
      </w:r>
      <w:r w:rsidR="00F22751" w:rsidRPr="00F22751">
        <w:rPr>
          <w:rFonts w:ascii="Open Sans" w:hAnsi="Open Sans" w:cs="Open Sans"/>
          <w:sz w:val="22"/>
          <w:szCs w:val="22"/>
        </w:rPr>
        <w:t>0,1%</w:t>
      </w:r>
      <w:r w:rsidR="00F22751">
        <w:rPr>
          <w:rFonts w:ascii="Open Sans" w:hAnsi="Open Sans" w:cs="Open Sans"/>
          <w:sz w:val="22"/>
          <w:szCs w:val="22"/>
        </w:rPr>
        <w:t xml:space="preserve">). </w:t>
      </w:r>
      <w:r w:rsidR="001A1AB2">
        <w:rPr>
          <w:rFonts w:ascii="Open Sans" w:hAnsi="Open Sans" w:cs="Open Sans"/>
          <w:sz w:val="22"/>
          <w:szCs w:val="22"/>
        </w:rPr>
        <w:t xml:space="preserve">Por otro lado, en </w:t>
      </w:r>
      <w:r w:rsidR="00F22751">
        <w:rPr>
          <w:rFonts w:ascii="Open Sans" w:hAnsi="Open Sans" w:cs="Open Sans"/>
          <w:sz w:val="22"/>
          <w:szCs w:val="22"/>
        </w:rPr>
        <w:t>tres</w:t>
      </w:r>
      <w:r w:rsidR="001A1AB2">
        <w:rPr>
          <w:rFonts w:ascii="Open Sans" w:hAnsi="Open Sans" w:cs="Open Sans"/>
          <w:sz w:val="22"/>
          <w:szCs w:val="22"/>
        </w:rPr>
        <w:t xml:space="preserve"> comunidades se producen descensos anuales en el precio de los garajes y son:</w:t>
      </w:r>
      <w:r w:rsidR="00F22751" w:rsidRPr="00F22751">
        <w:t xml:space="preserve"> </w:t>
      </w:r>
      <w:r w:rsidR="00F22751" w:rsidRPr="00F22751">
        <w:rPr>
          <w:rFonts w:ascii="Open Sans" w:hAnsi="Open Sans" w:cs="Open Sans"/>
          <w:sz w:val="22"/>
          <w:szCs w:val="22"/>
        </w:rPr>
        <w:t>País Vasco</w:t>
      </w:r>
      <w:r w:rsidR="00F22751">
        <w:rPr>
          <w:rFonts w:ascii="Open Sans" w:hAnsi="Open Sans" w:cs="Open Sans"/>
          <w:sz w:val="22"/>
          <w:szCs w:val="22"/>
        </w:rPr>
        <w:t xml:space="preserve"> (</w:t>
      </w:r>
      <w:r w:rsidR="00F22751" w:rsidRPr="00F22751">
        <w:rPr>
          <w:rFonts w:ascii="Open Sans" w:hAnsi="Open Sans" w:cs="Open Sans"/>
          <w:sz w:val="22"/>
          <w:szCs w:val="22"/>
        </w:rPr>
        <w:t>-2,5%</w:t>
      </w:r>
      <w:r w:rsidR="00F22751">
        <w:rPr>
          <w:rFonts w:ascii="Open Sans" w:hAnsi="Open Sans" w:cs="Open Sans"/>
          <w:sz w:val="22"/>
          <w:szCs w:val="22"/>
        </w:rPr>
        <w:t xml:space="preserve">), </w:t>
      </w:r>
      <w:r w:rsidR="00F22751" w:rsidRPr="00F22751">
        <w:rPr>
          <w:rFonts w:ascii="Open Sans" w:hAnsi="Open Sans" w:cs="Open Sans"/>
          <w:sz w:val="22"/>
          <w:szCs w:val="22"/>
        </w:rPr>
        <w:t>Aragón</w:t>
      </w:r>
      <w:r w:rsidR="00F22751">
        <w:rPr>
          <w:rFonts w:ascii="Open Sans" w:hAnsi="Open Sans" w:cs="Open Sans"/>
          <w:sz w:val="22"/>
          <w:szCs w:val="22"/>
        </w:rPr>
        <w:t xml:space="preserve"> (</w:t>
      </w:r>
      <w:r w:rsidR="00F22751" w:rsidRPr="00F22751">
        <w:rPr>
          <w:rFonts w:ascii="Open Sans" w:hAnsi="Open Sans" w:cs="Open Sans"/>
          <w:sz w:val="22"/>
          <w:szCs w:val="22"/>
        </w:rPr>
        <w:t>-1,8%</w:t>
      </w:r>
      <w:r w:rsidR="00F22751">
        <w:rPr>
          <w:rFonts w:ascii="Open Sans" w:hAnsi="Open Sans" w:cs="Open Sans"/>
          <w:sz w:val="22"/>
          <w:szCs w:val="22"/>
        </w:rPr>
        <w:t xml:space="preserve">) y </w:t>
      </w:r>
      <w:r w:rsidR="00F22751" w:rsidRPr="00F22751">
        <w:rPr>
          <w:rFonts w:ascii="Open Sans" w:hAnsi="Open Sans" w:cs="Open Sans"/>
          <w:sz w:val="22"/>
          <w:szCs w:val="22"/>
        </w:rPr>
        <w:t>Madrid</w:t>
      </w:r>
      <w:r w:rsidR="00F22751">
        <w:rPr>
          <w:rFonts w:ascii="Open Sans" w:hAnsi="Open Sans" w:cs="Open Sans"/>
          <w:sz w:val="22"/>
          <w:szCs w:val="22"/>
        </w:rPr>
        <w:t xml:space="preserve"> (</w:t>
      </w:r>
      <w:r w:rsidR="00F22751" w:rsidRPr="00F22751">
        <w:rPr>
          <w:rFonts w:ascii="Open Sans" w:hAnsi="Open Sans" w:cs="Open Sans"/>
          <w:sz w:val="22"/>
          <w:szCs w:val="22"/>
        </w:rPr>
        <w:t>-0,1%</w:t>
      </w:r>
      <w:r w:rsidR="00F22751">
        <w:rPr>
          <w:rFonts w:ascii="Open Sans" w:hAnsi="Open Sans" w:cs="Open Sans"/>
          <w:sz w:val="22"/>
          <w:szCs w:val="22"/>
        </w:rPr>
        <w:t>).</w:t>
      </w:r>
    </w:p>
    <w:p w14:paraId="3808F26E" w14:textId="4655C30F" w:rsidR="00F22751" w:rsidRDefault="00421B15" w:rsidP="00F22751">
      <w:pPr>
        <w:pStyle w:val="NormalWeb"/>
        <w:shd w:val="clear" w:color="auto" w:fill="FFFFFF"/>
        <w:spacing w:after="225" w:line="276" w:lineRule="auto"/>
        <w:ind w:right="-574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En cuanto a los precios en 202</w:t>
      </w:r>
      <w:r w:rsidR="00F22751">
        <w:rPr>
          <w:rFonts w:ascii="Open Sans" w:hAnsi="Open Sans" w:cs="Open Sans"/>
          <w:sz w:val="22"/>
          <w:szCs w:val="22"/>
        </w:rPr>
        <w:t>5</w:t>
      </w:r>
      <w:r>
        <w:rPr>
          <w:rFonts w:ascii="Open Sans" w:hAnsi="Open Sans" w:cs="Open Sans"/>
          <w:sz w:val="22"/>
          <w:szCs w:val="22"/>
        </w:rPr>
        <w:t>, la</w:t>
      </w:r>
      <w:r w:rsidR="002F7271">
        <w:rPr>
          <w:rFonts w:ascii="Open Sans" w:hAnsi="Open Sans" w:cs="Open Sans"/>
          <w:sz w:val="22"/>
          <w:szCs w:val="22"/>
        </w:rPr>
        <w:t>s</w:t>
      </w:r>
      <w:r>
        <w:rPr>
          <w:rFonts w:ascii="Open Sans" w:hAnsi="Open Sans" w:cs="Open Sans"/>
          <w:sz w:val="22"/>
          <w:szCs w:val="22"/>
        </w:rPr>
        <w:t xml:space="preserve"> CCAA con</w:t>
      </w:r>
      <w:r w:rsidR="002F7271">
        <w:rPr>
          <w:rFonts w:ascii="Open Sans" w:hAnsi="Open Sans" w:cs="Open Sans"/>
          <w:sz w:val="22"/>
          <w:szCs w:val="22"/>
        </w:rPr>
        <w:t xml:space="preserve"> el</w:t>
      </w:r>
      <w:r>
        <w:rPr>
          <w:rFonts w:ascii="Open Sans" w:hAnsi="Open Sans" w:cs="Open Sans"/>
          <w:sz w:val="22"/>
          <w:szCs w:val="22"/>
        </w:rPr>
        <w:t xml:space="preserve"> precio medio de los garajes </w:t>
      </w:r>
      <w:r w:rsidR="003A448C">
        <w:rPr>
          <w:rFonts w:ascii="Open Sans" w:hAnsi="Open Sans" w:cs="Open Sans"/>
          <w:sz w:val="22"/>
          <w:szCs w:val="22"/>
        </w:rPr>
        <w:t xml:space="preserve">en alquiler </w:t>
      </w:r>
      <w:r w:rsidR="002F7271">
        <w:rPr>
          <w:rFonts w:ascii="Open Sans" w:hAnsi="Open Sans" w:cs="Open Sans"/>
          <w:sz w:val="22"/>
          <w:szCs w:val="22"/>
        </w:rPr>
        <w:t xml:space="preserve">por encima de los </w:t>
      </w:r>
      <w:r w:rsidR="003A448C">
        <w:rPr>
          <w:rFonts w:ascii="Open Sans" w:hAnsi="Open Sans" w:cs="Open Sans"/>
          <w:sz w:val="22"/>
          <w:szCs w:val="22"/>
        </w:rPr>
        <w:t>80</w:t>
      </w:r>
      <w:r w:rsidR="002F7271">
        <w:rPr>
          <w:rFonts w:ascii="Open Sans" w:hAnsi="Open Sans" w:cs="Open Sans"/>
          <w:sz w:val="22"/>
          <w:szCs w:val="22"/>
        </w:rPr>
        <w:t xml:space="preserve"> euros son</w:t>
      </w:r>
      <w:r>
        <w:rPr>
          <w:rFonts w:ascii="Open Sans" w:hAnsi="Open Sans" w:cs="Open Sans"/>
          <w:sz w:val="22"/>
          <w:szCs w:val="22"/>
        </w:rPr>
        <w:t xml:space="preserve">: </w:t>
      </w:r>
      <w:r w:rsidR="00F22751" w:rsidRPr="00F22751">
        <w:rPr>
          <w:rFonts w:ascii="Open Sans" w:hAnsi="Open Sans" w:cs="Open Sans"/>
          <w:sz w:val="22"/>
          <w:szCs w:val="22"/>
        </w:rPr>
        <w:t>Baleares</w:t>
      </w:r>
      <w:r w:rsidR="00F22751" w:rsidRPr="00F22751">
        <w:rPr>
          <w:rFonts w:ascii="Open Sans" w:hAnsi="Open Sans" w:cs="Open Sans"/>
          <w:sz w:val="22"/>
          <w:szCs w:val="22"/>
        </w:rPr>
        <w:tab/>
        <w:t xml:space="preserve"> 101,40 </w:t>
      </w:r>
      <w:r w:rsidR="00F22751">
        <w:rPr>
          <w:rFonts w:ascii="Open Sans" w:hAnsi="Open Sans" w:cs="Open Sans"/>
          <w:sz w:val="22"/>
          <w:szCs w:val="22"/>
        </w:rPr>
        <w:t>euros al mes,</w:t>
      </w:r>
      <w:r w:rsidR="00F22751" w:rsidRPr="00692D5A">
        <w:rPr>
          <w:rFonts w:ascii="Open Sans" w:hAnsi="Open Sans" w:cs="Open Sans"/>
          <w:sz w:val="22"/>
          <w:szCs w:val="22"/>
        </w:rPr>
        <w:t xml:space="preserve"> </w:t>
      </w:r>
      <w:r w:rsidR="00F22751" w:rsidRPr="00F22751">
        <w:rPr>
          <w:rFonts w:ascii="Open Sans" w:hAnsi="Open Sans" w:cs="Open Sans"/>
          <w:sz w:val="22"/>
          <w:szCs w:val="22"/>
        </w:rPr>
        <w:t xml:space="preserve">Cantabria </w:t>
      </w:r>
      <w:r w:rsidR="00F22751">
        <w:rPr>
          <w:rFonts w:ascii="Open Sans" w:hAnsi="Open Sans" w:cs="Open Sans"/>
          <w:sz w:val="22"/>
          <w:szCs w:val="22"/>
        </w:rPr>
        <w:t>con</w:t>
      </w:r>
      <w:r w:rsidR="00F22751" w:rsidRPr="00F22751">
        <w:rPr>
          <w:rFonts w:ascii="Open Sans" w:hAnsi="Open Sans" w:cs="Open Sans"/>
          <w:sz w:val="22"/>
          <w:szCs w:val="22"/>
        </w:rPr>
        <w:t xml:space="preserve"> 92,18 </w:t>
      </w:r>
      <w:r w:rsidR="00F22751">
        <w:rPr>
          <w:rFonts w:ascii="Open Sans" w:hAnsi="Open Sans" w:cs="Open Sans"/>
          <w:sz w:val="22"/>
          <w:szCs w:val="22"/>
        </w:rPr>
        <w:t>euros al mes,</w:t>
      </w:r>
      <w:r w:rsidR="00F22751" w:rsidRPr="00692D5A">
        <w:rPr>
          <w:rFonts w:ascii="Open Sans" w:hAnsi="Open Sans" w:cs="Open Sans"/>
          <w:sz w:val="22"/>
          <w:szCs w:val="22"/>
        </w:rPr>
        <w:t xml:space="preserve"> </w:t>
      </w:r>
      <w:r w:rsidR="00F22751" w:rsidRPr="00F22751">
        <w:rPr>
          <w:rFonts w:ascii="Open Sans" w:hAnsi="Open Sans" w:cs="Open Sans"/>
          <w:sz w:val="22"/>
          <w:szCs w:val="22"/>
        </w:rPr>
        <w:t xml:space="preserve">País Vasco </w:t>
      </w:r>
      <w:r w:rsidR="00F22751">
        <w:rPr>
          <w:rFonts w:ascii="Open Sans" w:hAnsi="Open Sans" w:cs="Open Sans"/>
          <w:sz w:val="22"/>
          <w:szCs w:val="22"/>
        </w:rPr>
        <w:t>con</w:t>
      </w:r>
      <w:r w:rsidR="00F22751" w:rsidRPr="00F22751">
        <w:rPr>
          <w:rFonts w:ascii="Open Sans" w:hAnsi="Open Sans" w:cs="Open Sans"/>
          <w:sz w:val="22"/>
          <w:szCs w:val="22"/>
        </w:rPr>
        <w:t xml:space="preserve"> 88,00 </w:t>
      </w:r>
      <w:r w:rsidR="00F22751">
        <w:rPr>
          <w:rFonts w:ascii="Open Sans" w:hAnsi="Open Sans" w:cs="Open Sans"/>
          <w:sz w:val="22"/>
          <w:szCs w:val="22"/>
        </w:rPr>
        <w:t>euros al mes,</w:t>
      </w:r>
      <w:r w:rsidR="00F22751" w:rsidRPr="00692D5A">
        <w:rPr>
          <w:rFonts w:ascii="Open Sans" w:hAnsi="Open Sans" w:cs="Open Sans"/>
          <w:sz w:val="22"/>
          <w:szCs w:val="22"/>
        </w:rPr>
        <w:t xml:space="preserve"> </w:t>
      </w:r>
      <w:r w:rsidR="00F22751" w:rsidRPr="00F22751">
        <w:rPr>
          <w:rFonts w:ascii="Open Sans" w:hAnsi="Open Sans" w:cs="Open Sans"/>
          <w:sz w:val="22"/>
          <w:szCs w:val="22"/>
        </w:rPr>
        <w:t xml:space="preserve">Madrid </w:t>
      </w:r>
      <w:r w:rsidR="00F22751">
        <w:rPr>
          <w:rFonts w:ascii="Open Sans" w:hAnsi="Open Sans" w:cs="Open Sans"/>
          <w:sz w:val="22"/>
          <w:szCs w:val="22"/>
        </w:rPr>
        <w:t>con</w:t>
      </w:r>
      <w:r w:rsidR="00F22751" w:rsidRPr="00F22751">
        <w:rPr>
          <w:rFonts w:ascii="Open Sans" w:hAnsi="Open Sans" w:cs="Open Sans"/>
          <w:sz w:val="22"/>
          <w:szCs w:val="22"/>
        </w:rPr>
        <w:t xml:space="preserve"> 80,66 </w:t>
      </w:r>
      <w:r w:rsidR="00F22751">
        <w:rPr>
          <w:rFonts w:ascii="Open Sans" w:hAnsi="Open Sans" w:cs="Open Sans"/>
          <w:sz w:val="22"/>
          <w:szCs w:val="22"/>
        </w:rPr>
        <w:t xml:space="preserve">euros al mes y </w:t>
      </w:r>
      <w:r w:rsidR="00F22751" w:rsidRPr="00F22751">
        <w:rPr>
          <w:rFonts w:ascii="Open Sans" w:hAnsi="Open Sans" w:cs="Open Sans"/>
          <w:sz w:val="22"/>
          <w:szCs w:val="22"/>
        </w:rPr>
        <w:t xml:space="preserve">Cataluña </w:t>
      </w:r>
      <w:r w:rsidR="00F22751">
        <w:rPr>
          <w:rFonts w:ascii="Open Sans" w:hAnsi="Open Sans" w:cs="Open Sans"/>
          <w:sz w:val="22"/>
          <w:szCs w:val="22"/>
        </w:rPr>
        <w:t>con</w:t>
      </w:r>
      <w:r w:rsidR="00F22751" w:rsidRPr="00F22751">
        <w:rPr>
          <w:rFonts w:ascii="Open Sans" w:hAnsi="Open Sans" w:cs="Open Sans"/>
          <w:sz w:val="22"/>
          <w:szCs w:val="22"/>
        </w:rPr>
        <w:t xml:space="preserve"> 80,66 </w:t>
      </w:r>
      <w:r w:rsidR="00F22751">
        <w:rPr>
          <w:rFonts w:ascii="Open Sans" w:hAnsi="Open Sans" w:cs="Open Sans"/>
          <w:sz w:val="22"/>
          <w:szCs w:val="22"/>
        </w:rPr>
        <w:t xml:space="preserve">euros al mes. </w:t>
      </w:r>
      <w:r w:rsidR="002F7271">
        <w:rPr>
          <w:rFonts w:ascii="Open Sans" w:hAnsi="Open Sans" w:cs="Open Sans"/>
          <w:sz w:val="22"/>
          <w:szCs w:val="22"/>
        </w:rPr>
        <w:t>Por otro lado, las CCAA en donde el precio medio de los garajes son los más económicos son</w:t>
      </w:r>
      <w:r w:rsidR="00F22751" w:rsidRPr="00F22751">
        <w:t xml:space="preserve"> </w:t>
      </w:r>
      <w:r w:rsidR="00F22751" w:rsidRPr="00F22751">
        <w:rPr>
          <w:rFonts w:ascii="Open Sans" w:hAnsi="Open Sans" w:cs="Open Sans"/>
          <w:sz w:val="22"/>
          <w:szCs w:val="22"/>
        </w:rPr>
        <w:t xml:space="preserve">Castilla-La Mancha </w:t>
      </w:r>
      <w:r w:rsidR="00F22751">
        <w:rPr>
          <w:rFonts w:ascii="Open Sans" w:hAnsi="Open Sans" w:cs="Open Sans"/>
          <w:sz w:val="22"/>
          <w:szCs w:val="22"/>
        </w:rPr>
        <w:t>con</w:t>
      </w:r>
      <w:r w:rsidR="00F22751" w:rsidRPr="00F22751">
        <w:rPr>
          <w:rFonts w:ascii="Open Sans" w:hAnsi="Open Sans" w:cs="Open Sans"/>
          <w:sz w:val="22"/>
          <w:szCs w:val="22"/>
        </w:rPr>
        <w:t xml:space="preserve"> 59,09 </w:t>
      </w:r>
      <w:r w:rsidR="00F22751">
        <w:rPr>
          <w:rFonts w:ascii="Open Sans" w:hAnsi="Open Sans" w:cs="Open Sans"/>
          <w:sz w:val="22"/>
          <w:szCs w:val="22"/>
        </w:rPr>
        <w:t xml:space="preserve">euros al mes, </w:t>
      </w:r>
      <w:r w:rsidR="00F22751" w:rsidRPr="00F22751">
        <w:rPr>
          <w:rFonts w:ascii="Open Sans" w:hAnsi="Open Sans" w:cs="Open Sans"/>
          <w:sz w:val="22"/>
          <w:szCs w:val="22"/>
        </w:rPr>
        <w:t xml:space="preserve">Navarra </w:t>
      </w:r>
      <w:r w:rsidR="00F22751">
        <w:rPr>
          <w:rFonts w:ascii="Open Sans" w:hAnsi="Open Sans" w:cs="Open Sans"/>
          <w:sz w:val="22"/>
          <w:szCs w:val="22"/>
        </w:rPr>
        <w:t>con</w:t>
      </w:r>
      <w:r w:rsidR="00F22751" w:rsidRPr="00F22751">
        <w:rPr>
          <w:rFonts w:ascii="Open Sans" w:hAnsi="Open Sans" w:cs="Open Sans"/>
          <w:sz w:val="22"/>
          <w:szCs w:val="22"/>
        </w:rPr>
        <w:t xml:space="preserve"> 59,17 </w:t>
      </w:r>
      <w:r w:rsidR="00F22751">
        <w:rPr>
          <w:rFonts w:ascii="Open Sans" w:hAnsi="Open Sans" w:cs="Open Sans"/>
          <w:sz w:val="22"/>
          <w:szCs w:val="22"/>
        </w:rPr>
        <w:t xml:space="preserve">euros al mes, </w:t>
      </w:r>
      <w:r w:rsidR="00F22751" w:rsidRPr="00F22751">
        <w:rPr>
          <w:rFonts w:ascii="Open Sans" w:hAnsi="Open Sans" w:cs="Open Sans"/>
          <w:sz w:val="22"/>
          <w:szCs w:val="22"/>
        </w:rPr>
        <w:t>Extremadura</w:t>
      </w:r>
      <w:r w:rsidR="00F22751" w:rsidRPr="00F22751">
        <w:rPr>
          <w:rFonts w:ascii="Open Sans" w:hAnsi="Open Sans" w:cs="Open Sans"/>
          <w:sz w:val="22"/>
          <w:szCs w:val="22"/>
        </w:rPr>
        <w:tab/>
      </w:r>
      <w:r w:rsidR="00F22751">
        <w:rPr>
          <w:rFonts w:ascii="Open Sans" w:hAnsi="Open Sans" w:cs="Open Sans"/>
          <w:sz w:val="22"/>
          <w:szCs w:val="22"/>
        </w:rPr>
        <w:t>con</w:t>
      </w:r>
      <w:r w:rsidR="00F22751" w:rsidRPr="00F22751">
        <w:rPr>
          <w:rFonts w:ascii="Open Sans" w:hAnsi="Open Sans" w:cs="Open Sans"/>
          <w:sz w:val="22"/>
          <w:szCs w:val="22"/>
        </w:rPr>
        <w:t xml:space="preserve"> 60,09 </w:t>
      </w:r>
      <w:r w:rsidR="00F22751">
        <w:rPr>
          <w:rFonts w:ascii="Open Sans" w:hAnsi="Open Sans" w:cs="Open Sans"/>
          <w:sz w:val="22"/>
          <w:szCs w:val="22"/>
        </w:rPr>
        <w:t xml:space="preserve">euros al mes y </w:t>
      </w:r>
      <w:r w:rsidR="00F22751" w:rsidRPr="00F22751">
        <w:rPr>
          <w:rFonts w:ascii="Open Sans" w:hAnsi="Open Sans" w:cs="Open Sans"/>
          <w:sz w:val="22"/>
          <w:szCs w:val="22"/>
        </w:rPr>
        <w:t xml:space="preserve">Castilla y León </w:t>
      </w:r>
      <w:r w:rsidR="00F22751">
        <w:rPr>
          <w:rFonts w:ascii="Open Sans" w:hAnsi="Open Sans" w:cs="Open Sans"/>
          <w:sz w:val="22"/>
          <w:szCs w:val="22"/>
        </w:rPr>
        <w:t>con</w:t>
      </w:r>
      <w:r w:rsidR="00F22751" w:rsidRPr="00F22751">
        <w:rPr>
          <w:rFonts w:ascii="Open Sans" w:hAnsi="Open Sans" w:cs="Open Sans"/>
          <w:sz w:val="22"/>
          <w:szCs w:val="22"/>
        </w:rPr>
        <w:t xml:space="preserve"> 60,50 </w:t>
      </w:r>
      <w:r w:rsidR="00F22751">
        <w:rPr>
          <w:rFonts w:ascii="Open Sans" w:hAnsi="Open Sans" w:cs="Open Sans"/>
          <w:sz w:val="22"/>
          <w:szCs w:val="22"/>
        </w:rPr>
        <w:t>euros al mes.</w:t>
      </w:r>
    </w:p>
    <w:p w14:paraId="3DA9096E" w14:textId="4D2E93F0" w:rsidR="0014007A" w:rsidRDefault="0014007A" w:rsidP="0014007A">
      <w:pPr>
        <w:pStyle w:val="NormalWeb"/>
        <w:shd w:val="clear" w:color="auto" w:fill="FFFFFF"/>
        <w:spacing w:after="225" w:line="276" w:lineRule="auto"/>
        <w:ind w:right="-574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14007A">
        <w:rPr>
          <w:rFonts w:ascii="National" w:eastAsiaTheme="minorHAnsi" w:hAnsi="National" w:cstheme="minorBidi"/>
          <w:b/>
          <w:bCs/>
          <w:iCs/>
          <w:color w:val="303AB2"/>
          <w:sz w:val="30"/>
          <w:szCs w:val="180"/>
          <w:lang w:eastAsia="en-US"/>
        </w:rPr>
        <w:t xml:space="preserve">Por </w:t>
      </w:r>
      <w:r w:rsidR="00B370F8">
        <w:rPr>
          <w:rFonts w:ascii="National" w:eastAsiaTheme="minorHAnsi" w:hAnsi="National" w:cstheme="minorBidi"/>
          <w:b/>
          <w:bCs/>
          <w:iCs/>
          <w:color w:val="303AB2"/>
          <w:sz w:val="30"/>
          <w:szCs w:val="180"/>
          <w:lang w:eastAsia="en-US"/>
        </w:rPr>
        <w:t>municipios</w:t>
      </w:r>
    </w:p>
    <w:p w14:paraId="08C0EB9F" w14:textId="20BF5769" w:rsidR="00ED4349" w:rsidRDefault="0017208C" w:rsidP="00ED4349">
      <w:pPr>
        <w:pStyle w:val="NormalWeb"/>
        <w:shd w:val="clear" w:color="auto" w:fill="FFFFFF"/>
        <w:spacing w:after="225" w:line="276" w:lineRule="auto"/>
        <w:ind w:right="-574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color w:val="000000"/>
          <w:sz w:val="22"/>
          <w:szCs w:val="22"/>
        </w:rPr>
        <w:t>En</w:t>
      </w:r>
      <w:r w:rsidR="006A1269">
        <w:rPr>
          <w:rFonts w:ascii="Open Sans" w:hAnsi="Open Sans" w:cs="Open Sans"/>
          <w:color w:val="000000"/>
          <w:sz w:val="22"/>
          <w:szCs w:val="22"/>
        </w:rPr>
        <w:t xml:space="preserve"> el </w:t>
      </w:r>
      <w:r w:rsidR="00E15ACD">
        <w:rPr>
          <w:rFonts w:ascii="Open Sans" w:hAnsi="Open Sans" w:cs="Open Sans"/>
          <w:color w:val="000000"/>
          <w:sz w:val="22"/>
          <w:szCs w:val="22"/>
        </w:rPr>
        <w:t>56</w:t>
      </w:r>
      <w:r w:rsidR="006A1269">
        <w:rPr>
          <w:rFonts w:ascii="Open Sans" w:hAnsi="Open Sans" w:cs="Open Sans"/>
          <w:color w:val="000000"/>
          <w:sz w:val="22"/>
          <w:szCs w:val="22"/>
        </w:rPr>
        <w:t xml:space="preserve">% de las </w:t>
      </w:r>
      <w:r w:rsidR="00193C8D">
        <w:rPr>
          <w:rFonts w:ascii="Open Sans" w:hAnsi="Open Sans" w:cs="Open Sans"/>
          <w:color w:val="000000"/>
          <w:sz w:val="22"/>
          <w:szCs w:val="22"/>
        </w:rPr>
        <w:t xml:space="preserve">ciudades el precio de los garajes </w:t>
      </w:r>
      <w:r w:rsidR="00887326">
        <w:rPr>
          <w:rFonts w:ascii="Open Sans" w:hAnsi="Open Sans" w:cs="Open Sans"/>
          <w:color w:val="000000"/>
          <w:sz w:val="22"/>
          <w:szCs w:val="22"/>
        </w:rPr>
        <w:t>sub</w:t>
      </w:r>
      <w:r w:rsidR="00421B15">
        <w:rPr>
          <w:rFonts w:ascii="Open Sans" w:hAnsi="Open Sans" w:cs="Open Sans"/>
          <w:color w:val="000000"/>
          <w:sz w:val="22"/>
          <w:szCs w:val="22"/>
        </w:rPr>
        <w:t>e</w:t>
      </w:r>
      <w:r w:rsidR="00193C8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5602E5">
        <w:rPr>
          <w:rFonts w:ascii="Open Sans" w:hAnsi="Open Sans" w:cs="Open Sans"/>
          <w:color w:val="000000"/>
          <w:sz w:val="22"/>
          <w:szCs w:val="22"/>
        </w:rPr>
        <w:t>en 202</w:t>
      </w:r>
      <w:r w:rsidR="00AC7D16">
        <w:rPr>
          <w:rFonts w:ascii="Open Sans" w:hAnsi="Open Sans" w:cs="Open Sans"/>
          <w:color w:val="000000"/>
          <w:sz w:val="22"/>
          <w:szCs w:val="22"/>
        </w:rPr>
        <w:t>5</w:t>
      </w:r>
      <w:r w:rsidR="005602E5">
        <w:rPr>
          <w:rFonts w:ascii="Open Sans" w:hAnsi="Open Sans" w:cs="Open Sans"/>
          <w:color w:val="000000"/>
          <w:sz w:val="22"/>
          <w:szCs w:val="22"/>
        </w:rPr>
        <w:t xml:space="preserve">. </w:t>
      </w:r>
      <w:r w:rsidR="00257BCB">
        <w:rPr>
          <w:rFonts w:ascii="Open Sans" w:hAnsi="Open Sans" w:cs="Open Sans"/>
          <w:color w:val="000000"/>
          <w:sz w:val="22"/>
          <w:szCs w:val="22"/>
        </w:rPr>
        <w:t>Las</w:t>
      </w:r>
      <w:r w:rsidR="00E71B3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6A1269">
        <w:rPr>
          <w:rFonts w:ascii="Open Sans" w:hAnsi="Open Sans" w:cs="Open Sans"/>
          <w:color w:val="000000"/>
          <w:sz w:val="22"/>
          <w:szCs w:val="22"/>
        </w:rPr>
        <w:t xml:space="preserve">diez </w:t>
      </w:r>
      <w:r w:rsidR="009700D2">
        <w:rPr>
          <w:rFonts w:ascii="Open Sans" w:hAnsi="Open Sans" w:cs="Open Sans"/>
          <w:color w:val="000000"/>
          <w:sz w:val="22"/>
          <w:szCs w:val="22"/>
        </w:rPr>
        <w:t>ciudad</w:t>
      </w:r>
      <w:r w:rsidR="00E71B3A">
        <w:rPr>
          <w:rFonts w:ascii="Open Sans" w:hAnsi="Open Sans" w:cs="Open Sans"/>
          <w:color w:val="000000"/>
          <w:sz w:val="22"/>
          <w:szCs w:val="22"/>
        </w:rPr>
        <w:t>es</w:t>
      </w:r>
      <w:r w:rsidR="009700D2">
        <w:rPr>
          <w:rFonts w:ascii="Open Sans" w:hAnsi="Open Sans" w:cs="Open Sans"/>
          <w:color w:val="000000"/>
          <w:sz w:val="22"/>
          <w:szCs w:val="22"/>
        </w:rPr>
        <w:t xml:space="preserve"> que experimenta</w:t>
      </w:r>
      <w:r w:rsidR="00E71B3A">
        <w:rPr>
          <w:rFonts w:ascii="Open Sans" w:hAnsi="Open Sans" w:cs="Open Sans"/>
          <w:color w:val="000000"/>
          <w:sz w:val="22"/>
          <w:szCs w:val="22"/>
        </w:rPr>
        <w:t>n</w:t>
      </w:r>
      <w:r w:rsidR="009700D2">
        <w:rPr>
          <w:rFonts w:ascii="Open Sans" w:hAnsi="Open Sans" w:cs="Open Sans"/>
          <w:color w:val="000000"/>
          <w:sz w:val="22"/>
          <w:szCs w:val="22"/>
        </w:rPr>
        <w:t xml:space="preserve"> la</w:t>
      </w:r>
      <w:r w:rsidR="00E71B3A">
        <w:rPr>
          <w:rFonts w:ascii="Open Sans" w:hAnsi="Open Sans" w:cs="Open Sans"/>
          <w:color w:val="000000"/>
          <w:sz w:val="22"/>
          <w:szCs w:val="22"/>
        </w:rPr>
        <w:t>s</w:t>
      </w:r>
      <w:r w:rsidR="006A1269">
        <w:rPr>
          <w:rFonts w:ascii="Open Sans" w:hAnsi="Open Sans" w:cs="Open Sans"/>
          <w:color w:val="000000"/>
          <w:sz w:val="22"/>
          <w:szCs w:val="22"/>
        </w:rPr>
        <w:t xml:space="preserve"> mayores</w:t>
      </w:r>
      <w:r w:rsidR="009700D2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6A1269">
        <w:rPr>
          <w:rFonts w:ascii="Open Sans" w:hAnsi="Open Sans" w:cs="Open Sans"/>
          <w:color w:val="000000"/>
          <w:sz w:val="22"/>
          <w:szCs w:val="22"/>
        </w:rPr>
        <w:t>subidas anuales</w:t>
      </w:r>
      <w:r w:rsidR="009700D2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E71B3A">
        <w:rPr>
          <w:rFonts w:ascii="Open Sans" w:hAnsi="Open Sans" w:cs="Open Sans"/>
          <w:color w:val="000000"/>
          <w:sz w:val="22"/>
          <w:szCs w:val="22"/>
        </w:rPr>
        <w:t xml:space="preserve">son </w:t>
      </w:r>
      <w:r w:rsidR="00ED4349" w:rsidRPr="00ED4349">
        <w:rPr>
          <w:rFonts w:ascii="Open Sans" w:hAnsi="Open Sans" w:cs="Open Sans"/>
          <w:color w:val="000000"/>
          <w:sz w:val="22"/>
          <w:szCs w:val="22"/>
        </w:rPr>
        <w:t>Roquetas de Mar</w:t>
      </w:r>
      <w:r w:rsidR="00ED4349">
        <w:rPr>
          <w:rFonts w:ascii="Open Sans" w:hAnsi="Open Sans" w:cs="Open Sans"/>
          <w:sz w:val="22"/>
          <w:szCs w:val="22"/>
        </w:rPr>
        <w:t xml:space="preserve"> (</w:t>
      </w:r>
      <w:r w:rsidR="00ED4349" w:rsidRPr="00ED4349">
        <w:rPr>
          <w:rFonts w:ascii="Open Sans" w:hAnsi="Open Sans" w:cs="Open Sans"/>
          <w:color w:val="000000"/>
          <w:sz w:val="22"/>
          <w:szCs w:val="22"/>
        </w:rPr>
        <w:t>14,9%</w:t>
      </w:r>
      <w:r w:rsidR="00ED4349">
        <w:rPr>
          <w:rFonts w:ascii="Open Sans" w:hAnsi="Open Sans" w:cs="Open Sans"/>
          <w:sz w:val="22"/>
          <w:szCs w:val="22"/>
        </w:rPr>
        <w:t xml:space="preserve">), </w:t>
      </w:r>
      <w:r w:rsidR="00ED4349" w:rsidRPr="00ED4349">
        <w:rPr>
          <w:rFonts w:ascii="Open Sans" w:hAnsi="Open Sans" w:cs="Open Sans"/>
          <w:color w:val="000000"/>
          <w:sz w:val="22"/>
          <w:szCs w:val="22"/>
        </w:rPr>
        <w:t>Palencia Capital</w:t>
      </w:r>
      <w:r w:rsidR="00ED4349">
        <w:rPr>
          <w:rFonts w:ascii="Open Sans" w:hAnsi="Open Sans" w:cs="Open Sans"/>
          <w:sz w:val="22"/>
          <w:szCs w:val="22"/>
        </w:rPr>
        <w:t xml:space="preserve"> (</w:t>
      </w:r>
      <w:r w:rsidR="00ED4349" w:rsidRPr="00ED4349">
        <w:rPr>
          <w:rFonts w:ascii="Open Sans" w:hAnsi="Open Sans" w:cs="Open Sans"/>
          <w:color w:val="000000"/>
          <w:sz w:val="22"/>
          <w:szCs w:val="22"/>
        </w:rPr>
        <w:t>14,6%</w:t>
      </w:r>
      <w:r w:rsidR="00ED4349">
        <w:rPr>
          <w:rFonts w:ascii="Open Sans" w:hAnsi="Open Sans" w:cs="Open Sans"/>
          <w:sz w:val="22"/>
          <w:szCs w:val="22"/>
        </w:rPr>
        <w:t xml:space="preserve">), </w:t>
      </w:r>
      <w:r w:rsidR="00ED4349" w:rsidRPr="00ED4349">
        <w:rPr>
          <w:rFonts w:ascii="Open Sans" w:hAnsi="Open Sans" w:cs="Open Sans"/>
          <w:color w:val="000000"/>
          <w:sz w:val="22"/>
          <w:szCs w:val="22"/>
        </w:rPr>
        <w:t>Manresa</w:t>
      </w:r>
      <w:r w:rsidR="00ED4349">
        <w:rPr>
          <w:rFonts w:ascii="Open Sans" w:hAnsi="Open Sans" w:cs="Open Sans"/>
          <w:sz w:val="22"/>
          <w:szCs w:val="22"/>
        </w:rPr>
        <w:t xml:space="preserve"> (</w:t>
      </w:r>
      <w:r w:rsidR="00ED4349" w:rsidRPr="00ED4349">
        <w:rPr>
          <w:rFonts w:ascii="Open Sans" w:hAnsi="Open Sans" w:cs="Open Sans"/>
          <w:color w:val="000000"/>
          <w:sz w:val="22"/>
          <w:szCs w:val="22"/>
        </w:rPr>
        <w:t>14,5%</w:t>
      </w:r>
      <w:r w:rsidR="00ED4349">
        <w:rPr>
          <w:rFonts w:ascii="Open Sans" w:hAnsi="Open Sans" w:cs="Open Sans"/>
          <w:sz w:val="22"/>
          <w:szCs w:val="22"/>
        </w:rPr>
        <w:t xml:space="preserve">), </w:t>
      </w:r>
      <w:r w:rsidR="00ED4349" w:rsidRPr="00ED4349">
        <w:rPr>
          <w:rFonts w:ascii="Open Sans" w:hAnsi="Open Sans" w:cs="Open Sans"/>
          <w:color w:val="000000"/>
          <w:sz w:val="22"/>
          <w:szCs w:val="22"/>
        </w:rPr>
        <w:t>Gijón</w:t>
      </w:r>
      <w:r w:rsidR="00ED4349">
        <w:rPr>
          <w:rFonts w:ascii="Open Sans" w:hAnsi="Open Sans" w:cs="Open Sans"/>
          <w:sz w:val="22"/>
          <w:szCs w:val="22"/>
        </w:rPr>
        <w:t xml:space="preserve"> (</w:t>
      </w:r>
      <w:r w:rsidR="00ED4349" w:rsidRPr="00ED4349">
        <w:rPr>
          <w:rFonts w:ascii="Open Sans" w:hAnsi="Open Sans" w:cs="Open Sans"/>
          <w:color w:val="000000"/>
          <w:sz w:val="22"/>
          <w:szCs w:val="22"/>
        </w:rPr>
        <w:t>14,5%</w:t>
      </w:r>
      <w:r w:rsidR="00ED4349">
        <w:rPr>
          <w:rFonts w:ascii="Open Sans" w:hAnsi="Open Sans" w:cs="Open Sans"/>
          <w:sz w:val="22"/>
          <w:szCs w:val="22"/>
        </w:rPr>
        <w:t xml:space="preserve">), </w:t>
      </w:r>
      <w:r w:rsidR="00ED4349" w:rsidRPr="00ED4349">
        <w:rPr>
          <w:rFonts w:ascii="Open Sans" w:hAnsi="Open Sans" w:cs="Open Sans"/>
          <w:color w:val="000000"/>
          <w:sz w:val="22"/>
          <w:szCs w:val="22"/>
        </w:rPr>
        <w:t>Getafe</w:t>
      </w:r>
      <w:r w:rsidR="00ED4349">
        <w:rPr>
          <w:rFonts w:ascii="Open Sans" w:hAnsi="Open Sans" w:cs="Open Sans"/>
          <w:sz w:val="22"/>
          <w:szCs w:val="22"/>
        </w:rPr>
        <w:t xml:space="preserve"> (</w:t>
      </w:r>
      <w:r w:rsidR="00ED4349" w:rsidRPr="00ED4349">
        <w:rPr>
          <w:rFonts w:ascii="Open Sans" w:hAnsi="Open Sans" w:cs="Open Sans"/>
          <w:color w:val="000000"/>
          <w:sz w:val="22"/>
          <w:szCs w:val="22"/>
        </w:rPr>
        <w:t>12,6%</w:t>
      </w:r>
      <w:r w:rsidR="00ED4349">
        <w:rPr>
          <w:rFonts w:ascii="Open Sans" w:hAnsi="Open Sans" w:cs="Open Sans"/>
          <w:sz w:val="22"/>
          <w:szCs w:val="22"/>
        </w:rPr>
        <w:t xml:space="preserve">), </w:t>
      </w:r>
      <w:r w:rsidR="00ED4349" w:rsidRPr="00ED4349">
        <w:rPr>
          <w:rFonts w:ascii="Open Sans" w:hAnsi="Open Sans" w:cs="Open Sans"/>
          <w:color w:val="000000"/>
          <w:sz w:val="22"/>
          <w:szCs w:val="22"/>
        </w:rPr>
        <w:t>A Coruña Capital</w:t>
      </w:r>
      <w:r w:rsidR="00ED4349">
        <w:rPr>
          <w:rFonts w:ascii="Open Sans" w:hAnsi="Open Sans" w:cs="Open Sans"/>
          <w:sz w:val="22"/>
          <w:szCs w:val="22"/>
        </w:rPr>
        <w:t xml:space="preserve"> (</w:t>
      </w:r>
      <w:r w:rsidR="00ED4349" w:rsidRPr="00ED4349">
        <w:rPr>
          <w:rFonts w:ascii="Open Sans" w:hAnsi="Open Sans" w:cs="Open Sans"/>
          <w:color w:val="000000"/>
          <w:sz w:val="22"/>
          <w:szCs w:val="22"/>
        </w:rPr>
        <w:t>12,2%</w:t>
      </w:r>
      <w:r w:rsidR="00ED4349">
        <w:rPr>
          <w:rFonts w:ascii="Open Sans" w:hAnsi="Open Sans" w:cs="Open Sans"/>
          <w:sz w:val="22"/>
          <w:szCs w:val="22"/>
        </w:rPr>
        <w:t xml:space="preserve">), </w:t>
      </w:r>
      <w:r w:rsidR="00ED4349" w:rsidRPr="00ED4349">
        <w:rPr>
          <w:rFonts w:ascii="Open Sans" w:hAnsi="Open Sans" w:cs="Open Sans"/>
          <w:color w:val="000000"/>
          <w:sz w:val="22"/>
          <w:szCs w:val="22"/>
        </w:rPr>
        <w:t>Santa Cruz de Tenerife Capital</w:t>
      </w:r>
      <w:r w:rsidR="00ED4349">
        <w:rPr>
          <w:rFonts w:ascii="Open Sans" w:hAnsi="Open Sans" w:cs="Open Sans"/>
          <w:sz w:val="22"/>
          <w:szCs w:val="22"/>
        </w:rPr>
        <w:t xml:space="preserve"> (</w:t>
      </w:r>
      <w:r w:rsidR="00ED4349" w:rsidRPr="00ED4349">
        <w:rPr>
          <w:rFonts w:ascii="Open Sans" w:hAnsi="Open Sans" w:cs="Open Sans"/>
          <w:color w:val="000000"/>
          <w:sz w:val="22"/>
          <w:szCs w:val="22"/>
        </w:rPr>
        <w:t>11,5%</w:t>
      </w:r>
      <w:r w:rsidR="00ED4349">
        <w:rPr>
          <w:rFonts w:ascii="Open Sans" w:hAnsi="Open Sans" w:cs="Open Sans"/>
          <w:sz w:val="22"/>
          <w:szCs w:val="22"/>
        </w:rPr>
        <w:t xml:space="preserve">), </w:t>
      </w:r>
      <w:r w:rsidR="00ED4349" w:rsidRPr="00ED4349">
        <w:rPr>
          <w:rFonts w:ascii="Open Sans" w:hAnsi="Open Sans" w:cs="Open Sans"/>
          <w:color w:val="000000"/>
          <w:sz w:val="22"/>
          <w:szCs w:val="22"/>
        </w:rPr>
        <w:t>Alcobendas</w:t>
      </w:r>
      <w:r w:rsidR="00ED4349">
        <w:rPr>
          <w:rFonts w:ascii="Open Sans" w:hAnsi="Open Sans" w:cs="Open Sans"/>
          <w:sz w:val="22"/>
          <w:szCs w:val="22"/>
        </w:rPr>
        <w:t xml:space="preserve"> (</w:t>
      </w:r>
      <w:r w:rsidR="00ED4349" w:rsidRPr="00ED4349">
        <w:rPr>
          <w:rFonts w:ascii="Open Sans" w:hAnsi="Open Sans" w:cs="Open Sans"/>
          <w:color w:val="000000"/>
          <w:sz w:val="22"/>
          <w:szCs w:val="22"/>
        </w:rPr>
        <w:t>11,0%</w:t>
      </w:r>
      <w:r w:rsidR="00ED4349">
        <w:rPr>
          <w:rFonts w:ascii="Open Sans" w:hAnsi="Open Sans" w:cs="Open Sans"/>
          <w:sz w:val="22"/>
          <w:szCs w:val="22"/>
        </w:rPr>
        <w:t xml:space="preserve">), </w:t>
      </w:r>
      <w:r w:rsidR="00ED4349" w:rsidRPr="00ED4349">
        <w:rPr>
          <w:rFonts w:ascii="Open Sans" w:hAnsi="Open Sans" w:cs="Open Sans"/>
          <w:color w:val="000000"/>
          <w:sz w:val="22"/>
          <w:szCs w:val="22"/>
        </w:rPr>
        <w:t>Ourense Capital</w:t>
      </w:r>
      <w:r w:rsidR="00ED4349">
        <w:rPr>
          <w:rFonts w:ascii="Open Sans" w:hAnsi="Open Sans" w:cs="Open Sans"/>
          <w:sz w:val="22"/>
          <w:szCs w:val="22"/>
        </w:rPr>
        <w:t xml:space="preserve"> (</w:t>
      </w:r>
      <w:r w:rsidR="00ED4349" w:rsidRPr="00ED4349">
        <w:rPr>
          <w:rFonts w:ascii="Open Sans" w:hAnsi="Open Sans" w:cs="Open Sans"/>
          <w:color w:val="000000"/>
          <w:sz w:val="22"/>
          <w:szCs w:val="22"/>
        </w:rPr>
        <w:t>10,4%</w:t>
      </w:r>
      <w:r w:rsidR="00ED4349">
        <w:rPr>
          <w:rFonts w:ascii="Open Sans" w:hAnsi="Open Sans" w:cs="Open Sans"/>
          <w:sz w:val="22"/>
          <w:szCs w:val="22"/>
        </w:rPr>
        <w:t xml:space="preserve">) y </w:t>
      </w:r>
      <w:r w:rsidR="00ED4349" w:rsidRPr="00ED4349">
        <w:rPr>
          <w:rFonts w:ascii="Open Sans" w:hAnsi="Open Sans" w:cs="Open Sans"/>
          <w:color w:val="000000"/>
          <w:sz w:val="22"/>
          <w:szCs w:val="22"/>
        </w:rPr>
        <w:t>Oviedo</w:t>
      </w:r>
      <w:r w:rsidR="00ED4349">
        <w:rPr>
          <w:rFonts w:ascii="Open Sans" w:hAnsi="Open Sans" w:cs="Open Sans"/>
          <w:sz w:val="22"/>
          <w:szCs w:val="22"/>
        </w:rPr>
        <w:t xml:space="preserve"> (</w:t>
      </w:r>
      <w:r w:rsidR="00ED4349" w:rsidRPr="00ED4349">
        <w:rPr>
          <w:rFonts w:ascii="Open Sans" w:hAnsi="Open Sans" w:cs="Open Sans"/>
          <w:color w:val="000000"/>
          <w:sz w:val="22"/>
          <w:szCs w:val="22"/>
        </w:rPr>
        <w:t>10,2%</w:t>
      </w:r>
      <w:r w:rsidR="00ED4349">
        <w:rPr>
          <w:rFonts w:ascii="Open Sans" w:hAnsi="Open Sans" w:cs="Open Sans"/>
          <w:sz w:val="22"/>
          <w:szCs w:val="22"/>
        </w:rPr>
        <w:t xml:space="preserve">). </w:t>
      </w:r>
      <w:r w:rsidR="005859E9">
        <w:rPr>
          <w:rFonts w:ascii="Open Sans" w:hAnsi="Open Sans" w:cs="Open Sans"/>
          <w:sz w:val="22"/>
          <w:szCs w:val="22"/>
        </w:rPr>
        <w:t xml:space="preserve">Por otro lado, el resto de las </w:t>
      </w:r>
      <w:r w:rsidR="00BB72F6">
        <w:rPr>
          <w:rFonts w:ascii="Open Sans" w:hAnsi="Open Sans" w:cs="Open Sans"/>
          <w:sz w:val="22"/>
          <w:szCs w:val="22"/>
        </w:rPr>
        <w:t>ciudades</w:t>
      </w:r>
      <w:r w:rsidR="005859E9">
        <w:rPr>
          <w:rFonts w:ascii="Open Sans" w:hAnsi="Open Sans" w:cs="Open Sans"/>
          <w:sz w:val="22"/>
          <w:szCs w:val="22"/>
        </w:rPr>
        <w:t xml:space="preserve"> que en 202</w:t>
      </w:r>
      <w:r w:rsidR="00ED4349">
        <w:rPr>
          <w:rFonts w:ascii="Open Sans" w:hAnsi="Open Sans" w:cs="Open Sans"/>
          <w:sz w:val="22"/>
          <w:szCs w:val="22"/>
        </w:rPr>
        <w:t>5</w:t>
      </w:r>
      <w:r w:rsidR="005859E9">
        <w:rPr>
          <w:rFonts w:ascii="Open Sans" w:hAnsi="Open Sans" w:cs="Open Sans"/>
          <w:sz w:val="22"/>
          <w:szCs w:val="22"/>
        </w:rPr>
        <w:t xml:space="preserve"> experimentaron </w:t>
      </w:r>
      <w:r w:rsidR="00E1037E">
        <w:rPr>
          <w:rFonts w:ascii="Open Sans" w:hAnsi="Open Sans" w:cs="Open Sans"/>
          <w:sz w:val="22"/>
          <w:szCs w:val="22"/>
        </w:rPr>
        <w:t>caídas</w:t>
      </w:r>
      <w:r w:rsidR="005859E9">
        <w:rPr>
          <w:rFonts w:ascii="Open Sans" w:hAnsi="Open Sans" w:cs="Open Sans"/>
          <w:sz w:val="22"/>
          <w:szCs w:val="22"/>
        </w:rPr>
        <w:t xml:space="preserve"> anuales por debajo del </w:t>
      </w:r>
      <w:r w:rsidR="00D20FB8">
        <w:rPr>
          <w:rFonts w:ascii="Open Sans" w:hAnsi="Open Sans" w:cs="Open Sans"/>
          <w:sz w:val="22"/>
          <w:szCs w:val="22"/>
        </w:rPr>
        <w:t>3</w:t>
      </w:r>
      <w:r w:rsidR="005859E9">
        <w:rPr>
          <w:rFonts w:ascii="Open Sans" w:hAnsi="Open Sans" w:cs="Open Sans"/>
          <w:sz w:val="22"/>
          <w:szCs w:val="22"/>
        </w:rPr>
        <w:t>% son</w:t>
      </w:r>
      <w:r w:rsidR="00ED4349">
        <w:rPr>
          <w:rFonts w:ascii="Open Sans" w:hAnsi="Open Sans" w:cs="Open Sans"/>
          <w:sz w:val="22"/>
          <w:szCs w:val="22"/>
        </w:rPr>
        <w:t xml:space="preserve"> </w:t>
      </w:r>
      <w:r w:rsidR="00ED4349" w:rsidRPr="00ED4349">
        <w:rPr>
          <w:rFonts w:ascii="Open Sans" w:hAnsi="Open Sans" w:cs="Open Sans"/>
          <w:sz w:val="22"/>
          <w:szCs w:val="22"/>
        </w:rPr>
        <w:t>Cartagena</w:t>
      </w:r>
      <w:r w:rsidR="00ED4349">
        <w:rPr>
          <w:rFonts w:ascii="Open Sans" w:hAnsi="Open Sans" w:cs="Open Sans"/>
          <w:sz w:val="22"/>
          <w:szCs w:val="22"/>
        </w:rPr>
        <w:t xml:space="preserve"> (</w:t>
      </w:r>
      <w:r w:rsidR="00ED4349" w:rsidRPr="00ED4349">
        <w:rPr>
          <w:rFonts w:ascii="Open Sans" w:hAnsi="Open Sans" w:cs="Open Sans"/>
          <w:sz w:val="22"/>
          <w:szCs w:val="22"/>
        </w:rPr>
        <w:t>2,8%</w:t>
      </w:r>
      <w:r w:rsidR="00ED4349">
        <w:rPr>
          <w:rFonts w:ascii="Open Sans" w:hAnsi="Open Sans" w:cs="Open Sans"/>
          <w:sz w:val="22"/>
          <w:szCs w:val="22"/>
        </w:rPr>
        <w:t xml:space="preserve">), </w:t>
      </w:r>
      <w:r w:rsidR="00ED4349" w:rsidRPr="00ED4349">
        <w:rPr>
          <w:rFonts w:ascii="Open Sans" w:hAnsi="Open Sans" w:cs="Open Sans"/>
          <w:sz w:val="22"/>
          <w:szCs w:val="22"/>
        </w:rPr>
        <w:t>Granada Capital</w:t>
      </w:r>
      <w:r w:rsidR="00ED4349">
        <w:rPr>
          <w:rFonts w:ascii="Open Sans" w:hAnsi="Open Sans" w:cs="Open Sans"/>
          <w:sz w:val="22"/>
          <w:szCs w:val="22"/>
        </w:rPr>
        <w:t xml:space="preserve"> (</w:t>
      </w:r>
      <w:r w:rsidR="00ED4349" w:rsidRPr="00ED4349">
        <w:rPr>
          <w:rFonts w:ascii="Open Sans" w:hAnsi="Open Sans" w:cs="Open Sans"/>
          <w:sz w:val="22"/>
          <w:szCs w:val="22"/>
        </w:rPr>
        <w:t>2,3%</w:t>
      </w:r>
      <w:r w:rsidR="00ED4349">
        <w:rPr>
          <w:rFonts w:ascii="Open Sans" w:hAnsi="Open Sans" w:cs="Open Sans"/>
          <w:sz w:val="22"/>
          <w:szCs w:val="22"/>
        </w:rPr>
        <w:t xml:space="preserve">), </w:t>
      </w:r>
      <w:r w:rsidR="00ED4349" w:rsidRPr="00ED4349">
        <w:rPr>
          <w:rFonts w:ascii="Open Sans" w:hAnsi="Open Sans" w:cs="Open Sans"/>
          <w:sz w:val="22"/>
          <w:szCs w:val="22"/>
        </w:rPr>
        <w:t>El Ejido</w:t>
      </w:r>
      <w:r w:rsidR="00ED4349">
        <w:rPr>
          <w:rFonts w:ascii="Open Sans" w:hAnsi="Open Sans" w:cs="Open Sans"/>
          <w:sz w:val="22"/>
          <w:szCs w:val="22"/>
        </w:rPr>
        <w:t xml:space="preserve"> (</w:t>
      </w:r>
      <w:r w:rsidR="00ED4349" w:rsidRPr="00ED4349">
        <w:rPr>
          <w:rFonts w:ascii="Open Sans" w:hAnsi="Open Sans" w:cs="Open Sans"/>
          <w:sz w:val="22"/>
          <w:szCs w:val="22"/>
        </w:rPr>
        <w:t>2,0%</w:t>
      </w:r>
      <w:r w:rsidR="00ED4349">
        <w:rPr>
          <w:rFonts w:ascii="Open Sans" w:hAnsi="Open Sans" w:cs="Open Sans"/>
          <w:sz w:val="22"/>
          <w:szCs w:val="22"/>
        </w:rPr>
        <w:t xml:space="preserve">), </w:t>
      </w:r>
      <w:r w:rsidR="00ED4349" w:rsidRPr="00ED4349">
        <w:rPr>
          <w:rFonts w:ascii="Open Sans" w:hAnsi="Open Sans" w:cs="Open Sans"/>
          <w:sz w:val="22"/>
          <w:szCs w:val="22"/>
        </w:rPr>
        <w:t>Alicante / Alacant</w:t>
      </w:r>
      <w:r w:rsidR="00ED4349">
        <w:rPr>
          <w:rFonts w:ascii="Open Sans" w:hAnsi="Open Sans" w:cs="Open Sans"/>
          <w:sz w:val="22"/>
          <w:szCs w:val="22"/>
        </w:rPr>
        <w:t xml:space="preserve"> (</w:t>
      </w:r>
      <w:r w:rsidR="00ED4349" w:rsidRPr="00ED4349">
        <w:rPr>
          <w:rFonts w:ascii="Open Sans" w:hAnsi="Open Sans" w:cs="Open Sans"/>
          <w:sz w:val="22"/>
          <w:szCs w:val="22"/>
        </w:rPr>
        <w:t>1,9%</w:t>
      </w:r>
      <w:r w:rsidR="00ED4349">
        <w:rPr>
          <w:rFonts w:ascii="Open Sans" w:hAnsi="Open Sans" w:cs="Open Sans"/>
          <w:sz w:val="22"/>
          <w:szCs w:val="22"/>
        </w:rPr>
        <w:t xml:space="preserve">), </w:t>
      </w:r>
      <w:r w:rsidR="00ED4349" w:rsidRPr="00ED4349">
        <w:rPr>
          <w:rFonts w:ascii="Open Sans" w:hAnsi="Open Sans" w:cs="Open Sans"/>
          <w:sz w:val="22"/>
          <w:szCs w:val="22"/>
        </w:rPr>
        <w:t>Castellón de la Plana / Castelló de la Plana</w:t>
      </w:r>
      <w:r w:rsidR="00ED4349">
        <w:rPr>
          <w:rFonts w:ascii="Open Sans" w:hAnsi="Open Sans" w:cs="Open Sans"/>
          <w:sz w:val="22"/>
          <w:szCs w:val="22"/>
        </w:rPr>
        <w:t xml:space="preserve"> (</w:t>
      </w:r>
      <w:r w:rsidR="00ED4349" w:rsidRPr="00ED4349">
        <w:rPr>
          <w:rFonts w:ascii="Open Sans" w:hAnsi="Open Sans" w:cs="Open Sans"/>
          <w:sz w:val="22"/>
          <w:szCs w:val="22"/>
        </w:rPr>
        <w:t>1,4%</w:t>
      </w:r>
      <w:r w:rsidR="00ED4349">
        <w:rPr>
          <w:rFonts w:ascii="Open Sans" w:hAnsi="Open Sans" w:cs="Open Sans"/>
          <w:sz w:val="22"/>
          <w:szCs w:val="22"/>
        </w:rPr>
        <w:t xml:space="preserve">), </w:t>
      </w:r>
      <w:r w:rsidR="00ED4349" w:rsidRPr="00ED4349">
        <w:rPr>
          <w:rFonts w:ascii="Open Sans" w:hAnsi="Open Sans" w:cs="Open Sans"/>
          <w:sz w:val="22"/>
          <w:szCs w:val="22"/>
        </w:rPr>
        <w:t>Santander</w:t>
      </w:r>
      <w:r w:rsidR="00ED4349">
        <w:rPr>
          <w:rFonts w:ascii="Open Sans" w:hAnsi="Open Sans" w:cs="Open Sans"/>
          <w:sz w:val="22"/>
          <w:szCs w:val="22"/>
        </w:rPr>
        <w:t xml:space="preserve"> (</w:t>
      </w:r>
      <w:r w:rsidR="00ED4349" w:rsidRPr="00ED4349">
        <w:rPr>
          <w:rFonts w:ascii="Open Sans" w:hAnsi="Open Sans" w:cs="Open Sans"/>
          <w:sz w:val="22"/>
          <w:szCs w:val="22"/>
        </w:rPr>
        <w:t>1,4%</w:t>
      </w:r>
      <w:r w:rsidR="00ED4349">
        <w:rPr>
          <w:rFonts w:ascii="Open Sans" w:hAnsi="Open Sans" w:cs="Open Sans"/>
          <w:sz w:val="22"/>
          <w:szCs w:val="22"/>
        </w:rPr>
        <w:t xml:space="preserve">), </w:t>
      </w:r>
      <w:r w:rsidR="00ED4349" w:rsidRPr="00ED4349">
        <w:rPr>
          <w:rFonts w:ascii="Open Sans" w:hAnsi="Open Sans" w:cs="Open Sans"/>
          <w:sz w:val="22"/>
          <w:szCs w:val="22"/>
        </w:rPr>
        <w:t>Granollers</w:t>
      </w:r>
      <w:r w:rsidR="00ED4349">
        <w:rPr>
          <w:rFonts w:ascii="Open Sans" w:hAnsi="Open Sans" w:cs="Open Sans"/>
          <w:sz w:val="22"/>
          <w:szCs w:val="22"/>
        </w:rPr>
        <w:t xml:space="preserve"> (</w:t>
      </w:r>
      <w:r w:rsidR="00ED4349" w:rsidRPr="00ED4349">
        <w:rPr>
          <w:rFonts w:ascii="Open Sans" w:hAnsi="Open Sans" w:cs="Open Sans"/>
          <w:sz w:val="22"/>
          <w:szCs w:val="22"/>
        </w:rPr>
        <w:t>1,4%</w:t>
      </w:r>
      <w:r w:rsidR="00ED4349">
        <w:rPr>
          <w:rFonts w:ascii="Open Sans" w:hAnsi="Open Sans" w:cs="Open Sans"/>
          <w:sz w:val="22"/>
          <w:szCs w:val="22"/>
        </w:rPr>
        <w:t xml:space="preserve">), </w:t>
      </w:r>
      <w:r w:rsidR="00ED4349" w:rsidRPr="00ED4349">
        <w:rPr>
          <w:rFonts w:ascii="Open Sans" w:hAnsi="Open Sans" w:cs="Open Sans"/>
          <w:sz w:val="22"/>
          <w:szCs w:val="22"/>
        </w:rPr>
        <w:t>Badajoz Capital</w:t>
      </w:r>
      <w:r w:rsidR="00ED4349">
        <w:rPr>
          <w:rFonts w:ascii="Open Sans" w:hAnsi="Open Sans" w:cs="Open Sans"/>
          <w:sz w:val="22"/>
          <w:szCs w:val="22"/>
        </w:rPr>
        <w:t xml:space="preserve"> (</w:t>
      </w:r>
      <w:r w:rsidR="00ED4349" w:rsidRPr="00ED4349">
        <w:rPr>
          <w:rFonts w:ascii="Open Sans" w:hAnsi="Open Sans" w:cs="Open Sans"/>
          <w:sz w:val="22"/>
          <w:szCs w:val="22"/>
        </w:rPr>
        <w:t>1,2%</w:t>
      </w:r>
      <w:r w:rsidR="00ED4349">
        <w:rPr>
          <w:rFonts w:ascii="Open Sans" w:hAnsi="Open Sans" w:cs="Open Sans"/>
          <w:sz w:val="22"/>
          <w:szCs w:val="22"/>
        </w:rPr>
        <w:t xml:space="preserve">), </w:t>
      </w:r>
      <w:r w:rsidR="00ED4349" w:rsidRPr="00ED4349">
        <w:rPr>
          <w:rFonts w:ascii="Open Sans" w:hAnsi="Open Sans" w:cs="Open Sans"/>
          <w:sz w:val="22"/>
          <w:szCs w:val="22"/>
        </w:rPr>
        <w:t>Sant Feliu de Llobregat</w:t>
      </w:r>
      <w:r w:rsidR="00ED4349">
        <w:rPr>
          <w:rFonts w:ascii="Open Sans" w:hAnsi="Open Sans" w:cs="Open Sans"/>
          <w:sz w:val="22"/>
          <w:szCs w:val="22"/>
        </w:rPr>
        <w:t xml:space="preserve"> (</w:t>
      </w:r>
      <w:r w:rsidR="00ED4349" w:rsidRPr="00ED4349">
        <w:rPr>
          <w:rFonts w:ascii="Open Sans" w:hAnsi="Open Sans" w:cs="Open Sans"/>
          <w:sz w:val="22"/>
          <w:szCs w:val="22"/>
        </w:rPr>
        <w:t>1,2%</w:t>
      </w:r>
      <w:r w:rsidR="00ED4349">
        <w:rPr>
          <w:rFonts w:ascii="Open Sans" w:hAnsi="Open Sans" w:cs="Open Sans"/>
          <w:sz w:val="22"/>
          <w:szCs w:val="22"/>
        </w:rPr>
        <w:t xml:space="preserve">), </w:t>
      </w:r>
      <w:r w:rsidR="00ED4349" w:rsidRPr="00ED4349">
        <w:rPr>
          <w:rFonts w:ascii="Open Sans" w:hAnsi="Open Sans" w:cs="Open Sans"/>
          <w:sz w:val="22"/>
          <w:szCs w:val="22"/>
        </w:rPr>
        <w:t>Segovia Capital</w:t>
      </w:r>
      <w:r w:rsidR="00ED4349">
        <w:rPr>
          <w:rFonts w:ascii="Open Sans" w:hAnsi="Open Sans" w:cs="Open Sans"/>
          <w:sz w:val="22"/>
          <w:szCs w:val="22"/>
        </w:rPr>
        <w:t xml:space="preserve"> (</w:t>
      </w:r>
      <w:r w:rsidR="00ED4349" w:rsidRPr="00ED4349">
        <w:rPr>
          <w:rFonts w:ascii="Open Sans" w:hAnsi="Open Sans" w:cs="Open Sans"/>
          <w:sz w:val="22"/>
          <w:szCs w:val="22"/>
        </w:rPr>
        <w:t>1,1%</w:t>
      </w:r>
      <w:r w:rsidR="00ED4349">
        <w:rPr>
          <w:rFonts w:ascii="Open Sans" w:hAnsi="Open Sans" w:cs="Open Sans"/>
          <w:sz w:val="22"/>
          <w:szCs w:val="22"/>
        </w:rPr>
        <w:t xml:space="preserve">), </w:t>
      </w:r>
      <w:r w:rsidR="00ED4349" w:rsidRPr="00ED4349">
        <w:rPr>
          <w:rFonts w:ascii="Open Sans" w:hAnsi="Open Sans" w:cs="Open Sans"/>
          <w:sz w:val="22"/>
          <w:szCs w:val="22"/>
        </w:rPr>
        <w:t>Palma de Mallorca</w:t>
      </w:r>
      <w:r w:rsidR="00ED4349">
        <w:rPr>
          <w:rFonts w:ascii="Open Sans" w:hAnsi="Open Sans" w:cs="Open Sans"/>
          <w:sz w:val="22"/>
          <w:szCs w:val="22"/>
        </w:rPr>
        <w:t xml:space="preserve"> (</w:t>
      </w:r>
      <w:r w:rsidR="00ED4349" w:rsidRPr="00ED4349">
        <w:rPr>
          <w:rFonts w:ascii="Open Sans" w:hAnsi="Open Sans" w:cs="Open Sans"/>
          <w:sz w:val="22"/>
          <w:szCs w:val="22"/>
        </w:rPr>
        <w:t>1,0%</w:t>
      </w:r>
      <w:r w:rsidR="00ED4349">
        <w:rPr>
          <w:rFonts w:ascii="Open Sans" w:hAnsi="Open Sans" w:cs="Open Sans"/>
          <w:sz w:val="22"/>
          <w:szCs w:val="22"/>
        </w:rPr>
        <w:t xml:space="preserve">), </w:t>
      </w:r>
      <w:r w:rsidR="00ED4349" w:rsidRPr="00ED4349">
        <w:rPr>
          <w:rFonts w:ascii="Open Sans" w:hAnsi="Open Sans" w:cs="Open Sans"/>
          <w:sz w:val="22"/>
          <w:szCs w:val="22"/>
        </w:rPr>
        <w:t>Pamplona / Iruña</w:t>
      </w:r>
      <w:r w:rsidR="00ED4349">
        <w:rPr>
          <w:rFonts w:ascii="Open Sans" w:hAnsi="Open Sans" w:cs="Open Sans"/>
          <w:sz w:val="22"/>
          <w:szCs w:val="22"/>
        </w:rPr>
        <w:t xml:space="preserve"> (</w:t>
      </w:r>
      <w:r w:rsidR="00ED4349" w:rsidRPr="00ED4349">
        <w:rPr>
          <w:rFonts w:ascii="Open Sans" w:hAnsi="Open Sans" w:cs="Open Sans"/>
          <w:sz w:val="22"/>
          <w:szCs w:val="22"/>
        </w:rPr>
        <w:t>0,7%</w:t>
      </w:r>
      <w:r w:rsidR="00ED4349">
        <w:rPr>
          <w:rFonts w:ascii="Open Sans" w:hAnsi="Open Sans" w:cs="Open Sans"/>
          <w:sz w:val="22"/>
          <w:szCs w:val="22"/>
        </w:rPr>
        <w:t xml:space="preserve">), </w:t>
      </w:r>
      <w:r w:rsidR="00ED4349" w:rsidRPr="00ED4349">
        <w:rPr>
          <w:rFonts w:ascii="Open Sans" w:hAnsi="Open Sans" w:cs="Open Sans"/>
          <w:sz w:val="22"/>
          <w:szCs w:val="22"/>
        </w:rPr>
        <w:t>Valladolid Capital</w:t>
      </w:r>
      <w:r w:rsidR="00ED4349">
        <w:rPr>
          <w:rFonts w:ascii="Open Sans" w:hAnsi="Open Sans" w:cs="Open Sans"/>
          <w:sz w:val="22"/>
          <w:szCs w:val="22"/>
        </w:rPr>
        <w:t xml:space="preserve"> (</w:t>
      </w:r>
      <w:r w:rsidR="00ED4349" w:rsidRPr="00ED4349">
        <w:rPr>
          <w:rFonts w:ascii="Open Sans" w:hAnsi="Open Sans" w:cs="Open Sans"/>
          <w:sz w:val="22"/>
          <w:szCs w:val="22"/>
        </w:rPr>
        <w:t>0,3%</w:t>
      </w:r>
      <w:r w:rsidR="00ED4349">
        <w:rPr>
          <w:rFonts w:ascii="Open Sans" w:hAnsi="Open Sans" w:cs="Open Sans"/>
          <w:sz w:val="22"/>
          <w:szCs w:val="22"/>
        </w:rPr>
        <w:t xml:space="preserve">), </w:t>
      </w:r>
      <w:r w:rsidR="00ED4349" w:rsidRPr="00ED4349">
        <w:rPr>
          <w:rFonts w:ascii="Open Sans" w:hAnsi="Open Sans" w:cs="Open Sans"/>
          <w:sz w:val="22"/>
          <w:szCs w:val="22"/>
        </w:rPr>
        <w:t>Cardedeu</w:t>
      </w:r>
      <w:r w:rsidR="00ED4349">
        <w:rPr>
          <w:rFonts w:ascii="Open Sans" w:hAnsi="Open Sans" w:cs="Open Sans"/>
          <w:sz w:val="22"/>
          <w:szCs w:val="22"/>
        </w:rPr>
        <w:t xml:space="preserve"> (</w:t>
      </w:r>
      <w:r w:rsidR="00ED4349" w:rsidRPr="00ED4349">
        <w:rPr>
          <w:rFonts w:ascii="Open Sans" w:hAnsi="Open Sans" w:cs="Open Sans"/>
          <w:sz w:val="22"/>
          <w:szCs w:val="22"/>
        </w:rPr>
        <w:t>0,2%</w:t>
      </w:r>
      <w:r w:rsidR="00ED4349">
        <w:rPr>
          <w:rFonts w:ascii="Open Sans" w:hAnsi="Open Sans" w:cs="Open Sans"/>
          <w:sz w:val="22"/>
          <w:szCs w:val="22"/>
        </w:rPr>
        <w:t xml:space="preserve">) y </w:t>
      </w:r>
      <w:r w:rsidR="00ED4349" w:rsidRPr="00ED4349">
        <w:rPr>
          <w:rFonts w:ascii="Open Sans" w:hAnsi="Open Sans" w:cs="Open Sans"/>
          <w:sz w:val="22"/>
          <w:szCs w:val="22"/>
        </w:rPr>
        <w:t>Santiago de Compostela</w:t>
      </w:r>
      <w:r w:rsidR="00ED4349">
        <w:rPr>
          <w:rFonts w:ascii="Open Sans" w:hAnsi="Open Sans" w:cs="Open Sans"/>
          <w:sz w:val="22"/>
          <w:szCs w:val="22"/>
        </w:rPr>
        <w:t xml:space="preserve"> (</w:t>
      </w:r>
      <w:r w:rsidR="00ED4349" w:rsidRPr="00ED4349">
        <w:rPr>
          <w:rFonts w:ascii="Open Sans" w:hAnsi="Open Sans" w:cs="Open Sans"/>
          <w:sz w:val="22"/>
          <w:szCs w:val="22"/>
        </w:rPr>
        <w:t>0,1%</w:t>
      </w:r>
      <w:r w:rsidR="00ED4349">
        <w:rPr>
          <w:rFonts w:ascii="Open Sans" w:hAnsi="Open Sans" w:cs="Open Sans"/>
          <w:sz w:val="22"/>
          <w:szCs w:val="22"/>
        </w:rPr>
        <w:t>).</w:t>
      </w:r>
    </w:p>
    <w:p w14:paraId="1B04A362" w14:textId="2D92C793" w:rsidR="00CE332D" w:rsidRDefault="003D5A70" w:rsidP="00CE332D">
      <w:pPr>
        <w:pStyle w:val="NormalWeb"/>
        <w:shd w:val="clear" w:color="auto" w:fill="FFFFFF"/>
        <w:spacing w:after="225" w:line="276" w:lineRule="auto"/>
        <w:ind w:right="-574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lastRenderedPageBreak/>
        <w:t xml:space="preserve">En cuanto a los precios medios de los garajes por </w:t>
      </w:r>
      <w:r w:rsidR="00B370F8">
        <w:rPr>
          <w:rFonts w:ascii="Open Sans" w:hAnsi="Open Sans" w:cs="Open Sans"/>
          <w:sz w:val="22"/>
          <w:szCs w:val="22"/>
        </w:rPr>
        <w:t>municipios</w:t>
      </w:r>
      <w:r>
        <w:rPr>
          <w:rFonts w:ascii="Open Sans" w:hAnsi="Open Sans" w:cs="Open Sans"/>
          <w:sz w:val="22"/>
          <w:szCs w:val="22"/>
        </w:rPr>
        <w:t>, vemos que los más caros en 202</w:t>
      </w:r>
      <w:r w:rsidR="00CE332D">
        <w:rPr>
          <w:rFonts w:ascii="Open Sans" w:hAnsi="Open Sans" w:cs="Open Sans"/>
          <w:sz w:val="22"/>
          <w:szCs w:val="22"/>
        </w:rPr>
        <w:t>5</w:t>
      </w:r>
      <w:r>
        <w:rPr>
          <w:rFonts w:ascii="Open Sans" w:hAnsi="Open Sans" w:cs="Open Sans"/>
          <w:sz w:val="22"/>
          <w:szCs w:val="22"/>
        </w:rPr>
        <w:t xml:space="preserve"> corresponden a las ciudades de</w:t>
      </w:r>
      <w:r w:rsidR="002219EE">
        <w:rPr>
          <w:rFonts w:ascii="Open Sans" w:hAnsi="Open Sans" w:cs="Open Sans"/>
          <w:sz w:val="22"/>
          <w:szCs w:val="22"/>
        </w:rPr>
        <w:t xml:space="preserve"> </w:t>
      </w:r>
      <w:r w:rsidR="002219EE" w:rsidRPr="002219EE">
        <w:rPr>
          <w:rFonts w:ascii="Open Sans" w:hAnsi="Open Sans" w:cs="Open Sans"/>
          <w:sz w:val="22"/>
          <w:szCs w:val="22"/>
        </w:rPr>
        <w:t xml:space="preserve">Donostia - San Sebastián </w:t>
      </w:r>
      <w:r w:rsidR="002219EE">
        <w:rPr>
          <w:rFonts w:ascii="Open Sans" w:hAnsi="Open Sans" w:cs="Open Sans"/>
          <w:sz w:val="22"/>
          <w:szCs w:val="22"/>
        </w:rPr>
        <w:t>con</w:t>
      </w:r>
      <w:r w:rsidR="002219EE" w:rsidRPr="002219EE">
        <w:rPr>
          <w:rFonts w:ascii="Open Sans" w:hAnsi="Open Sans" w:cs="Open Sans"/>
          <w:sz w:val="22"/>
          <w:szCs w:val="22"/>
        </w:rPr>
        <w:t xml:space="preserve"> 1</w:t>
      </w:r>
      <w:r w:rsidR="00CE332D">
        <w:rPr>
          <w:rFonts w:ascii="Open Sans" w:hAnsi="Open Sans" w:cs="Open Sans"/>
          <w:sz w:val="22"/>
          <w:szCs w:val="22"/>
        </w:rPr>
        <w:t>11</w:t>
      </w:r>
      <w:r w:rsidR="002219EE" w:rsidRPr="002219EE">
        <w:rPr>
          <w:rFonts w:ascii="Open Sans" w:hAnsi="Open Sans" w:cs="Open Sans"/>
          <w:sz w:val="22"/>
          <w:szCs w:val="22"/>
        </w:rPr>
        <w:t>,</w:t>
      </w:r>
      <w:r w:rsidR="00CE332D">
        <w:rPr>
          <w:rFonts w:ascii="Open Sans" w:hAnsi="Open Sans" w:cs="Open Sans"/>
          <w:sz w:val="22"/>
          <w:szCs w:val="22"/>
        </w:rPr>
        <w:t>6</w:t>
      </w:r>
      <w:r w:rsidR="002219EE" w:rsidRPr="002219EE">
        <w:rPr>
          <w:rFonts w:ascii="Open Sans" w:hAnsi="Open Sans" w:cs="Open Sans"/>
          <w:sz w:val="22"/>
          <w:szCs w:val="22"/>
        </w:rPr>
        <w:t xml:space="preserve">1 </w:t>
      </w:r>
      <w:r w:rsidR="002219EE">
        <w:rPr>
          <w:rFonts w:ascii="Open Sans" w:hAnsi="Open Sans" w:cs="Open Sans"/>
          <w:sz w:val="22"/>
          <w:szCs w:val="22"/>
        </w:rPr>
        <w:t xml:space="preserve">euros al mes, </w:t>
      </w:r>
      <w:r w:rsidR="002219EE" w:rsidRPr="002219EE">
        <w:rPr>
          <w:rFonts w:ascii="Open Sans" w:hAnsi="Open Sans" w:cs="Open Sans"/>
          <w:sz w:val="22"/>
          <w:szCs w:val="22"/>
        </w:rPr>
        <w:t xml:space="preserve">Palma de Mallorca </w:t>
      </w:r>
      <w:r w:rsidR="002219EE">
        <w:rPr>
          <w:rFonts w:ascii="Open Sans" w:hAnsi="Open Sans" w:cs="Open Sans"/>
          <w:sz w:val="22"/>
          <w:szCs w:val="22"/>
        </w:rPr>
        <w:t>con</w:t>
      </w:r>
      <w:r w:rsidR="002219EE" w:rsidRPr="002219EE">
        <w:rPr>
          <w:rFonts w:ascii="Open Sans" w:hAnsi="Open Sans" w:cs="Open Sans"/>
          <w:sz w:val="22"/>
          <w:szCs w:val="22"/>
        </w:rPr>
        <w:t xml:space="preserve"> 10</w:t>
      </w:r>
      <w:r w:rsidR="00CE332D">
        <w:rPr>
          <w:rFonts w:ascii="Open Sans" w:hAnsi="Open Sans" w:cs="Open Sans"/>
          <w:sz w:val="22"/>
          <w:szCs w:val="22"/>
        </w:rPr>
        <w:t>6</w:t>
      </w:r>
      <w:r w:rsidR="002219EE" w:rsidRPr="002219EE">
        <w:rPr>
          <w:rFonts w:ascii="Open Sans" w:hAnsi="Open Sans" w:cs="Open Sans"/>
          <w:sz w:val="22"/>
          <w:szCs w:val="22"/>
        </w:rPr>
        <w:t>,</w:t>
      </w:r>
      <w:r w:rsidR="00CE332D">
        <w:rPr>
          <w:rFonts w:ascii="Open Sans" w:hAnsi="Open Sans" w:cs="Open Sans"/>
          <w:sz w:val="22"/>
          <w:szCs w:val="22"/>
        </w:rPr>
        <w:t>8</w:t>
      </w:r>
      <w:r w:rsidR="002219EE" w:rsidRPr="002219EE">
        <w:rPr>
          <w:rFonts w:ascii="Open Sans" w:hAnsi="Open Sans" w:cs="Open Sans"/>
          <w:sz w:val="22"/>
          <w:szCs w:val="22"/>
        </w:rPr>
        <w:t xml:space="preserve">6 </w:t>
      </w:r>
      <w:r w:rsidR="00CE332D">
        <w:rPr>
          <w:rFonts w:ascii="Open Sans" w:hAnsi="Open Sans" w:cs="Open Sans"/>
          <w:sz w:val="22"/>
          <w:szCs w:val="22"/>
        </w:rPr>
        <w:t xml:space="preserve">euros al mes, </w:t>
      </w:r>
      <w:r w:rsidR="002219EE" w:rsidRPr="002219EE">
        <w:rPr>
          <w:rFonts w:ascii="Open Sans" w:hAnsi="Open Sans" w:cs="Open Sans"/>
          <w:sz w:val="22"/>
          <w:szCs w:val="22"/>
        </w:rPr>
        <w:t xml:space="preserve">Santander </w:t>
      </w:r>
      <w:r w:rsidR="002219EE">
        <w:rPr>
          <w:rFonts w:ascii="Open Sans" w:hAnsi="Open Sans" w:cs="Open Sans"/>
          <w:sz w:val="22"/>
          <w:szCs w:val="22"/>
        </w:rPr>
        <w:t>con</w:t>
      </w:r>
      <w:r w:rsidR="002219EE" w:rsidRPr="002219EE">
        <w:rPr>
          <w:rFonts w:ascii="Open Sans" w:hAnsi="Open Sans" w:cs="Open Sans"/>
          <w:sz w:val="22"/>
          <w:szCs w:val="22"/>
        </w:rPr>
        <w:t xml:space="preserve"> </w:t>
      </w:r>
      <w:r w:rsidR="00CE332D">
        <w:rPr>
          <w:rFonts w:ascii="Open Sans" w:hAnsi="Open Sans" w:cs="Open Sans"/>
          <w:sz w:val="22"/>
          <w:szCs w:val="22"/>
        </w:rPr>
        <w:t>105,07</w:t>
      </w:r>
      <w:r w:rsidR="002219EE" w:rsidRPr="002219EE">
        <w:rPr>
          <w:rFonts w:ascii="Open Sans" w:hAnsi="Open Sans" w:cs="Open Sans"/>
          <w:sz w:val="22"/>
          <w:szCs w:val="22"/>
        </w:rPr>
        <w:t xml:space="preserve"> </w:t>
      </w:r>
      <w:r w:rsidR="002219EE">
        <w:rPr>
          <w:rFonts w:ascii="Open Sans" w:hAnsi="Open Sans" w:cs="Open Sans"/>
          <w:sz w:val="22"/>
          <w:szCs w:val="22"/>
        </w:rPr>
        <w:t>euros al mes,</w:t>
      </w:r>
      <w:r w:rsidR="00CE332D" w:rsidRPr="00CE332D">
        <w:t xml:space="preserve"> </w:t>
      </w:r>
      <w:r w:rsidR="00CE332D" w:rsidRPr="00CE332D">
        <w:rPr>
          <w:rFonts w:ascii="Open Sans" w:hAnsi="Open Sans" w:cs="Open Sans"/>
          <w:sz w:val="22"/>
          <w:szCs w:val="22"/>
        </w:rPr>
        <w:t xml:space="preserve">Bilbao </w:t>
      </w:r>
      <w:r w:rsidR="00CE332D">
        <w:rPr>
          <w:rFonts w:ascii="Open Sans" w:hAnsi="Open Sans" w:cs="Open Sans"/>
          <w:sz w:val="22"/>
          <w:szCs w:val="22"/>
        </w:rPr>
        <w:t>con</w:t>
      </w:r>
      <w:r w:rsidR="00CE332D" w:rsidRPr="00CE332D">
        <w:rPr>
          <w:rFonts w:ascii="Open Sans" w:hAnsi="Open Sans" w:cs="Open Sans"/>
          <w:sz w:val="22"/>
          <w:szCs w:val="22"/>
        </w:rPr>
        <w:t xml:space="preserve"> 104,52 </w:t>
      </w:r>
      <w:r w:rsidR="00CE332D">
        <w:rPr>
          <w:rFonts w:ascii="Open Sans" w:hAnsi="Open Sans" w:cs="Open Sans"/>
          <w:sz w:val="22"/>
          <w:szCs w:val="22"/>
        </w:rPr>
        <w:t xml:space="preserve">euros al mes, </w:t>
      </w:r>
      <w:r w:rsidR="00CE332D" w:rsidRPr="00CE332D">
        <w:rPr>
          <w:rFonts w:ascii="Open Sans" w:hAnsi="Open Sans" w:cs="Open Sans"/>
          <w:sz w:val="22"/>
          <w:szCs w:val="22"/>
        </w:rPr>
        <w:t xml:space="preserve">Marbella </w:t>
      </w:r>
      <w:r w:rsidR="00CE332D">
        <w:rPr>
          <w:rFonts w:ascii="Open Sans" w:hAnsi="Open Sans" w:cs="Open Sans"/>
          <w:sz w:val="22"/>
          <w:szCs w:val="22"/>
        </w:rPr>
        <w:t>con</w:t>
      </w:r>
      <w:r w:rsidR="00CE332D" w:rsidRPr="00CE332D">
        <w:rPr>
          <w:rFonts w:ascii="Open Sans" w:hAnsi="Open Sans" w:cs="Open Sans"/>
          <w:sz w:val="22"/>
          <w:szCs w:val="22"/>
        </w:rPr>
        <w:t xml:space="preserve"> 102,58 </w:t>
      </w:r>
      <w:r w:rsidR="00CE332D">
        <w:rPr>
          <w:rFonts w:ascii="Open Sans" w:hAnsi="Open Sans" w:cs="Open Sans"/>
          <w:sz w:val="22"/>
          <w:szCs w:val="22"/>
        </w:rPr>
        <w:t xml:space="preserve">euros al mes y </w:t>
      </w:r>
      <w:r w:rsidR="00CE332D" w:rsidRPr="00CE332D">
        <w:rPr>
          <w:rFonts w:ascii="Open Sans" w:hAnsi="Open Sans" w:cs="Open Sans"/>
          <w:sz w:val="22"/>
          <w:szCs w:val="22"/>
        </w:rPr>
        <w:t xml:space="preserve">Salou </w:t>
      </w:r>
      <w:r w:rsidR="00CE332D">
        <w:rPr>
          <w:rFonts w:ascii="Open Sans" w:hAnsi="Open Sans" w:cs="Open Sans"/>
          <w:sz w:val="22"/>
          <w:szCs w:val="22"/>
        </w:rPr>
        <w:t>con</w:t>
      </w:r>
      <w:r w:rsidR="00CE332D" w:rsidRPr="00CE332D">
        <w:rPr>
          <w:rFonts w:ascii="Open Sans" w:hAnsi="Open Sans" w:cs="Open Sans"/>
          <w:sz w:val="22"/>
          <w:szCs w:val="22"/>
        </w:rPr>
        <w:t xml:space="preserve"> 100,00 </w:t>
      </w:r>
      <w:r w:rsidR="00CE332D">
        <w:rPr>
          <w:rFonts w:ascii="Open Sans" w:hAnsi="Open Sans" w:cs="Open Sans"/>
          <w:sz w:val="22"/>
          <w:szCs w:val="22"/>
        </w:rPr>
        <w:t xml:space="preserve">euros al mes, todas ellas por encima de los 100 euros. </w:t>
      </w:r>
      <w:r>
        <w:rPr>
          <w:rFonts w:ascii="Open Sans" w:hAnsi="Open Sans" w:cs="Open Sans"/>
          <w:sz w:val="22"/>
          <w:szCs w:val="22"/>
        </w:rPr>
        <w:t xml:space="preserve">Por otro lado, las ciudades en donde los garajes son más económicos para </w:t>
      </w:r>
      <w:r w:rsidR="004C4ED3">
        <w:rPr>
          <w:rFonts w:ascii="Open Sans" w:hAnsi="Open Sans" w:cs="Open Sans"/>
          <w:sz w:val="22"/>
          <w:szCs w:val="22"/>
        </w:rPr>
        <w:t>alquilar</w:t>
      </w:r>
      <w:r>
        <w:rPr>
          <w:rFonts w:ascii="Open Sans" w:hAnsi="Open Sans" w:cs="Open Sans"/>
          <w:sz w:val="22"/>
          <w:szCs w:val="22"/>
        </w:rPr>
        <w:t xml:space="preserve"> son: </w:t>
      </w:r>
      <w:r w:rsidR="00CE332D" w:rsidRPr="00CE332D">
        <w:rPr>
          <w:rFonts w:ascii="Open Sans" w:hAnsi="Open Sans" w:cs="Open Sans"/>
          <w:sz w:val="22"/>
          <w:szCs w:val="22"/>
        </w:rPr>
        <w:t xml:space="preserve">Alcorcón </w:t>
      </w:r>
      <w:r w:rsidR="00CE332D">
        <w:rPr>
          <w:rFonts w:ascii="Open Sans" w:hAnsi="Open Sans" w:cs="Open Sans"/>
          <w:sz w:val="22"/>
          <w:szCs w:val="22"/>
        </w:rPr>
        <w:t>con</w:t>
      </w:r>
      <w:r w:rsidR="00CE332D" w:rsidRPr="00CE332D">
        <w:rPr>
          <w:rFonts w:ascii="Open Sans" w:hAnsi="Open Sans" w:cs="Open Sans"/>
          <w:sz w:val="22"/>
          <w:szCs w:val="22"/>
        </w:rPr>
        <w:t xml:space="preserve"> 51,63 </w:t>
      </w:r>
      <w:r w:rsidR="00CE332D">
        <w:rPr>
          <w:rFonts w:ascii="Open Sans" w:hAnsi="Open Sans" w:cs="Open Sans"/>
          <w:sz w:val="22"/>
          <w:szCs w:val="22"/>
        </w:rPr>
        <w:t xml:space="preserve">euros al mes, </w:t>
      </w:r>
      <w:r w:rsidR="00CE332D" w:rsidRPr="00CE332D">
        <w:rPr>
          <w:rFonts w:ascii="Open Sans" w:hAnsi="Open Sans" w:cs="Open Sans"/>
          <w:sz w:val="22"/>
          <w:szCs w:val="22"/>
        </w:rPr>
        <w:t xml:space="preserve">Ávila Capital </w:t>
      </w:r>
      <w:r w:rsidR="00CE332D">
        <w:rPr>
          <w:rFonts w:ascii="Open Sans" w:hAnsi="Open Sans" w:cs="Open Sans"/>
          <w:sz w:val="22"/>
          <w:szCs w:val="22"/>
        </w:rPr>
        <w:t>con</w:t>
      </w:r>
      <w:r w:rsidR="00CE332D" w:rsidRPr="00CE332D">
        <w:rPr>
          <w:rFonts w:ascii="Open Sans" w:hAnsi="Open Sans" w:cs="Open Sans"/>
          <w:sz w:val="22"/>
          <w:szCs w:val="22"/>
        </w:rPr>
        <w:t xml:space="preserve"> 52,24 </w:t>
      </w:r>
      <w:r w:rsidR="00CE332D">
        <w:rPr>
          <w:rFonts w:ascii="Open Sans" w:hAnsi="Open Sans" w:cs="Open Sans"/>
          <w:sz w:val="22"/>
          <w:szCs w:val="22"/>
        </w:rPr>
        <w:t xml:space="preserve">euros al mes, </w:t>
      </w:r>
      <w:r w:rsidR="00CE332D" w:rsidRPr="00CE332D">
        <w:rPr>
          <w:rFonts w:ascii="Open Sans" w:hAnsi="Open Sans" w:cs="Open Sans"/>
          <w:sz w:val="22"/>
          <w:szCs w:val="22"/>
        </w:rPr>
        <w:t xml:space="preserve">Linares </w:t>
      </w:r>
      <w:r w:rsidR="00CE332D">
        <w:rPr>
          <w:rFonts w:ascii="Open Sans" w:hAnsi="Open Sans" w:cs="Open Sans"/>
          <w:sz w:val="22"/>
          <w:szCs w:val="22"/>
        </w:rPr>
        <w:t>con</w:t>
      </w:r>
      <w:r w:rsidR="00CE332D" w:rsidRPr="00CE332D">
        <w:rPr>
          <w:rFonts w:ascii="Open Sans" w:hAnsi="Open Sans" w:cs="Open Sans"/>
          <w:sz w:val="22"/>
          <w:szCs w:val="22"/>
        </w:rPr>
        <w:t xml:space="preserve"> 53,21 </w:t>
      </w:r>
      <w:r w:rsidR="00CE332D">
        <w:rPr>
          <w:rFonts w:ascii="Open Sans" w:hAnsi="Open Sans" w:cs="Open Sans"/>
          <w:sz w:val="22"/>
          <w:szCs w:val="22"/>
        </w:rPr>
        <w:t xml:space="preserve">euros al mes, </w:t>
      </w:r>
      <w:r w:rsidR="00CE332D" w:rsidRPr="00CE332D">
        <w:rPr>
          <w:rFonts w:ascii="Open Sans" w:hAnsi="Open Sans" w:cs="Open Sans"/>
          <w:sz w:val="22"/>
          <w:szCs w:val="22"/>
        </w:rPr>
        <w:t xml:space="preserve">Lugo Capital </w:t>
      </w:r>
      <w:r w:rsidR="00CE332D">
        <w:rPr>
          <w:rFonts w:ascii="Open Sans" w:hAnsi="Open Sans" w:cs="Open Sans"/>
          <w:sz w:val="22"/>
          <w:szCs w:val="22"/>
        </w:rPr>
        <w:t>con</w:t>
      </w:r>
      <w:r w:rsidR="00CE332D" w:rsidRPr="004C4ED3">
        <w:rPr>
          <w:rFonts w:ascii="Open Sans" w:hAnsi="Open Sans" w:cs="Open Sans"/>
          <w:sz w:val="22"/>
          <w:szCs w:val="22"/>
        </w:rPr>
        <w:t xml:space="preserve"> </w:t>
      </w:r>
      <w:r w:rsidR="00CE332D" w:rsidRPr="00CE332D">
        <w:rPr>
          <w:rFonts w:ascii="Open Sans" w:hAnsi="Open Sans" w:cs="Open Sans"/>
          <w:sz w:val="22"/>
          <w:szCs w:val="22"/>
        </w:rPr>
        <w:t xml:space="preserve">53,41 </w:t>
      </w:r>
      <w:r w:rsidR="00CE332D">
        <w:rPr>
          <w:rFonts w:ascii="Open Sans" w:hAnsi="Open Sans" w:cs="Open Sans"/>
          <w:sz w:val="22"/>
          <w:szCs w:val="22"/>
        </w:rPr>
        <w:t xml:space="preserve">euros al mes y </w:t>
      </w:r>
      <w:r w:rsidR="00CE332D" w:rsidRPr="00CE332D">
        <w:rPr>
          <w:rFonts w:ascii="Open Sans" w:hAnsi="Open Sans" w:cs="Open Sans"/>
          <w:sz w:val="22"/>
          <w:szCs w:val="22"/>
        </w:rPr>
        <w:t xml:space="preserve">Elche / Elx </w:t>
      </w:r>
      <w:r w:rsidR="00CE332D">
        <w:rPr>
          <w:rFonts w:ascii="Open Sans" w:hAnsi="Open Sans" w:cs="Open Sans"/>
          <w:sz w:val="22"/>
          <w:szCs w:val="22"/>
        </w:rPr>
        <w:t>con</w:t>
      </w:r>
      <w:r w:rsidR="00CE332D" w:rsidRPr="00CE332D">
        <w:rPr>
          <w:rFonts w:ascii="Open Sans" w:hAnsi="Open Sans" w:cs="Open Sans"/>
          <w:sz w:val="22"/>
          <w:szCs w:val="22"/>
        </w:rPr>
        <w:t xml:space="preserve"> 54,08 </w:t>
      </w:r>
      <w:r w:rsidR="00CE332D">
        <w:rPr>
          <w:rFonts w:ascii="Open Sans" w:hAnsi="Open Sans" w:cs="Open Sans"/>
          <w:sz w:val="22"/>
          <w:szCs w:val="22"/>
        </w:rPr>
        <w:t>euros al mes.</w:t>
      </w:r>
    </w:p>
    <w:p w14:paraId="6DDFE6C3" w14:textId="446A8BED" w:rsidR="00A449CC" w:rsidRDefault="000257B1" w:rsidP="002C1563">
      <w:pPr>
        <w:pStyle w:val="Prrafodelista"/>
        <w:spacing w:line="276" w:lineRule="auto"/>
        <w:ind w:left="0" w:right="-574"/>
        <w:jc w:val="center"/>
        <w:rPr>
          <w:rFonts w:ascii="National" w:hAnsi="National"/>
          <w:b/>
          <w:bCs/>
          <w:iCs/>
          <w:color w:val="FF0000"/>
          <w:sz w:val="28"/>
          <w:szCs w:val="160"/>
          <w:lang w:val="es-ES"/>
        </w:rPr>
      </w:pPr>
      <w:r>
        <w:rPr>
          <w:rFonts w:ascii="National" w:hAnsi="National"/>
          <w:b/>
          <w:bCs/>
          <w:iCs/>
          <w:color w:val="303AB2"/>
          <w:sz w:val="28"/>
          <w:szCs w:val="160"/>
          <w:lang w:val="es-ES"/>
        </w:rPr>
        <w:t>Ciudades</w:t>
      </w:r>
      <w:r w:rsidR="00AD3095">
        <w:rPr>
          <w:rFonts w:ascii="National" w:hAnsi="National"/>
          <w:b/>
          <w:bCs/>
          <w:iCs/>
          <w:color w:val="303AB2"/>
          <w:sz w:val="28"/>
          <w:szCs w:val="160"/>
          <w:lang w:val="es-ES"/>
        </w:rPr>
        <w:t xml:space="preserve"> </w:t>
      </w:r>
      <w:r w:rsidR="00FB61E9">
        <w:rPr>
          <w:rFonts w:ascii="National" w:hAnsi="National"/>
          <w:b/>
          <w:bCs/>
          <w:iCs/>
          <w:color w:val="303AB2"/>
          <w:sz w:val="28"/>
          <w:szCs w:val="160"/>
          <w:lang w:val="es-ES"/>
        </w:rPr>
        <w:t xml:space="preserve">con </w:t>
      </w:r>
      <w:r w:rsidR="003D5A70">
        <w:rPr>
          <w:rFonts w:ascii="National" w:hAnsi="National"/>
          <w:b/>
          <w:bCs/>
          <w:iCs/>
          <w:color w:val="303AB2"/>
          <w:sz w:val="28"/>
          <w:szCs w:val="160"/>
          <w:lang w:val="es-ES"/>
        </w:rPr>
        <w:t xml:space="preserve">precio y </w:t>
      </w:r>
      <w:r w:rsidR="00FB61E9">
        <w:rPr>
          <w:rFonts w:ascii="National" w:hAnsi="National"/>
          <w:b/>
          <w:bCs/>
          <w:iCs/>
          <w:color w:val="303AB2"/>
          <w:sz w:val="28"/>
          <w:szCs w:val="160"/>
          <w:lang w:val="es-ES"/>
        </w:rPr>
        <w:t>p</w:t>
      </w:r>
      <w:r w:rsidR="00FB61E9" w:rsidRPr="00D82713">
        <w:rPr>
          <w:rFonts w:ascii="National" w:hAnsi="National"/>
          <w:b/>
          <w:bCs/>
          <w:iCs/>
          <w:color w:val="303AB2"/>
          <w:sz w:val="28"/>
          <w:szCs w:val="160"/>
          <w:lang w:val="es-ES"/>
        </w:rPr>
        <w:t>orcentaje</w:t>
      </w:r>
      <w:r w:rsidR="003D5A70">
        <w:rPr>
          <w:rFonts w:ascii="National" w:hAnsi="National"/>
          <w:b/>
          <w:bCs/>
          <w:iCs/>
          <w:color w:val="303AB2"/>
          <w:sz w:val="28"/>
          <w:szCs w:val="160"/>
          <w:lang w:val="es-ES"/>
        </w:rPr>
        <w:t xml:space="preserve"> anual 202</w:t>
      </w:r>
      <w:r w:rsidR="00CE332D">
        <w:rPr>
          <w:rFonts w:ascii="National" w:hAnsi="National"/>
          <w:b/>
          <w:bCs/>
          <w:iCs/>
          <w:color w:val="303AB2"/>
          <w:sz w:val="28"/>
          <w:szCs w:val="160"/>
          <w:lang w:val="es-ES"/>
        </w:rPr>
        <w:t>5</w:t>
      </w:r>
      <w:r w:rsidR="00FB61E9" w:rsidRPr="00D82713">
        <w:rPr>
          <w:rFonts w:ascii="National" w:hAnsi="National"/>
          <w:b/>
          <w:bCs/>
          <w:iCs/>
          <w:color w:val="303AB2"/>
          <w:sz w:val="28"/>
          <w:szCs w:val="160"/>
          <w:lang w:val="es-ES"/>
        </w:rPr>
        <w:t xml:space="preserve"> (%) </w:t>
      </w:r>
      <w:r w:rsidR="00FB61E9" w:rsidRPr="001C6AC4">
        <w:rPr>
          <w:rFonts w:ascii="National" w:hAnsi="National"/>
          <w:b/>
          <w:bCs/>
          <w:iCs/>
          <w:color w:val="FF0000"/>
          <w:sz w:val="28"/>
          <w:szCs w:val="160"/>
          <w:lang w:val="es-ES"/>
        </w:rPr>
        <w:t xml:space="preserve"> </w:t>
      </w:r>
    </w:p>
    <w:p w14:paraId="53F49182" w14:textId="77777777" w:rsidR="009F5DCC" w:rsidRDefault="009F5DCC" w:rsidP="002C1563">
      <w:pPr>
        <w:pStyle w:val="Prrafodelista"/>
        <w:spacing w:line="276" w:lineRule="auto"/>
        <w:ind w:left="0" w:right="-574"/>
        <w:jc w:val="center"/>
        <w:rPr>
          <w:rFonts w:ascii="National" w:hAnsi="National"/>
          <w:b/>
          <w:bCs/>
          <w:iCs/>
          <w:color w:val="FF0000"/>
          <w:sz w:val="28"/>
          <w:szCs w:val="160"/>
          <w:lang w:val="es-ES"/>
        </w:rPr>
      </w:pPr>
    </w:p>
    <w:tbl>
      <w:tblPr>
        <w:tblW w:w="9124" w:type="dxa"/>
        <w:tbl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single" w:sz="8" w:space="0" w:color="A5A5A5"/>
          <w:insideV w:val="single" w:sz="8" w:space="0" w:color="A5A5A5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2563"/>
        <w:gridCol w:w="1843"/>
        <w:gridCol w:w="1497"/>
        <w:gridCol w:w="1530"/>
      </w:tblGrid>
      <w:tr w:rsidR="000257B1" w:rsidRPr="008321EB" w14:paraId="3453976F" w14:textId="77777777" w:rsidTr="000257B1">
        <w:trPr>
          <w:trHeight w:val="20"/>
        </w:trPr>
        <w:tc>
          <w:tcPr>
            <w:tcW w:w="1691" w:type="dxa"/>
            <w:shd w:val="clear" w:color="000000" w:fill="8496B0"/>
            <w:vAlign w:val="center"/>
            <w:hideMark/>
          </w:tcPr>
          <w:p w14:paraId="5A82E996" w14:textId="335049F7" w:rsidR="000257B1" w:rsidRPr="005D5A58" w:rsidRDefault="000257B1" w:rsidP="000257B1">
            <w:pPr>
              <w:rPr>
                <w:rFonts w:ascii="Open Sans" w:eastAsia="Times New Roman" w:hAnsi="Open Sans" w:cs="Open Sans"/>
                <w:color w:val="FFFFFF" w:themeColor="background1"/>
                <w:sz w:val="20"/>
                <w:szCs w:val="20"/>
                <w:lang w:val="es-ES" w:eastAsia="es-ES"/>
              </w:rPr>
            </w:pPr>
            <w:r w:rsidRPr="005D5A58">
              <w:rPr>
                <w:rFonts w:ascii="Open Sans" w:eastAsia="Times New Roman" w:hAnsi="Open Sans" w:cs="Open Sans"/>
                <w:color w:val="FFFFFF" w:themeColor="background1"/>
                <w:sz w:val="20"/>
                <w:szCs w:val="20"/>
                <w:lang w:val="es-ES" w:eastAsia="es-ES"/>
              </w:rPr>
              <w:t>Provincia</w:t>
            </w:r>
          </w:p>
        </w:tc>
        <w:tc>
          <w:tcPr>
            <w:tcW w:w="2563" w:type="dxa"/>
            <w:shd w:val="clear" w:color="000000" w:fill="8496B0"/>
            <w:vAlign w:val="center"/>
          </w:tcPr>
          <w:p w14:paraId="2A259BA6" w14:textId="2E01D6CD" w:rsidR="000257B1" w:rsidRPr="000257B1" w:rsidRDefault="000257B1" w:rsidP="000257B1">
            <w:pPr>
              <w:rPr>
                <w:rFonts w:ascii="Open Sans" w:eastAsia="Times New Roman" w:hAnsi="Open Sans" w:cs="Open Sans"/>
                <w:color w:val="FFFFFF" w:themeColor="background1"/>
                <w:sz w:val="20"/>
                <w:szCs w:val="20"/>
                <w:lang w:eastAsia="es-ES"/>
              </w:rPr>
            </w:pPr>
            <w:r w:rsidRPr="000257B1">
              <w:rPr>
                <w:rFonts w:ascii="Open Sans" w:eastAsia="Times New Roman" w:hAnsi="Open Sans" w:cs="Open Sans"/>
                <w:color w:val="FFFFFF" w:themeColor="background1"/>
                <w:sz w:val="20"/>
                <w:szCs w:val="20"/>
                <w:lang w:eastAsia="es-ES"/>
              </w:rPr>
              <w:t>Ciudad</w:t>
            </w:r>
          </w:p>
        </w:tc>
        <w:tc>
          <w:tcPr>
            <w:tcW w:w="1843" w:type="dxa"/>
            <w:shd w:val="clear" w:color="000000" w:fill="8496B0"/>
            <w:vAlign w:val="center"/>
            <w:hideMark/>
          </w:tcPr>
          <w:p w14:paraId="551F2E61" w14:textId="09112EE7" w:rsidR="000257B1" w:rsidRPr="000257B1" w:rsidRDefault="000257B1" w:rsidP="000257B1">
            <w:pPr>
              <w:jc w:val="center"/>
              <w:rPr>
                <w:rFonts w:ascii="Open Sans" w:eastAsia="Times New Roman" w:hAnsi="Open Sans" w:cs="Open Sans"/>
                <w:color w:val="FFFFFF" w:themeColor="background1"/>
                <w:sz w:val="20"/>
                <w:szCs w:val="20"/>
                <w:lang w:eastAsia="es-ES"/>
              </w:rPr>
            </w:pPr>
            <w:r w:rsidRPr="000257B1">
              <w:rPr>
                <w:rFonts w:ascii="Open Sans" w:eastAsia="Times New Roman" w:hAnsi="Open Sans" w:cs="Open Sans"/>
                <w:color w:val="FFFFFF" w:themeColor="background1"/>
                <w:sz w:val="20"/>
                <w:szCs w:val="20"/>
                <w:lang w:eastAsia="es-ES"/>
              </w:rPr>
              <w:t>Precio medio</w:t>
            </w:r>
          </w:p>
          <w:p w14:paraId="5F4D9AD7" w14:textId="157BBC56" w:rsidR="000257B1" w:rsidRPr="000257B1" w:rsidRDefault="000257B1" w:rsidP="000257B1">
            <w:pPr>
              <w:jc w:val="center"/>
              <w:rPr>
                <w:rFonts w:ascii="Open Sans" w:eastAsia="Times New Roman" w:hAnsi="Open Sans" w:cs="Open Sans"/>
                <w:color w:val="FFFFFF" w:themeColor="background1"/>
                <w:sz w:val="20"/>
                <w:szCs w:val="20"/>
                <w:lang w:val="es-ES" w:eastAsia="es-ES"/>
              </w:rPr>
            </w:pPr>
            <w:r w:rsidRPr="000257B1">
              <w:rPr>
                <w:rFonts w:ascii="Open Sans" w:eastAsia="Times New Roman" w:hAnsi="Open Sans" w:cs="Open Sans"/>
                <w:color w:val="FFFFFF" w:themeColor="background1"/>
                <w:sz w:val="20"/>
                <w:szCs w:val="20"/>
                <w:lang w:eastAsia="es-ES"/>
              </w:rPr>
              <w:t>Garaje 202</w:t>
            </w:r>
            <w:r w:rsidR="00C668A7">
              <w:rPr>
                <w:rFonts w:ascii="Open Sans" w:eastAsia="Times New Roman" w:hAnsi="Open Sans" w:cs="Open Sans"/>
                <w:color w:val="FFFFFF" w:themeColor="background1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1497" w:type="dxa"/>
            <w:shd w:val="clear" w:color="000000" w:fill="8496B0"/>
            <w:vAlign w:val="center"/>
          </w:tcPr>
          <w:p w14:paraId="6C8A0975" w14:textId="7340FBB4" w:rsidR="000257B1" w:rsidRPr="000257B1" w:rsidRDefault="000257B1" w:rsidP="000257B1">
            <w:pPr>
              <w:jc w:val="center"/>
              <w:rPr>
                <w:rFonts w:ascii="Open Sans" w:eastAsia="Times New Roman" w:hAnsi="Open Sans" w:cs="Open Sans"/>
                <w:color w:val="FFFFFF" w:themeColor="background1"/>
                <w:sz w:val="20"/>
                <w:szCs w:val="20"/>
                <w:lang w:eastAsia="es-ES"/>
              </w:rPr>
            </w:pPr>
            <w:r w:rsidRPr="000257B1">
              <w:rPr>
                <w:rFonts w:ascii="Open Sans" w:eastAsia="Times New Roman" w:hAnsi="Open Sans" w:cs="Open Sans"/>
                <w:color w:val="FFFFFF" w:themeColor="background1"/>
                <w:sz w:val="20"/>
                <w:szCs w:val="20"/>
                <w:lang w:eastAsia="es-ES"/>
              </w:rPr>
              <w:t>Precio medio</w:t>
            </w:r>
          </w:p>
          <w:p w14:paraId="28428187" w14:textId="4C0A0A77" w:rsidR="000257B1" w:rsidRPr="000257B1" w:rsidRDefault="000257B1" w:rsidP="000257B1">
            <w:pPr>
              <w:jc w:val="center"/>
              <w:rPr>
                <w:rFonts w:ascii="Open Sans" w:eastAsia="Times New Roman" w:hAnsi="Open Sans" w:cs="Open Sans"/>
                <w:b/>
                <w:bCs/>
                <w:color w:val="FFFFFF" w:themeColor="background1"/>
                <w:sz w:val="20"/>
                <w:szCs w:val="20"/>
                <w:lang w:val="es-ES" w:eastAsia="es-ES"/>
              </w:rPr>
            </w:pPr>
            <w:r w:rsidRPr="000257B1">
              <w:rPr>
                <w:rFonts w:ascii="Open Sans" w:eastAsia="Times New Roman" w:hAnsi="Open Sans" w:cs="Open Sans"/>
                <w:color w:val="FFFFFF" w:themeColor="background1"/>
                <w:sz w:val="20"/>
                <w:szCs w:val="20"/>
                <w:lang w:eastAsia="es-ES"/>
              </w:rPr>
              <w:t>Garaje 202</w:t>
            </w:r>
            <w:r w:rsidR="00C668A7">
              <w:rPr>
                <w:rFonts w:ascii="Open Sans" w:eastAsia="Times New Roman" w:hAnsi="Open Sans" w:cs="Open Sans"/>
                <w:color w:val="FFFFFF" w:themeColor="background1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1530" w:type="dxa"/>
            <w:shd w:val="clear" w:color="000000" w:fill="8496B0"/>
            <w:vAlign w:val="center"/>
            <w:hideMark/>
          </w:tcPr>
          <w:p w14:paraId="3F3A22BE" w14:textId="643AB13D" w:rsidR="000257B1" w:rsidRPr="000257B1" w:rsidRDefault="000257B1" w:rsidP="000257B1">
            <w:pPr>
              <w:jc w:val="center"/>
              <w:rPr>
                <w:rFonts w:ascii="Open Sans" w:eastAsia="Times New Roman" w:hAnsi="Open Sans" w:cs="Open Sans"/>
                <w:color w:val="FFFFFF" w:themeColor="background1"/>
                <w:sz w:val="20"/>
                <w:szCs w:val="20"/>
                <w:lang w:val="es-ES" w:eastAsia="es-ES"/>
              </w:rPr>
            </w:pPr>
            <w:r w:rsidRPr="000257B1">
              <w:rPr>
                <w:rFonts w:ascii="Open Sans" w:eastAsia="Times New Roman" w:hAnsi="Open Sans" w:cs="Open Sans"/>
                <w:color w:val="FFFFFF" w:themeColor="background1"/>
                <w:sz w:val="20"/>
                <w:szCs w:val="20"/>
                <w:lang w:eastAsia="es-ES"/>
              </w:rPr>
              <w:t xml:space="preserve">Variación anual Garaje </w:t>
            </w:r>
            <w:r w:rsidRPr="000257B1">
              <w:rPr>
                <w:rFonts w:ascii="Open Sans" w:eastAsia="Times New Roman" w:hAnsi="Open Sans" w:cs="Open Sans"/>
                <w:color w:val="FFFFFF" w:themeColor="background1"/>
                <w:sz w:val="20"/>
                <w:szCs w:val="20"/>
                <w:lang w:val="es-ES" w:eastAsia="es-ES"/>
              </w:rPr>
              <w:t>202</w:t>
            </w:r>
            <w:r w:rsidR="00C668A7">
              <w:rPr>
                <w:rFonts w:ascii="Open Sans" w:eastAsia="Times New Roman" w:hAnsi="Open Sans" w:cs="Open Sans"/>
                <w:color w:val="FFFFFF" w:themeColor="background1"/>
                <w:sz w:val="20"/>
                <w:szCs w:val="20"/>
                <w:lang w:val="es-ES" w:eastAsia="es-ES"/>
              </w:rPr>
              <w:t>5</w:t>
            </w:r>
          </w:p>
        </w:tc>
      </w:tr>
      <w:tr w:rsidR="005D5A58" w:rsidRPr="008321EB" w14:paraId="2E14CDA7" w14:textId="77777777" w:rsidTr="000257B1">
        <w:trPr>
          <w:trHeight w:val="20"/>
        </w:trPr>
        <w:tc>
          <w:tcPr>
            <w:tcW w:w="1691" w:type="dxa"/>
            <w:shd w:val="clear" w:color="000000" w:fill="8496B0"/>
            <w:vAlign w:val="bottom"/>
            <w:hideMark/>
          </w:tcPr>
          <w:p w14:paraId="05E550F3" w14:textId="11012930" w:rsidR="005D5A58" w:rsidRPr="005D5A58" w:rsidRDefault="005D5A58" w:rsidP="005D5A58">
            <w:pPr>
              <w:rPr>
                <w:rFonts w:ascii="Open Sans" w:eastAsia="Times New Roman" w:hAnsi="Open Sans" w:cs="Open Sans"/>
                <w:color w:val="FFFFFF" w:themeColor="background1"/>
                <w:sz w:val="20"/>
                <w:szCs w:val="20"/>
                <w:lang w:val="es-ES" w:eastAsia="es-ES"/>
              </w:rPr>
            </w:pPr>
            <w:r w:rsidRPr="005D5A58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Almería</w:t>
            </w:r>
          </w:p>
        </w:tc>
        <w:tc>
          <w:tcPr>
            <w:tcW w:w="2563" w:type="dxa"/>
            <w:vAlign w:val="bottom"/>
          </w:tcPr>
          <w:p w14:paraId="11448306" w14:textId="33C00D0A" w:rsidR="005D5A58" w:rsidRPr="000257B1" w:rsidRDefault="005D5A58" w:rsidP="005D5A58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Roquetas de Mar</w:t>
            </w:r>
          </w:p>
        </w:tc>
        <w:tc>
          <w:tcPr>
            <w:tcW w:w="1843" w:type="dxa"/>
            <w:noWrap/>
            <w:vAlign w:val="bottom"/>
            <w:hideMark/>
          </w:tcPr>
          <w:p w14:paraId="5DA0BE97" w14:textId="1FEBF17D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53,17 €</w:t>
            </w:r>
          </w:p>
        </w:tc>
        <w:tc>
          <w:tcPr>
            <w:tcW w:w="1497" w:type="dxa"/>
            <w:vAlign w:val="bottom"/>
          </w:tcPr>
          <w:p w14:paraId="4E4CBA13" w14:textId="31E41093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61,07 €</w:t>
            </w:r>
          </w:p>
        </w:tc>
        <w:tc>
          <w:tcPr>
            <w:tcW w:w="1530" w:type="dxa"/>
            <w:noWrap/>
            <w:vAlign w:val="bottom"/>
            <w:hideMark/>
          </w:tcPr>
          <w:p w14:paraId="7ABC8A5B" w14:textId="5408A8EF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14,9%</w:t>
            </w:r>
          </w:p>
        </w:tc>
      </w:tr>
      <w:tr w:rsidR="005D5A58" w:rsidRPr="008321EB" w14:paraId="1402B067" w14:textId="77777777" w:rsidTr="000257B1">
        <w:trPr>
          <w:trHeight w:val="20"/>
        </w:trPr>
        <w:tc>
          <w:tcPr>
            <w:tcW w:w="1691" w:type="dxa"/>
            <w:shd w:val="clear" w:color="000000" w:fill="8496B0"/>
            <w:vAlign w:val="bottom"/>
            <w:hideMark/>
          </w:tcPr>
          <w:p w14:paraId="6F225E99" w14:textId="2E1F86F1" w:rsidR="005D5A58" w:rsidRPr="005D5A58" w:rsidRDefault="005D5A58" w:rsidP="005D5A58">
            <w:pPr>
              <w:rPr>
                <w:rFonts w:ascii="Open Sans" w:eastAsia="Times New Roman" w:hAnsi="Open Sans" w:cs="Open Sans"/>
                <w:color w:val="FFFFFF" w:themeColor="background1"/>
                <w:sz w:val="20"/>
                <w:szCs w:val="20"/>
                <w:lang w:val="es-ES" w:eastAsia="es-ES"/>
              </w:rPr>
            </w:pPr>
            <w:r w:rsidRPr="005D5A58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Palencia</w:t>
            </w:r>
          </w:p>
        </w:tc>
        <w:tc>
          <w:tcPr>
            <w:tcW w:w="2563" w:type="dxa"/>
            <w:shd w:val="clear" w:color="000000" w:fill="D6DCE4"/>
            <w:vAlign w:val="bottom"/>
          </w:tcPr>
          <w:p w14:paraId="52D2FFC6" w14:textId="35A5915D" w:rsidR="005D5A58" w:rsidRPr="000257B1" w:rsidRDefault="005D5A58" w:rsidP="005D5A58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Palencia Capital</w:t>
            </w:r>
          </w:p>
        </w:tc>
        <w:tc>
          <w:tcPr>
            <w:tcW w:w="1843" w:type="dxa"/>
            <w:shd w:val="clear" w:color="000000" w:fill="D6DCE4"/>
            <w:noWrap/>
            <w:vAlign w:val="bottom"/>
            <w:hideMark/>
          </w:tcPr>
          <w:p w14:paraId="163798AC" w14:textId="1F814F47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49,02 €</w:t>
            </w:r>
          </w:p>
        </w:tc>
        <w:tc>
          <w:tcPr>
            <w:tcW w:w="1497" w:type="dxa"/>
            <w:shd w:val="clear" w:color="000000" w:fill="D6DCE4"/>
            <w:vAlign w:val="bottom"/>
          </w:tcPr>
          <w:p w14:paraId="294F04E8" w14:textId="0E8C6849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56,18 €</w:t>
            </w:r>
          </w:p>
        </w:tc>
        <w:tc>
          <w:tcPr>
            <w:tcW w:w="1530" w:type="dxa"/>
            <w:shd w:val="clear" w:color="000000" w:fill="D6DCE4"/>
            <w:noWrap/>
            <w:vAlign w:val="bottom"/>
            <w:hideMark/>
          </w:tcPr>
          <w:p w14:paraId="6DE8B8B4" w14:textId="52AD022F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14,6%</w:t>
            </w:r>
          </w:p>
        </w:tc>
      </w:tr>
      <w:tr w:rsidR="005D5A58" w:rsidRPr="008321EB" w14:paraId="71747BAA" w14:textId="77777777" w:rsidTr="000257B1">
        <w:trPr>
          <w:trHeight w:val="20"/>
        </w:trPr>
        <w:tc>
          <w:tcPr>
            <w:tcW w:w="1691" w:type="dxa"/>
            <w:shd w:val="clear" w:color="000000" w:fill="8496B0"/>
            <w:vAlign w:val="bottom"/>
            <w:hideMark/>
          </w:tcPr>
          <w:p w14:paraId="46361F2F" w14:textId="792619C2" w:rsidR="005D5A58" w:rsidRPr="005D5A58" w:rsidRDefault="005D5A58" w:rsidP="005D5A58">
            <w:pPr>
              <w:rPr>
                <w:rFonts w:ascii="Open Sans" w:eastAsia="Times New Roman" w:hAnsi="Open Sans" w:cs="Open Sans"/>
                <w:color w:val="FFFFFF" w:themeColor="background1"/>
                <w:sz w:val="20"/>
                <w:szCs w:val="20"/>
                <w:lang w:val="es-ES" w:eastAsia="es-ES"/>
              </w:rPr>
            </w:pPr>
            <w:r w:rsidRPr="005D5A58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Barcelona</w:t>
            </w:r>
          </w:p>
        </w:tc>
        <w:tc>
          <w:tcPr>
            <w:tcW w:w="2563" w:type="dxa"/>
            <w:vAlign w:val="bottom"/>
          </w:tcPr>
          <w:p w14:paraId="593F141D" w14:textId="1C9165F2" w:rsidR="005D5A58" w:rsidRPr="000257B1" w:rsidRDefault="005D5A58" w:rsidP="005D5A58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Manresa</w:t>
            </w:r>
          </w:p>
        </w:tc>
        <w:tc>
          <w:tcPr>
            <w:tcW w:w="1843" w:type="dxa"/>
            <w:noWrap/>
            <w:vAlign w:val="bottom"/>
            <w:hideMark/>
          </w:tcPr>
          <w:p w14:paraId="5FA0E353" w14:textId="21B34ACD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59,93 €</w:t>
            </w:r>
          </w:p>
        </w:tc>
        <w:tc>
          <w:tcPr>
            <w:tcW w:w="1497" w:type="dxa"/>
            <w:vAlign w:val="bottom"/>
          </w:tcPr>
          <w:p w14:paraId="48EAB952" w14:textId="7A5C1A1A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68,61 €</w:t>
            </w:r>
          </w:p>
        </w:tc>
        <w:tc>
          <w:tcPr>
            <w:tcW w:w="1530" w:type="dxa"/>
            <w:noWrap/>
            <w:vAlign w:val="bottom"/>
            <w:hideMark/>
          </w:tcPr>
          <w:p w14:paraId="3A3DD72C" w14:textId="5794AE31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14,5%</w:t>
            </w:r>
          </w:p>
        </w:tc>
      </w:tr>
      <w:tr w:rsidR="005D5A58" w:rsidRPr="008321EB" w14:paraId="30C2A539" w14:textId="77777777" w:rsidTr="000257B1">
        <w:trPr>
          <w:trHeight w:val="20"/>
        </w:trPr>
        <w:tc>
          <w:tcPr>
            <w:tcW w:w="1691" w:type="dxa"/>
            <w:shd w:val="clear" w:color="000000" w:fill="8496B0"/>
            <w:vAlign w:val="bottom"/>
            <w:hideMark/>
          </w:tcPr>
          <w:p w14:paraId="1CB909F1" w14:textId="63C4196B" w:rsidR="005D5A58" w:rsidRPr="005D5A58" w:rsidRDefault="005D5A58" w:rsidP="005D5A58">
            <w:pPr>
              <w:rPr>
                <w:rFonts w:ascii="Open Sans" w:eastAsia="Times New Roman" w:hAnsi="Open Sans" w:cs="Open Sans"/>
                <w:color w:val="FFFFFF" w:themeColor="background1"/>
                <w:sz w:val="20"/>
                <w:szCs w:val="20"/>
                <w:lang w:val="es-ES" w:eastAsia="es-ES"/>
              </w:rPr>
            </w:pPr>
            <w:r w:rsidRPr="005D5A58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Asturias</w:t>
            </w:r>
          </w:p>
        </w:tc>
        <w:tc>
          <w:tcPr>
            <w:tcW w:w="2563" w:type="dxa"/>
            <w:shd w:val="clear" w:color="000000" w:fill="D6DCE4"/>
            <w:vAlign w:val="bottom"/>
          </w:tcPr>
          <w:p w14:paraId="1260E0E4" w14:textId="020BE25E" w:rsidR="005D5A58" w:rsidRPr="000257B1" w:rsidRDefault="005D5A58" w:rsidP="005D5A58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Gijón</w:t>
            </w:r>
          </w:p>
        </w:tc>
        <w:tc>
          <w:tcPr>
            <w:tcW w:w="1843" w:type="dxa"/>
            <w:shd w:val="clear" w:color="000000" w:fill="D6DCE4"/>
            <w:noWrap/>
            <w:vAlign w:val="bottom"/>
            <w:hideMark/>
          </w:tcPr>
          <w:p w14:paraId="7169EE5A" w14:textId="6A70058C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86,80 €</w:t>
            </w:r>
          </w:p>
        </w:tc>
        <w:tc>
          <w:tcPr>
            <w:tcW w:w="1497" w:type="dxa"/>
            <w:shd w:val="clear" w:color="000000" w:fill="D6DCE4"/>
            <w:vAlign w:val="bottom"/>
          </w:tcPr>
          <w:p w14:paraId="3F5635CD" w14:textId="01F5377F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99,35 €</w:t>
            </w:r>
          </w:p>
        </w:tc>
        <w:tc>
          <w:tcPr>
            <w:tcW w:w="1530" w:type="dxa"/>
            <w:shd w:val="clear" w:color="000000" w:fill="D6DCE4"/>
            <w:noWrap/>
            <w:vAlign w:val="bottom"/>
            <w:hideMark/>
          </w:tcPr>
          <w:p w14:paraId="07E9D5FB" w14:textId="0BC85893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14,5%</w:t>
            </w:r>
          </w:p>
        </w:tc>
      </w:tr>
      <w:tr w:rsidR="005D5A58" w:rsidRPr="008321EB" w14:paraId="4888181C" w14:textId="77777777" w:rsidTr="000257B1">
        <w:trPr>
          <w:trHeight w:val="20"/>
        </w:trPr>
        <w:tc>
          <w:tcPr>
            <w:tcW w:w="1691" w:type="dxa"/>
            <w:shd w:val="clear" w:color="000000" w:fill="8496B0"/>
            <w:vAlign w:val="bottom"/>
            <w:hideMark/>
          </w:tcPr>
          <w:p w14:paraId="36494789" w14:textId="6EE3EBC7" w:rsidR="005D5A58" w:rsidRPr="005D5A58" w:rsidRDefault="005D5A58" w:rsidP="005D5A58">
            <w:pPr>
              <w:rPr>
                <w:rFonts w:ascii="Open Sans" w:eastAsia="Times New Roman" w:hAnsi="Open Sans" w:cs="Open Sans"/>
                <w:color w:val="FFFFFF" w:themeColor="background1"/>
                <w:sz w:val="20"/>
                <w:szCs w:val="20"/>
                <w:lang w:val="es-ES" w:eastAsia="es-ES"/>
              </w:rPr>
            </w:pPr>
            <w:r w:rsidRPr="005D5A58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Madrid</w:t>
            </w:r>
          </w:p>
        </w:tc>
        <w:tc>
          <w:tcPr>
            <w:tcW w:w="2563" w:type="dxa"/>
            <w:vAlign w:val="bottom"/>
          </w:tcPr>
          <w:p w14:paraId="0201D957" w14:textId="7C3BEA43" w:rsidR="005D5A58" w:rsidRPr="000257B1" w:rsidRDefault="005D5A58" w:rsidP="005D5A58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Getafe</w:t>
            </w:r>
          </w:p>
        </w:tc>
        <w:tc>
          <w:tcPr>
            <w:tcW w:w="1843" w:type="dxa"/>
            <w:noWrap/>
            <w:vAlign w:val="bottom"/>
            <w:hideMark/>
          </w:tcPr>
          <w:p w14:paraId="5A16B16A" w14:textId="496501A1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54,47 €</w:t>
            </w:r>
          </w:p>
        </w:tc>
        <w:tc>
          <w:tcPr>
            <w:tcW w:w="1497" w:type="dxa"/>
            <w:vAlign w:val="bottom"/>
          </w:tcPr>
          <w:p w14:paraId="5A6F8C7F" w14:textId="6621FE03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61,32 €</w:t>
            </w:r>
          </w:p>
        </w:tc>
        <w:tc>
          <w:tcPr>
            <w:tcW w:w="1530" w:type="dxa"/>
            <w:noWrap/>
            <w:vAlign w:val="bottom"/>
            <w:hideMark/>
          </w:tcPr>
          <w:p w14:paraId="33A127FE" w14:textId="4F35E983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12,6%</w:t>
            </w:r>
          </w:p>
        </w:tc>
      </w:tr>
      <w:tr w:rsidR="005D5A58" w:rsidRPr="008321EB" w14:paraId="2193AE42" w14:textId="77777777" w:rsidTr="000257B1">
        <w:trPr>
          <w:trHeight w:val="20"/>
        </w:trPr>
        <w:tc>
          <w:tcPr>
            <w:tcW w:w="1691" w:type="dxa"/>
            <w:shd w:val="clear" w:color="000000" w:fill="8496B0"/>
            <w:vAlign w:val="bottom"/>
            <w:hideMark/>
          </w:tcPr>
          <w:p w14:paraId="2811C609" w14:textId="38EEB7A8" w:rsidR="005D5A58" w:rsidRPr="005D5A58" w:rsidRDefault="005D5A58" w:rsidP="005D5A58">
            <w:pPr>
              <w:rPr>
                <w:rFonts w:ascii="Open Sans" w:eastAsia="Times New Roman" w:hAnsi="Open Sans" w:cs="Open Sans"/>
                <w:color w:val="FFFFFF" w:themeColor="background1"/>
                <w:sz w:val="20"/>
                <w:szCs w:val="20"/>
                <w:lang w:val="es-ES" w:eastAsia="es-ES"/>
              </w:rPr>
            </w:pPr>
            <w:r w:rsidRPr="005D5A58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A Coruña</w:t>
            </w:r>
          </w:p>
        </w:tc>
        <w:tc>
          <w:tcPr>
            <w:tcW w:w="2563" w:type="dxa"/>
            <w:shd w:val="clear" w:color="000000" w:fill="D6DCE4"/>
            <w:vAlign w:val="bottom"/>
          </w:tcPr>
          <w:p w14:paraId="1F5367F5" w14:textId="16DB34A5" w:rsidR="005D5A58" w:rsidRPr="000257B1" w:rsidRDefault="005D5A58" w:rsidP="005D5A58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A Coruña Capital</w:t>
            </w:r>
          </w:p>
        </w:tc>
        <w:tc>
          <w:tcPr>
            <w:tcW w:w="1843" w:type="dxa"/>
            <w:shd w:val="clear" w:color="000000" w:fill="D6DCE4"/>
            <w:noWrap/>
            <w:vAlign w:val="bottom"/>
            <w:hideMark/>
          </w:tcPr>
          <w:p w14:paraId="0B2DDD23" w14:textId="377D185A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76,59 €</w:t>
            </w:r>
          </w:p>
        </w:tc>
        <w:tc>
          <w:tcPr>
            <w:tcW w:w="1497" w:type="dxa"/>
            <w:shd w:val="clear" w:color="000000" w:fill="D6DCE4"/>
            <w:vAlign w:val="bottom"/>
          </w:tcPr>
          <w:p w14:paraId="0082B87B" w14:textId="302CF207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85,92 €</w:t>
            </w:r>
          </w:p>
        </w:tc>
        <w:tc>
          <w:tcPr>
            <w:tcW w:w="1530" w:type="dxa"/>
            <w:shd w:val="clear" w:color="000000" w:fill="D6DCE4"/>
            <w:noWrap/>
            <w:vAlign w:val="bottom"/>
            <w:hideMark/>
          </w:tcPr>
          <w:p w14:paraId="7989411B" w14:textId="7D9E7106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12,2%</w:t>
            </w:r>
          </w:p>
        </w:tc>
      </w:tr>
      <w:tr w:rsidR="005D5A58" w:rsidRPr="008321EB" w14:paraId="0F32C743" w14:textId="77777777" w:rsidTr="000257B1">
        <w:trPr>
          <w:trHeight w:val="20"/>
        </w:trPr>
        <w:tc>
          <w:tcPr>
            <w:tcW w:w="1691" w:type="dxa"/>
            <w:shd w:val="clear" w:color="000000" w:fill="8496B0"/>
            <w:vAlign w:val="bottom"/>
            <w:hideMark/>
          </w:tcPr>
          <w:p w14:paraId="3990E0C9" w14:textId="183B34DE" w:rsidR="005D5A58" w:rsidRPr="005D5A58" w:rsidRDefault="005D5A58" w:rsidP="005D5A58">
            <w:pPr>
              <w:rPr>
                <w:rFonts w:ascii="Open Sans" w:eastAsia="Times New Roman" w:hAnsi="Open Sans" w:cs="Open Sans"/>
                <w:color w:val="FFFFFF" w:themeColor="background1"/>
                <w:sz w:val="20"/>
                <w:szCs w:val="20"/>
                <w:lang w:val="es-ES" w:eastAsia="es-ES"/>
              </w:rPr>
            </w:pPr>
            <w:r w:rsidRPr="005D5A58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Santa Cruz de Tenerife</w:t>
            </w:r>
          </w:p>
        </w:tc>
        <w:tc>
          <w:tcPr>
            <w:tcW w:w="2563" w:type="dxa"/>
            <w:vAlign w:val="bottom"/>
          </w:tcPr>
          <w:p w14:paraId="59665E0C" w14:textId="55C505AD" w:rsidR="005D5A58" w:rsidRPr="000257B1" w:rsidRDefault="005D5A58" w:rsidP="005D5A58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Santa Cruz de Tenerife Capital</w:t>
            </w:r>
          </w:p>
        </w:tc>
        <w:tc>
          <w:tcPr>
            <w:tcW w:w="1843" w:type="dxa"/>
            <w:noWrap/>
            <w:vAlign w:val="bottom"/>
            <w:hideMark/>
          </w:tcPr>
          <w:p w14:paraId="3008B32E" w14:textId="10094839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82,43 €</w:t>
            </w:r>
          </w:p>
        </w:tc>
        <w:tc>
          <w:tcPr>
            <w:tcW w:w="1497" w:type="dxa"/>
            <w:vAlign w:val="bottom"/>
          </w:tcPr>
          <w:p w14:paraId="43B25689" w14:textId="4522CBB5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91,88 €</w:t>
            </w:r>
          </w:p>
        </w:tc>
        <w:tc>
          <w:tcPr>
            <w:tcW w:w="1530" w:type="dxa"/>
            <w:noWrap/>
            <w:vAlign w:val="bottom"/>
            <w:hideMark/>
          </w:tcPr>
          <w:p w14:paraId="58CEC39A" w14:textId="5EFC9085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11,5%</w:t>
            </w:r>
          </w:p>
        </w:tc>
      </w:tr>
      <w:tr w:rsidR="005D5A58" w:rsidRPr="008321EB" w14:paraId="2DC554F9" w14:textId="77777777" w:rsidTr="000257B1">
        <w:trPr>
          <w:trHeight w:val="20"/>
        </w:trPr>
        <w:tc>
          <w:tcPr>
            <w:tcW w:w="1691" w:type="dxa"/>
            <w:shd w:val="clear" w:color="000000" w:fill="8496B0"/>
            <w:vAlign w:val="bottom"/>
            <w:hideMark/>
          </w:tcPr>
          <w:p w14:paraId="2A13006D" w14:textId="40E64DE7" w:rsidR="005D5A58" w:rsidRPr="005D5A58" w:rsidRDefault="005D5A58" w:rsidP="005D5A58">
            <w:pPr>
              <w:rPr>
                <w:rFonts w:ascii="Open Sans" w:eastAsia="Times New Roman" w:hAnsi="Open Sans" w:cs="Open Sans"/>
                <w:color w:val="FFFFFF" w:themeColor="background1"/>
                <w:sz w:val="20"/>
                <w:szCs w:val="20"/>
                <w:lang w:val="es-ES" w:eastAsia="es-ES"/>
              </w:rPr>
            </w:pPr>
            <w:r w:rsidRPr="005D5A58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Madrid</w:t>
            </w:r>
          </w:p>
        </w:tc>
        <w:tc>
          <w:tcPr>
            <w:tcW w:w="2563" w:type="dxa"/>
            <w:shd w:val="clear" w:color="000000" w:fill="D6DCE4"/>
            <w:vAlign w:val="bottom"/>
          </w:tcPr>
          <w:p w14:paraId="069F065D" w14:textId="7619A703" w:rsidR="005D5A58" w:rsidRPr="000257B1" w:rsidRDefault="005D5A58" w:rsidP="005D5A58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Alcobendas</w:t>
            </w:r>
          </w:p>
        </w:tc>
        <w:tc>
          <w:tcPr>
            <w:tcW w:w="1843" w:type="dxa"/>
            <w:shd w:val="clear" w:color="000000" w:fill="D6DCE4"/>
            <w:noWrap/>
            <w:vAlign w:val="bottom"/>
            <w:hideMark/>
          </w:tcPr>
          <w:p w14:paraId="264F98F9" w14:textId="5600232E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64,61 €</w:t>
            </w:r>
          </w:p>
        </w:tc>
        <w:tc>
          <w:tcPr>
            <w:tcW w:w="1497" w:type="dxa"/>
            <w:shd w:val="clear" w:color="000000" w:fill="D6DCE4"/>
            <w:vAlign w:val="bottom"/>
          </w:tcPr>
          <w:p w14:paraId="648B8CB0" w14:textId="1FE9CC10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71,70 €</w:t>
            </w:r>
          </w:p>
        </w:tc>
        <w:tc>
          <w:tcPr>
            <w:tcW w:w="1530" w:type="dxa"/>
            <w:shd w:val="clear" w:color="000000" w:fill="D6DCE4"/>
            <w:noWrap/>
            <w:vAlign w:val="bottom"/>
            <w:hideMark/>
          </w:tcPr>
          <w:p w14:paraId="56AC5F00" w14:textId="081468F8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11,0%</w:t>
            </w:r>
          </w:p>
        </w:tc>
      </w:tr>
      <w:tr w:rsidR="005D5A58" w:rsidRPr="008321EB" w14:paraId="13B7F907" w14:textId="77777777" w:rsidTr="000257B1">
        <w:trPr>
          <w:trHeight w:val="20"/>
        </w:trPr>
        <w:tc>
          <w:tcPr>
            <w:tcW w:w="1691" w:type="dxa"/>
            <w:shd w:val="clear" w:color="000000" w:fill="8496B0"/>
            <w:vAlign w:val="bottom"/>
            <w:hideMark/>
          </w:tcPr>
          <w:p w14:paraId="0659A35C" w14:textId="2D8B0250" w:rsidR="005D5A58" w:rsidRPr="005D5A58" w:rsidRDefault="005D5A58" w:rsidP="005D5A58">
            <w:pPr>
              <w:rPr>
                <w:rFonts w:ascii="Open Sans" w:eastAsia="Times New Roman" w:hAnsi="Open Sans" w:cs="Open Sans"/>
                <w:color w:val="FFFFFF" w:themeColor="background1"/>
                <w:sz w:val="20"/>
                <w:szCs w:val="20"/>
                <w:lang w:val="es-ES" w:eastAsia="es-ES"/>
              </w:rPr>
            </w:pPr>
            <w:r w:rsidRPr="005D5A58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Ourense</w:t>
            </w:r>
          </w:p>
        </w:tc>
        <w:tc>
          <w:tcPr>
            <w:tcW w:w="2563" w:type="dxa"/>
            <w:vAlign w:val="bottom"/>
          </w:tcPr>
          <w:p w14:paraId="79CA4555" w14:textId="01D473E6" w:rsidR="005D5A58" w:rsidRPr="000257B1" w:rsidRDefault="005D5A58" w:rsidP="005D5A58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Ourense Capital</w:t>
            </w:r>
          </w:p>
        </w:tc>
        <w:tc>
          <w:tcPr>
            <w:tcW w:w="1843" w:type="dxa"/>
            <w:noWrap/>
            <w:vAlign w:val="bottom"/>
            <w:hideMark/>
          </w:tcPr>
          <w:p w14:paraId="5D37457B" w14:textId="10A72DCF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56,78 €</w:t>
            </w:r>
          </w:p>
        </w:tc>
        <w:tc>
          <w:tcPr>
            <w:tcW w:w="1497" w:type="dxa"/>
            <w:vAlign w:val="bottom"/>
          </w:tcPr>
          <w:p w14:paraId="37A7BB23" w14:textId="0BE4D3BA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62,71 €</w:t>
            </w:r>
          </w:p>
        </w:tc>
        <w:tc>
          <w:tcPr>
            <w:tcW w:w="1530" w:type="dxa"/>
            <w:noWrap/>
            <w:vAlign w:val="bottom"/>
            <w:hideMark/>
          </w:tcPr>
          <w:p w14:paraId="2C715ADF" w14:textId="5E0845F7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10,4%</w:t>
            </w:r>
          </w:p>
        </w:tc>
      </w:tr>
      <w:tr w:rsidR="005D5A58" w:rsidRPr="008321EB" w14:paraId="79F70803" w14:textId="77777777" w:rsidTr="000257B1">
        <w:trPr>
          <w:trHeight w:val="20"/>
        </w:trPr>
        <w:tc>
          <w:tcPr>
            <w:tcW w:w="1691" w:type="dxa"/>
            <w:shd w:val="clear" w:color="000000" w:fill="8496B0"/>
            <w:vAlign w:val="bottom"/>
            <w:hideMark/>
          </w:tcPr>
          <w:p w14:paraId="13D9371F" w14:textId="10705848" w:rsidR="005D5A58" w:rsidRPr="005D5A58" w:rsidRDefault="005D5A58" w:rsidP="005D5A58">
            <w:pPr>
              <w:rPr>
                <w:rFonts w:ascii="Open Sans" w:eastAsia="Times New Roman" w:hAnsi="Open Sans" w:cs="Open Sans"/>
                <w:color w:val="FFFFFF" w:themeColor="background1"/>
                <w:sz w:val="20"/>
                <w:szCs w:val="20"/>
                <w:lang w:val="es-ES" w:eastAsia="es-ES"/>
              </w:rPr>
            </w:pPr>
            <w:r w:rsidRPr="005D5A58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Asturias</w:t>
            </w:r>
          </w:p>
        </w:tc>
        <w:tc>
          <w:tcPr>
            <w:tcW w:w="2563" w:type="dxa"/>
            <w:shd w:val="clear" w:color="000000" w:fill="D6DCE4"/>
            <w:vAlign w:val="bottom"/>
          </w:tcPr>
          <w:p w14:paraId="326D0DA7" w14:textId="741D2ED8" w:rsidR="005D5A58" w:rsidRPr="000257B1" w:rsidRDefault="005D5A58" w:rsidP="005D5A58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Oviedo</w:t>
            </w:r>
          </w:p>
        </w:tc>
        <w:tc>
          <w:tcPr>
            <w:tcW w:w="1843" w:type="dxa"/>
            <w:shd w:val="clear" w:color="000000" w:fill="D6DCE4"/>
            <w:noWrap/>
            <w:vAlign w:val="bottom"/>
            <w:hideMark/>
          </w:tcPr>
          <w:p w14:paraId="364EF260" w14:textId="335C2108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60,69 €</w:t>
            </w:r>
          </w:p>
        </w:tc>
        <w:tc>
          <w:tcPr>
            <w:tcW w:w="1497" w:type="dxa"/>
            <w:shd w:val="clear" w:color="000000" w:fill="D6DCE4"/>
            <w:vAlign w:val="bottom"/>
          </w:tcPr>
          <w:p w14:paraId="2C02EFE6" w14:textId="7907155A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66,89 €</w:t>
            </w:r>
          </w:p>
        </w:tc>
        <w:tc>
          <w:tcPr>
            <w:tcW w:w="1530" w:type="dxa"/>
            <w:shd w:val="clear" w:color="000000" w:fill="D6DCE4"/>
            <w:noWrap/>
            <w:vAlign w:val="bottom"/>
            <w:hideMark/>
          </w:tcPr>
          <w:p w14:paraId="0DB5291D" w14:textId="0048FDF5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10,2%</w:t>
            </w:r>
          </w:p>
        </w:tc>
      </w:tr>
      <w:tr w:rsidR="005D5A58" w:rsidRPr="008321EB" w14:paraId="73D54853" w14:textId="77777777" w:rsidTr="000257B1">
        <w:trPr>
          <w:trHeight w:val="20"/>
        </w:trPr>
        <w:tc>
          <w:tcPr>
            <w:tcW w:w="1691" w:type="dxa"/>
            <w:shd w:val="clear" w:color="000000" w:fill="8496B0"/>
            <w:vAlign w:val="bottom"/>
            <w:hideMark/>
          </w:tcPr>
          <w:p w14:paraId="14FB4A10" w14:textId="3BCE7AC1" w:rsidR="005D5A58" w:rsidRPr="005D5A58" w:rsidRDefault="005D5A58" w:rsidP="005D5A58">
            <w:pPr>
              <w:rPr>
                <w:rFonts w:ascii="Open Sans" w:eastAsia="Times New Roman" w:hAnsi="Open Sans" w:cs="Open Sans"/>
                <w:color w:val="FFFFFF" w:themeColor="background1"/>
                <w:sz w:val="20"/>
                <w:szCs w:val="20"/>
                <w:lang w:val="es-ES" w:eastAsia="es-ES"/>
              </w:rPr>
            </w:pPr>
            <w:r w:rsidRPr="005D5A58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Albacete</w:t>
            </w:r>
          </w:p>
        </w:tc>
        <w:tc>
          <w:tcPr>
            <w:tcW w:w="2563" w:type="dxa"/>
            <w:vAlign w:val="bottom"/>
          </w:tcPr>
          <w:p w14:paraId="64ED7B4D" w14:textId="150B7D00" w:rsidR="005D5A58" w:rsidRPr="000257B1" w:rsidRDefault="005D5A58" w:rsidP="005D5A58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Albacete Capital</w:t>
            </w:r>
          </w:p>
        </w:tc>
        <w:tc>
          <w:tcPr>
            <w:tcW w:w="1843" w:type="dxa"/>
            <w:noWrap/>
            <w:vAlign w:val="bottom"/>
            <w:hideMark/>
          </w:tcPr>
          <w:p w14:paraId="58EFF751" w14:textId="4E2FD356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65,60 €</w:t>
            </w:r>
          </w:p>
        </w:tc>
        <w:tc>
          <w:tcPr>
            <w:tcW w:w="1497" w:type="dxa"/>
            <w:vAlign w:val="bottom"/>
          </w:tcPr>
          <w:p w14:paraId="09191F21" w14:textId="64F6695C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71,97 €</w:t>
            </w:r>
          </w:p>
        </w:tc>
        <w:tc>
          <w:tcPr>
            <w:tcW w:w="1530" w:type="dxa"/>
            <w:noWrap/>
            <w:vAlign w:val="bottom"/>
            <w:hideMark/>
          </w:tcPr>
          <w:p w14:paraId="08EFD544" w14:textId="2025F10E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9,7%</w:t>
            </w:r>
          </w:p>
        </w:tc>
      </w:tr>
      <w:tr w:rsidR="005D5A58" w:rsidRPr="008321EB" w14:paraId="0E2C9019" w14:textId="77777777" w:rsidTr="000257B1">
        <w:trPr>
          <w:trHeight w:val="20"/>
        </w:trPr>
        <w:tc>
          <w:tcPr>
            <w:tcW w:w="1691" w:type="dxa"/>
            <w:shd w:val="clear" w:color="000000" w:fill="8496B0"/>
            <w:vAlign w:val="bottom"/>
            <w:hideMark/>
          </w:tcPr>
          <w:p w14:paraId="584481F3" w14:textId="17627190" w:rsidR="005D5A58" w:rsidRPr="005D5A58" w:rsidRDefault="005D5A58" w:rsidP="005D5A58">
            <w:pPr>
              <w:rPr>
                <w:rFonts w:ascii="Open Sans" w:eastAsia="Times New Roman" w:hAnsi="Open Sans" w:cs="Open Sans"/>
                <w:color w:val="FFFFFF" w:themeColor="background1"/>
                <w:sz w:val="20"/>
                <w:szCs w:val="20"/>
                <w:lang w:val="es-ES" w:eastAsia="es-ES"/>
              </w:rPr>
            </w:pPr>
            <w:r w:rsidRPr="005D5A58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Burgos</w:t>
            </w:r>
          </w:p>
        </w:tc>
        <w:tc>
          <w:tcPr>
            <w:tcW w:w="2563" w:type="dxa"/>
            <w:shd w:val="clear" w:color="000000" w:fill="D6DCE4"/>
            <w:vAlign w:val="bottom"/>
          </w:tcPr>
          <w:p w14:paraId="6BECC57A" w14:textId="65F79A05" w:rsidR="005D5A58" w:rsidRPr="000257B1" w:rsidRDefault="005D5A58" w:rsidP="005D5A58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Burgos Capital</w:t>
            </w:r>
          </w:p>
        </w:tc>
        <w:tc>
          <w:tcPr>
            <w:tcW w:w="1843" w:type="dxa"/>
            <w:shd w:val="clear" w:color="000000" w:fill="D6DCE4"/>
            <w:noWrap/>
            <w:vAlign w:val="bottom"/>
            <w:hideMark/>
          </w:tcPr>
          <w:p w14:paraId="236AA0C1" w14:textId="721E4B0D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52,35 €</w:t>
            </w:r>
          </w:p>
        </w:tc>
        <w:tc>
          <w:tcPr>
            <w:tcW w:w="1497" w:type="dxa"/>
            <w:shd w:val="clear" w:color="000000" w:fill="D6DCE4"/>
            <w:vAlign w:val="bottom"/>
          </w:tcPr>
          <w:p w14:paraId="6006B5E2" w14:textId="0F6AF432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57,42 €</w:t>
            </w:r>
          </w:p>
        </w:tc>
        <w:tc>
          <w:tcPr>
            <w:tcW w:w="1530" w:type="dxa"/>
            <w:shd w:val="clear" w:color="000000" w:fill="D6DCE4"/>
            <w:noWrap/>
            <w:vAlign w:val="bottom"/>
            <w:hideMark/>
          </w:tcPr>
          <w:p w14:paraId="4CA5C2BC" w14:textId="15A15278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9,7%</w:t>
            </w:r>
          </w:p>
        </w:tc>
      </w:tr>
      <w:tr w:rsidR="005D5A58" w:rsidRPr="008321EB" w14:paraId="14BADCA4" w14:textId="77777777" w:rsidTr="000257B1">
        <w:trPr>
          <w:trHeight w:val="20"/>
        </w:trPr>
        <w:tc>
          <w:tcPr>
            <w:tcW w:w="1691" w:type="dxa"/>
            <w:shd w:val="clear" w:color="000000" w:fill="8496B0"/>
            <w:vAlign w:val="bottom"/>
            <w:hideMark/>
          </w:tcPr>
          <w:p w14:paraId="5EA0D4D7" w14:textId="36A4352B" w:rsidR="005D5A58" w:rsidRPr="005D5A58" w:rsidRDefault="005D5A58" w:rsidP="005D5A58">
            <w:pPr>
              <w:rPr>
                <w:rFonts w:ascii="Open Sans" w:eastAsia="Times New Roman" w:hAnsi="Open Sans" w:cs="Open Sans"/>
                <w:color w:val="FFFFFF" w:themeColor="background1"/>
                <w:sz w:val="20"/>
                <w:szCs w:val="20"/>
                <w:lang w:val="es-ES" w:eastAsia="es-ES"/>
              </w:rPr>
            </w:pPr>
            <w:r w:rsidRPr="005D5A58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Toledo</w:t>
            </w:r>
          </w:p>
        </w:tc>
        <w:tc>
          <w:tcPr>
            <w:tcW w:w="2563" w:type="dxa"/>
            <w:vAlign w:val="bottom"/>
          </w:tcPr>
          <w:p w14:paraId="1F3DDEBD" w14:textId="7ABBE343" w:rsidR="005D5A58" w:rsidRPr="000257B1" w:rsidRDefault="005D5A58" w:rsidP="005D5A58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Toledo Capital</w:t>
            </w:r>
          </w:p>
        </w:tc>
        <w:tc>
          <w:tcPr>
            <w:tcW w:w="1843" w:type="dxa"/>
            <w:noWrap/>
            <w:vAlign w:val="bottom"/>
            <w:hideMark/>
          </w:tcPr>
          <w:p w14:paraId="7BEA31DD" w14:textId="0F79D3C2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55,76 €</w:t>
            </w:r>
          </w:p>
        </w:tc>
        <w:tc>
          <w:tcPr>
            <w:tcW w:w="1497" w:type="dxa"/>
            <w:vAlign w:val="bottom"/>
          </w:tcPr>
          <w:p w14:paraId="52C1D2F9" w14:textId="34A454CD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60,87 €</w:t>
            </w:r>
          </w:p>
        </w:tc>
        <w:tc>
          <w:tcPr>
            <w:tcW w:w="1530" w:type="dxa"/>
            <w:noWrap/>
            <w:vAlign w:val="bottom"/>
            <w:hideMark/>
          </w:tcPr>
          <w:p w14:paraId="6287F47A" w14:textId="0ACB707A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9,2%</w:t>
            </w:r>
          </w:p>
        </w:tc>
      </w:tr>
      <w:tr w:rsidR="005D5A58" w:rsidRPr="008321EB" w14:paraId="4EAFE096" w14:textId="77777777" w:rsidTr="000257B1">
        <w:trPr>
          <w:trHeight w:val="20"/>
        </w:trPr>
        <w:tc>
          <w:tcPr>
            <w:tcW w:w="1691" w:type="dxa"/>
            <w:shd w:val="clear" w:color="000000" w:fill="8496B0"/>
            <w:vAlign w:val="bottom"/>
            <w:hideMark/>
          </w:tcPr>
          <w:p w14:paraId="5FAF3DC4" w14:textId="4CA5DF6F" w:rsidR="005D5A58" w:rsidRPr="005D5A58" w:rsidRDefault="005D5A58" w:rsidP="005D5A58">
            <w:pPr>
              <w:rPr>
                <w:rFonts w:ascii="Open Sans" w:eastAsia="Times New Roman" w:hAnsi="Open Sans" w:cs="Open Sans"/>
                <w:color w:val="FFFFFF" w:themeColor="background1"/>
                <w:sz w:val="20"/>
                <w:szCs w:val="20"/>
                <w:lang w:val="es-ES" w:eastAsia="es-ES"/>
              </w:rPr>
            </w:pPr>
            <w:r w:rsidRPr="005D5A58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Guadalajara</w:t>
            </w:r>
          </w:p>
        </w:tc>
        <w:tc>
          <w:tcPr>
            <w:tcW w:w="2563" w:type="dxa"/>
            <w:shd w:val="clear" w:color="000000" w:fill="D6DCE4"/>
            <w:vAlign w:val="bottom"/>
          </w:tcPr>
          <w:p w14:paraId="669009CC" w14:textId="5D717900" w:rsidR="005D5A58" w:rsidRPr="000257B1" w:rsidRDefault="005D5A58" w:rsidP="005D5A58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Guadalajara Capital</w:t>
            </w:r>
          </w:p>
        </w:tc>
        <w:tc>
          <w:tcPr>
            <w:tcW w:w="1843" w:type="dxa"/>
            <w:shd w:val="clear" w:color="000000" w:fill="D6DCE4"/>
            <w:noWrap/>
            <w:vAlign w:val="bottom"/>
            <w:hideMark/>
          </w:tcPr>
          <w:p w14:paraId="28A6F7DF" w14:textId="41CB8D74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50,57 €</w:t>
            </w:r>
          </w:p>
        </w:tc>
        <w:tc>
          <w:tcPr>
            <w:tcW w:w="1497" w:type="dxa"/>
            <w:shd w:val="clear" w:color="000000" w:fill="D6DCE4"/>
            <w:vAlign w:val="bottom"/>
          </w:tcPr>
          <w:p w14:paraId="322F31F8" w14:textId="15CEE7DE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55,00 €</w:t>
            </w:r>
          </w:p>
        </w:tc>
        <w:tc>
          <w:tcPr>
            <w:tcW w:w="1530" w:type="dxa"/>
            <w:shd w:val="clear" w:color="000000" w:fill="D6DCE4"/>
            <w:noWrap/>
            <w:vAlign w:val="bottom"/>
            <w:hideMark/>
          </w:tcPr>
          <w:p w14:paraId="287FECE5" w14:textId="45F13987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8,8%</w:t>
            </w:r>
          </w:p>
        </w:tc>
      </w:tr>
      <w:tr w:rsidR="005D5A58" w:rsidRPr="008321EB" w14:paraId="31763E66" w14:textId="77777777" w:rsidTr="000257B1">
        <w:trPr>
          <w:trHeight w:val="20"/>
        </w:trPr>
        <w:tc>
          <w:tcPr>
            <w:tcW w:w="1691" w:type="dxa"/>
            <w:shd w:val="clear" w:color="000000" w:fill="8496B0"/>
            <w:vAlign w:val="bottom"/>
            <w:hideMark/>
          </w:tcPr>
          <w:p w14:paraId="4C47BAB3" w14:textId="463DD474" w:rsidR="005D5A58" w:rsidRPr="005D5A58" w:rsidRDefault="005D5A58" w:rsidP="005D5A58">
            <w:pPr>
              <w:rPr>
                <w:rFonts w:ascii="Open Sans" w:eastAsia="Times New Roman" w:hAnsi="Open Sans" w:cs="Open Sans"/>
                <w:color w:val="FFFFFF" w:themeColor="background1"/>
                <w:sz w:val="20"/>
                <w:szCs w:val="20"/>
                <w:lang w:val="es-ES" w:eastAsia="es-ES"/>
              </w:rPr>
            </w:pPr>
            <w:r w:rsidRPr="005D5A58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Cádiz</w:t>
            </w:r>
          </w:p>
        </w:tc>
        <w:tc>
          <w:tcPr>
            <w:tcW w:w="2563" w:type="dxa"/>
            <w:vAlign w:val="bottom"/>
          </w:tcPr>
          <w:p w14:paraId="05693458" w14:textId="6A0231B9" w:rsidR="005D5A58" w:rsidRPr="000257B1" w:rsidRDefault="005D5A58" w:rsidP="005D5A58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Jerez de la Frontera</w:t>
            </w:r>
          </w:p>
        </w:tc>
        <w:tc>
          <w:tcPr>
            <w:tcW w:w="1843" w:type="dxa"/>
            <w:noWrap/>
            <w:vAlign w:val="bottom"/>
            <w:hideMark/>
          </w:tcPr>
          <w:p w14:paraId="0EDBCAA6" w14:textId="05C13DBE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64,97 €</w:t>
            </w:r>
          </w:p>
        </w:tc>
        <w:tc>
          <w:tcPr>
            <w:tcW w:w="1497" w:type="dxa"/>
            <w:vAlign w:val="bottom"/>
          </w:tcPr>
          <w:p w14:paraId="3236DE78" w14:textId="4664CC6C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70,53 €</w:t>
            </w:r>
          </w:p>
        </w:tc>
        <w:tc>
          <w:tcPr>
            <w:tcW w:w="1530" w:type="dxa"/>
            <w:noWrap/>
            <w:vAlign w:val="bottom"/>
            <w:hideMark/>
          </w:tcPr>
          <w:p w14:paraId="20F9FD47" w14:textId="42806434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8,6%</w:t>
            </w:r>
          </w:p>
        </w:tc>
      </w:tr>
      <w:tr w:rsidR="005D5A58" w:rsidRPr="008321EB" w14:paraId="7122D745" w14:textId="77777777" w:rsidTr="000257B1">
        <w:trPr>
          <w:trHeight w:val="20"/>
        </w:trPr>
        <w:tc>
          <w:tcPr>
            <w:tcW w:w="1691" w:type="dxa"/>
            <w:shd w:val="clear" w:color="000000" w:fill="8496B0"/>
            <w:vAlign w:val="bottom"/>
            <w:hideMark/>
          </w:tcPr>
          <w:p w14:paraId="20448BF9" w14:textId="6C93E3B4" w:rsidR="005D5A58" w:rsidRPr="005D5A58" w:rsidRDefault="005D5A58" w:rsidP="005D5A58">
            <w:pPr>
              <w:rPr>
                <w:rFonts w:ascii="Open Sans" w:eastAsia="Times New Roman" w:hAnsi="Open Sans" w:cs="Open Sans"/>
                <w:color w:val="FFFFFF" w:themeColor="background1"/>
                <w:sz w:val="20"/>
                <w:szCs w:val="20"/>
                <w:lang w:val="es-ES" w:eastAsia="es-ES"/>
              </w:rPr>
            </w:pPr>
            <w:r w:rsidRPr="005D5A58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Barcelona</w:t>
            </w:r>
          </w:p>
        </w:tc>
        <w:tc>
          <w:tcPr>
            <w:tcW w:w="2563" w:type="dxa"/>
            <w:shd w:val="clear" w:color="000000" w:fill="D6DCE4"/>
            <w:vAlign w:val="bottom"/>
          </w:tcPr>
          <w:p w14:paraId="010A3F8A" w14:textId="30B2A73B" w:rsidR="005D5A58" w:rsidRPr="000257B1" w:rsidRDefault="005D5A58" w:rsidP="005D5A58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Sant Cugat del Vallès</w:t>
            </w:r>
          </w:p>
        </w:tc>
        <w:tc>
          <w:tcPr>
            <w:tcW w:w="1843" w:type="dxa"/>
            <w:shd w:val="clear" w:color="000000" w:fill="D6DCE4"/>
            <w:noWrap/>
            <w:vAlign w:val="bottom"/>
            <w:hideMark/>
          </w:tcPr>
          <w:p w14:paraId="132581CF" w14:textId="299DA576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71,59 €</w:t>
            </w:r>
          </w:p>
        </w:tc>
        <w:tc>
          <w:tcPr>
            <w:tcW w:w="1497" w:type="dxa"/>
            <w:shd w:val="clear" w:color="000000" w:fill="D6DCE4"/>
            <w:vAlign w:val="bottom"/>
          </w:tcPr>
          <w:p w14:paraId="171A8355" w14:textId="25D65FA5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77,31 €</w:t>
            </w:r>
          </w:p>
        </w:tc>
        <w:tc>
          <w:tcPr>
            <w:tcW w:w="1530" w:type="dxa"/>
            <w:shd w:val="clear" w:color="000000" w:fill="D6DCE4"/>
            <w:noWrap/>
            <w:vAlign w:val="bottom"/>
            <w:hideMark/>
          </w:tcPr>
          <w:p w14:paraId="20F1A3BA" w14:textId="7CB6F6D4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8,0%</w:t>
            </w:r>
          </w:p>
        </w:tc>
      </w:tr>
      <w:tr w:rsidR="005D5A58" w:rsidRPr="008321EB" w14:paraId="6A5E41BB" w14:textId="77777777" w:rsidTr="000257B1">
        <w:trPr>
          <w:trHeight w:val="20"/>
        </w:trPr>
        <w:tc>
          <w:tcPr>
            <w:tcW w:w="1691" w:type="dxa"/>
            <w:shd w:val="clear" w:color="000000" w:fill="8496B0"/>
            <w:vAlign w:val="bottom"/>
            <w:hideMark/>
          </w:tcPr>
          <w:p w14:paraId="60A95934" w14:textId="60D25483" w:rsidR="005D5A58" w:rsidRPr="005D5A58" w:rsidRDefault="005D5A58" w:rsidP="005D5A58">
            <w:pPr>
              <w:rPr>
                <w:rFonts w:ascii="Open Sans" w:eastAsia="Times New Roman" w:hAnsi="Open Sans" w:cs="Open Sans"/>
                <w:color w:val="FFFFFF" w:themeColor="background1"/>
                <w:sz w:val="20"/>
                <w:szCs w:val="20"/>
                <w:lang w:val="es-ES" w:eastAsia="es-ES"/>
              </w:rPr>
            </w:pPr>
            <w:r w:rsidRPr="005D5A58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Madrid</w:t>
            </w:r>
          </w:p>
        </w:tc>
        <w:tc>
          <w:tcPr>
            <w:tcW w:w="2563" w:type="dxa"/>
            <w:vAlign w:val="bottom"/>
          </w:tcPr>
          <w:p w14:paraId="4E249BBD" w14:textId="443C6F23" w:rsidR="005D5A58" w:rsidRPr="000257B1" w:rsidRDefault="005D5A58" w:rsidP="005D5A58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Leganés</w:t>
            </w:r>
          </w:p>
        </w:tc>
        <w:tc>
          <w:tcPr>
            <w:tcW w:w="1843" w:type="dxa"/>
            <w:noWrap/>
            <w:vAlign w:val="bottom"/>
            <w:hideMark/>
          </w:tcPr>
          <w:p w14:paraId="1BD431F6" w14:textId="65B7EC98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55,11 €</w:t>
            </w:r>
          </w:p>
        </w:tc>
        <w:tc>
          <w:tcPr>
            <w:tcW w:w="1497" w:type="dxa"/>
            <w:vAlign w:val="bottom"/>
          </w:tcPr>
          <w:p w14:paraId="2C9A0A14" w14:textId="7E9B96D0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59,50 €</w:t>
            </w:r>
          </w:p>
        </w:tc>
        <w:tc>
          <w:tcPr>
            <w:tcW w:w="1530" w:type="dxa"/>
            <w:noWrap/>
            <w:vAlign w:val="bottom"/>
            <w:hideMark/>
          </w:tcPr>
          <w:p w14:paraId="368D6B68" w14:textId="2CDDD5B2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8,0%</w:t>
            </w:r>
          </w:p>
        </w:tc>
      </w:tr>
      <w:tr w:rsidR="005D5A58" w:rsidRPr="008321EB" w14:paraId="0993CB36" w14:textId="77777777" w:rsidTr="000257B1">
        <w:trPr>
          <w:trHeight w:val="20"/>
        </w:trPr>
        <w:tc>
          <w:tcPr>
            <w:tcW w:w="1691" w:type="dxa"/>
            <w:shd w:val="clear" w:color="000000" w:fill="8496B0"/>
            <w:vAlign w:val="bottom"/>
            <w:hideMark/>
          </w:tcPr>
          <w:p w14:paraId="3D0C91AE" w14:textId="239F5B21" w:rsidR="005D5A58" w:rsidRPr="005D5A58" w:rsidRDefault="005D5A58" w:rsidP="005D5A58">
            <w:pPr>
              <w:rPr>
                <w:rFonts w:ascii="Open Sans" w:eastAsia="Times New Roman" w:hAnsi="Open Sans" w:cs="Open Sans"/>
                <w:color w:val="FFFFFF" w:themeColor="background1"/>
                <w:sz w:val="20"/>
                <w:szCs w:val="20"/>
                <w:lang w:val="es-ES" w:eastAsia="es-ES"/>
              </w:rPr>
            </w:pPr>
            <w:r w:rsidRPr="005D5A58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Barcelona</w:t>
            </w:r>
          </w:p>
        </w:tc>
        <w:tc>
          <w:tcPr>
            <w:tcW w:w="2563" w:type="dxa"/>
            <w:shd w:val="clear" w:color="000000" w:fill="D6DCE4"/>
            <w:vAlign w:val="bottom"/>
          </w:tcPr>
          <w:p w14:paraId="1E8B4876" w14:textId="14F96C62" w:rsidR="005D5A58" w:rsidRPr="000257B1" w:rsidRDefault="005D5A58" w:rsidP="005D5A58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Vic</w:t>
            </w:r>
          </w:p>
        </w:tc>
        <w:tc>
          <w:tcPr>
            <w:tcW w:w="1843" w:type="dxa"/>
            <w:shd w:val="clear" w:color="000000" w:fill="D6DCE4"/>
            <w:noWrap/>
            <w:vAlign w:val="bottom"/>
            <w:hideMark/>
          </w:tcPr>
          <w:p w14:paraId="0043C40B" w14:textId="368D4C66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58,36 €</w:t>
            </w:r>
          </w:p>
        </w:tc>
        <w:tc>
          <w:tcPr>
            <w:tcW w:w="1497" w:type="dxa"/>
            <w:shd w:val="clear" w:color="000000" w:fill="D6DCE4"/>
            <w:vAlign w:val="bottom"/>
          </w:tcPr>
          <w:p w14:paraId="7BFB27E5" w14:textId="7B214D21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62,88 €</w:t>
            </w:r>
          </w:p>
        </w:tc>
        <w:tc>
          <w:tcPr>
            <w:tcW w:w="1530" w:type="dxa"/>
            <w:shd w:val="clear" w:color="000000" w:fill="D6DCE4"/>
            <w:noWrap/>
            <w:vAlign w:val="bottom"/>
            <w:hideMark/>
          </w:tcPr>
          <w:p w14:paraId="42C48E4C" w14:textId="0D8F0773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7,7%</w:t>
            </w:r>
          </w:p>
        </w:tc>
      </w:tr>
      <w:tr w:rsidR="005D5A58" w:rsidRPr="008321EB" w14:paraId="1F999B78" w14:textId="77777777" w:rsidTr="000257B1">
        <w:trPr>
          <w:trHeight w:val="20"/>
        </w:trPr>
        <w:tc>
          <w:tcPr>
            <w:tcW w:w="1691" w:type="dxa"/>
            <w:shd w:val="clear" w:color="000000" w:fill="8496B0"/>
            <w:vAlign w:val="bottom"/>
            <w:hideMark/>
          </w:tcPr>
          <w:p w14:paraId="05E79111" w14:textId="38EFA9C7" w:rsidR="005D5A58" w:rsidRPr="005D5A58" w:rsidRDefault="005D5A58" w:rsidP="005D5A58">
            <w:pPr>
              <w:rPr>
                <w:rFonts w:ascii="Open Sans" w:eastAsia="Times New Roman" w:hAnsi="Open Sans" w:cs="Open Sans"/>
                <w:color w:val="FFFFFF" w:themeColor="background1"/>
                <w:sz w:val="20"/>
                <w:szCs w:val="20"/>
                <w:lang w:val="es-ES" w:eastAsia="es-ES"/>
              </w:rPr>
            </w:pPr>
            <w:r w:rsidRPr="005D5A58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Almería</w:t>
            </w:r>
          </w:p>
        </w:tc>
        <w:tc>
          <w:tcPr>
            <w:tcW w:w="2563" w:type="dxa"/>
            <w:vAlign w:val="bottom"/>
          </w:tcPr>
          <w:p w14:paraId="7EE2A742" w14:textId="09DD1919" w:rsidR="005D5A58" w:rsidRPr="000257B1" w:rsidRDefault="005D5A58" w:rsidP="005D5A58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Almería Capital</w:t>
            </w:r>
          </w:p>
        </w:tc>
        <w:tc>
          <w:tcPr>
            <w:tcW w:w="1843" w:type="dxa"/>
            <w:noWrap/>
            <w:vAlign w:val="bottom"/>
            <w:hideMark/>
          </w:tcPr>
          <w:p w14:paraId="7C16D0EC" w14:textId="4DD48762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69,90 €</w:t>
            </w:r>
          </w:p>
        </w:tc>
        <w:tc>
          <w:tcPr>
            <w:tcW w:w="1497" w:type="dxa"/>
            <w:vAlign w:val="bottom"/>
          </w:tcPr>
          <w:p w14:paraId="5CF05037" w14:textId="450C3B19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75,11 €</w:t>
            </w:r>
          </w:p>
        </w:tc>
        <w:tc>
          <w:tcPr>
            <w:tcW w:w="1530" w:type="dxa"/>
            <w:noWrap/>
            <w:vAlign w:val="bottom"/>
            <w:hideMark/>
          </w:tcPr>
          <w:p w14:paraId="1259F1B0" w14:textId="024216B3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7,5%</w:t>
            </w:r>
          </w:p>
        </w:tc>
      </w:tr>
      <w:tr w:rsidR="005D5A58" w:rsidRPr="008321EB" w14:paraId="27E24868" w14:textId="77777777" w:rsidTr="000257B1">
        <w:trPr>
          <w:trHeight w:val="20"/>
        </w:trPr>
        <w:tc>
          <w:tcPr>
            <w:tcW w:w="1691" w:type="dxa"/>
            <w:shd w:val="clear" w:color="000000" w:fill="8496B0"/>
            <w:vAlign w:val="bottom"/>
            <w:hideMark/>
          </w:tcPr>
          <w:p w14:paraId="62EE1CB7" w14:textId="00661E06" w:rsidR="005D5A58" w:rsidRPr="005D5A58" w:rsidRDefault="005D5A58" w:rsidP="005D5A58">
            <w:pPr>
              <w:rPr>
                <w:rFonts w:ascii="Open Sans" w:eastAsia="Times New Roman" w:hAnsi="Open Sans" w:cs="Open Sans"/>
                <w:color w:val="FFFFFF" w:themeColor="background1"/>
                <w:sz w:val="20"/>
                <w:szCs w:val="20"/>
                <w:lang w:val="es-ES" w:eastAsia="es-ES"/>
              </w:rPr>
            </w:pPr>
            <w:r w:rsidRPr="005D5A58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Bizkaia</w:t>
            </w:r>
          </w:p>
        </w:tc>
        <w:tc>
          <w:tcPr>
            <w:tcW w:w="2563" w:type="dxa"/>
            <w:shd w:val="clear" w:color="000000" w:fill="D6DCE4"/>
            <w:vAlign w:val="bottom"/>
          </w:tcPr>
          <w:p w14:paraId="6676E9B7" w14:textId="0AB5B1FB" w:rsidR="005D5A58" w:rsidRPr="000257B1" w:rsidRDefault="005D5A58" w:rsidP="005D5A58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Bilbao</w:t>
            </w:r>
          </w:p>
        </w:tc>
        <w:tc>
          <w:tcPr>
            <w:tcW w:w="1843" w:type="dxa"/>
            <w:shd w:val="clear" w:color="000000" w:fill="D6DCE4"/>
            <w:noWrap/>
            <w:vAlign w:val="bottom"/>
            <w:hideMark/>
          </w:tcPr>
          <w:p w14:paraId="391364E2" w14:textId="277E169A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97,59 €</w:t>
            </w:r>
          </w:p>
        </w:tc>
        <w:tc>
          <w:tcPr>
            <w:tcW w:w="1497" w:type="dxa"/>
            <w:shd w:val="clear" w:color="000000" w:fill="D6DCE4"/>
            <w:vAlign w:val="bottom"/>
          </w:tcPr>
          <w:p w14:paraId="2896A299" w14:textId="4B398282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104,52 €</w:t>
            </w:r>
          </w:p>
        </w:tc>
        <w:tc>
          <w:tcPr>
            <w:tcW w:w="1530" w:type="dxa"/>
            <w:shd w:val="clear" w:color="000000" w:fill="D6DCE4"/>
            <w:noWrap/>
            <w:vAlign w:val="bottom"/>
            <w:hideMark/>
          </w:tcPr>
          <w:p w14:paraId="38120F50" w14:textId="2C860B08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7,1%</w:t>
            </w:r>
          </w:p>
        </w:tc>
      </w:tr>
      <w:tr w:rsidR="005D5A58" w:rsidRPr="008321EB" w14:paraId="485BECB7" w14:textId="77777777" w:rsidTr="000257B1">
        <w:trPr>
          <w:trHeight w:val="20"/>
        </w:trPr>
        <w:tc>
          <w:tcPr>
            <w:tcW w:w="1691" w:type="dxa"/>
            <w:shd w:val="clear" w:color="000000" w:fill="8496B0"/>
            <w:vAlign w:val="bottom"/>
            <w:hideMark/>
          </w:tcPr>
          <w:p w14:paraId="2F00772D" w14:textId="0E26BF24" w:rsidR="005D5A58" w:rsidRPr="005D5A58" w:rsidRDefault="005D5A58" w:rsidP="005D5A58">
            <w:pPr>
              <w:rPr>
                <w:rFonts w:ascii="Open Sans" w:eastAsia="Times New Roman" w:hAnsi="Open Sans" w:cs="Open Sans"/>
                <w:color w:val="FFFFFF" w:themeColor="background1"/>
                <w:sz w:val="20"/>
                <w:szCs w:val="20"/>
                <w:lang w:val="es-ES" w:eastAsia="es-ES"/>
              </w:rPr>
            </w:pPr>
            <w:r w:rsidRPr="005D5A58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Bizkaia</w:t>
            </w:r>
          </w:p>
        </w:tc>
        <w:tc>
          <w:tcPr>
            <w:tcW w:w="2563" w:type="dxa"/>
            <w:vAlign w:val="bottom"/>
          </w:tcPr>
          <w:p w14:paraId="09B6C0FD" w14:textId="59B0BCE0" w:rsidR="005D5A58" w:rsidRPr="000257B1" w:rsidRDefault="005D5A58" w:rsidP="005D5A58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Durango</w:t>
            </w:r>
          </w:p>
        </w:tc>
        <w:tc>
          <w:tcPr>
            <w:tcW w:w="1843" w:type="dxa"/>
            <w:noWrap/>
            <w:vAlign w:val="bottom"/>
            <w:hideMark/>
          </w:tcPr>
          <w:p w14:paraId="0F9DC1E9" w14:textId="45B41F24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67,43 €</w:t>
            </w:r>
          </w:p>
        </w:tc>
        <w:tc>
          <w:tcPr>
            <w:tcW w:w="1497" w:type="dxa"/>
            <w:vAlign w:val="bottom"/>
          </w:tcPr>
          <w:p w14:paraId="36FE8F7F" w14:textId="7A377E5A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71,79 €</w:t>
            </w:r>
          </w:p>
        </w:tc>
        <w:tc>
          <w:tcPr>
            <w:tcW w:w="1530" w:type="dxa"/>
            <w:noWrap/>
            <w:vAlign w:val="bottom"/>
            <w:hideMark/>
          </w:tcPr>
          <w:p w14:paraId="3224C9BC" w14:textId="29E5C512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6,5%</w:t>
            </w:r>
          </w:p>
        </w:tc>
      </w:tr>
      <w:tr w:rsidR="005D5A58" w:rsidRPr="008321EB" w14:paraId="0022CFF5" w14:textId="77777777" w:rsidTr="000257B1">
        <w:trPr>
          <w:trHeight w:val="20"/>
        </w:trPr>
        <w:tc>
          <w:tcPr>
            <w:tcW w:w="1691" w:type="dxa"/>
            <w:shd w:val="clear" w:color="000000" w:fill="8496B0"/>
            <w:vAlign w:val="bottom"/>
            <w:hideMark/>
          </w:tcPr>
          <w:p w14:paraId="099503E6" w14:textId="0C7CE6F6" w:rsidR="005D5A58" w:rsidRPr="005D5A58" w:rsidRDefault="005D5A58" w:rsidP="005D5A58">
            <w:pPr>
              <w:rPr>
                <w:rFonts w:ascii="Open Sans" w:eastAsia="Times New Roman" w:hAnsi="Open Sans" w:cs="Open Sans"/>
                <w:color w:val="FFFFFF" w:themeColor="background1"/>
                <w:sz w:val="20"/>
                <w:szCs w:val="20"/>
                <w:lang w:val="es-ES" w:eastAsia="es-ES"/>
              </w:rPr>
            </w:pPr>
            <w:r w:rsidRPr="005D5A58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Barcelona</w:t>
            </w:r>
          </w:p>
        </w:tc>
        <w:tc>
          <w:tcPr>
            <w:tcW w:w="2563" w:type="dxa"/>
            <w:shd w:val="clear" w:color="000000" w:fill="D6DCE4"/>
            <w:vAlign w:val="bottom"/>
          </w:tcPr>
          <w:p w14:paraId="4B0C7C04" w14:textId="7766FF60" w:rsidR="005D5A58" w:rsidRPr="000257B1" w:rsidRDefault="005D5A58" w:rsidP="005D5A58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Sant Boi de Llobregat</w:t>
            </w:r>
          </w:p>
        </w:tc>
        <w:tc>
          <w:tcPr>
            <w:tcW w:w="1843" w:type="dxa"/>
            <w:shd w:val="clear" w:color="000000" w:fill="D6DCE4"/>
            <w:noWrap/>
            <w:vAlign w:val="bottom"/>
            <w:hideMark/>
          </w:tcPr>
          <w:p w14:paraId="76BEEB75" w14:textId="52DC7725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71,17 €</w:t>
            </w:r>
          </w:p>
        </w:tc>
        <w:tc>
          <w:tcPr>
            <w:tcW w:w="1497" w:type="dxa"/>
            <w:shd w:val="clear" w:color="000000" w:fill="D6DCE4"/>
            <w:vAlign w:val="bottom"/>
          </w:tcPr>
          <w:p w14:paraId="7D4E2721" w14:textId="4823170B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74,63 €</w:t>
            </w:r>
          </w:p>
        </w:tc>
        <w:tc>
          <w:tcPr>
            <w:tcW w:w="1530" w:type="dxa"/>
            <w:shd w:val="clear" w:color="000000" w:fill="D6DCE4"/>
            <w:noWrap/>
            <w:vAlign w:val="bottom"/>
            <w:hideMark/>
          </w:tcPr>
          <w:p w14:paraId="155BDC65" w14:textId="701ECB3F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4,9%</w:t>
            </w:r>
          </w:p>
        </w:tc>
      </w:tr>
      <w:tr w:rsidR="005D5A58" w:rsidRPr="008321EB" w14:paraId="017B11AC" w14:textId="77777777" w:rsidTr="000257B1">
        <w:trPr>
          <w:trHeight w:val="20"/>
        </w:trPr>
        <w:tc>
          <w:tcPr>
            <w:tcW w:w="1691" w:type="dxa"/>
            <w:shd w:val="clear" w:color="000000" w:fill="8496B0"/>
            <w:vAlign w:val="bottom"/>
            <w:hideMark/>
          </w:tcPr>
          <w:p w14:paraId="5290A57F" w14:textId="104EB995" w:rsidR="005D5A58" w:rsidRPr="005D5A58" w:rsidRDefault="005D5A58" w:rsidP="005D5A58">
            <w:pPr>
              <w:rPr>
                <w:rFonts w:ascii="Open Sans" w:eastAsia="Times New Roman" w:hAnsi="Open Sans" w:cs="Open Sans"/>
                <w:color w:val="FFFFFF" w:themeColor="background1"/>
                <w:sz w:val="20"/>
                <w:szCs w:val="20"/>
                <w:lang w:val="es-ES" w:eastAsia="es-ES"/>
              </w:rPr>
            </w:pPr>
            <w:r w:rsidRPr="005D5A58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Barcelona</w:t>
            </w:r>
          </w:p>
        </w:tc>
        <w:tc>
          <w:tcPr>
            <w:tcW w:w="2563" w:type="dxa"/>
            <w:vAlign w:val="bottom"/>
          </w:tcPr>
          <w:p w14:paraId="18EFD4B1" w14:textId="21148C66" w:rsidR="005D5A58" w:rsidRPr="000257B1" w:rsidRDefault="005D5A58" w:rsidP="005D5A58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Cornellà de Llobregat</w:t>
            </w:r>
          </w:p>
        </w:tc>
        <w:tc>
          <w:tcPr>
            <w:tcW w:w="1843" w:type="dxa"/>
            <w:noWrap/>
            <w:vAlign w:val="bottom"/>
            <w:hideMark/>
          </w:tcPr>
          <w:p w14:paraId="6176D3DE" w14:textId="4AEA1461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68,02 €</w:t>
            </w:r>
          </w:p>
        </w:tc>
        <w:tc>
          <w:tcPr>
            <w:tcW w:w="1497" w:type="dxa"/>
            <w:vAlign w:val="bottom"/>
          </w:tcPr>
          <w:p w14:paraId="49592ACA" w14:textId="14003368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71,02 €</w:t>
            </w:r>
          </w:p>
        </w:tc>
        <w:tc>
          <w:tcPr>
            <w:tcW w:w="1530" w:type="dxa"/>
            <w:noWrap/>
            <w:vAlign w:val="bottom"/>
            <w:hideMark/>
          </w:tcPr>
          <w:p w14:paraId="26AACCAF" w14:textId="34AB5B87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4,4%</w:t>
            </w:r>
          </w:p>
        </w:tc>
      </w:tr>
      <w:tr w:rsidR="005D5A58" w:rsidRPr="008321EB" w14:paraId="1AE0BB4E" w14:textId="77777777" w:rsidTr="000257B1">
        <w:trPr>
          <w:trHeight w:val="20"/>
        </w:trPr>
        <w:tc>
          <w:tcPr>
            <w:tcW w:w="1691" w:type="dxa"/>
            <w:shd w:val="clear" w:color="000000" w:fill="8496B0"/>
            <w:vAlign w:val="bottom"/>
            <w:hideMark/>
          </w:tcPr>
          <w:p w14:paraId="69619A85" w14:textId="38B816F6" w:rsidR="005D5A58" w:rsidRPr="005D5A58" w:rsidRDefault="005D5A58" w:rsidP="005D5A58">
            <w:pPr>
              <w:rPr>
                <w:rFonts w:ascii="Open Sans" w:eastAsia="Times New Roman" w:hAnsi="Open Sans" w:cs="Open Sans"/>
                <w:color w:val="FFFFFF" w:themeColor="background1"/>
                <w:sz w:val="20"/>
                <w:szCs w:val="20"/>
                <w:lang w:val="es-ES" w:eastAsia="es-ES"/>
              </w:rPr>
            </w:pPr>
            <w:r w:rsidRPr="005D5A58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León</w:t>
            </w:r>
          </w:p>
        </w:tc>
        <w:tc>
          <w:tcPr>
            <w:tcW w:w="2563" w:type="dxa"/>
            <w:shd w:val="clear" w:color="000000" w:fill="D6DCE4"/>
            <w:vAlign w:val="bottom"/>
          </w:tcPr>
          <w:p w14:paraId="1EC81DE4" w14:textId="3657F7F9" w:rsidR="005D5A58" w:rsidRPr="000257B1" w:rsidRDefault="005D5A58" w:rsidP="005D5A58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León Capital</w:t>
            </w:r>
          </w:p>
        </w:tc>
        <w:tc>
          <w:tcPr>
            <w:tcW w:w="1843" w:type="dxa"/>
            <w:shd w:val="clear" w:color="000000" w:fill="D6DCE4"/>
            <w:noWrap/>
            <w:vAlign w:val="bottom"/>
            <w:hideMark/>
          </w:tcPr>
          <w:p w14:paraId="328378F6" w14:textId="0D6CCC60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63,71 €</w:t>
            </w:r>
          </w:p>
        </w:tc>
        <w:tc>
          <w:tcPr>
            <w:tcW w:w="1497" w:type="dxa"/>
            <w:shd w:val="clear" w:color="000000" w:fill="D6DCE4"/>
            <w:vAlign w:val="bottom"/>
          </w:tcPr>
          <w:p w14:paraId="1FC84B9E" w14:textId="0D8A9259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66,45 €</w:t>
            </w:r>
          </w:p>
        </w:tc>
        <w:tc>
          <w:tcPr>
            <w:tcW w:w="1530" w:type="dxa"/>
            <w:shd w:val="clear" w:color="000000" w:fill="D6DCE4"/>
            <w:noWrap/>
            <w:vAlign w:val="bottom"/>
            <w:hideMark/>
          </w:tcPr>
          <w:p w14:paraId="78C4398C" w14:textId="24C33967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4,3%</w:t>
            </w:r>
          </w:p>
        </w:tc>
      </w:tr>
      <w:tr w:rsidR="005D5A58" w:rsidRPr="008321EB" w14:paraId="79B013E1" w14:textId="77777777" w:rsidTr="000257B1">
        <w:trPr>
          <w:trHeight w:val="20"/>
        </w:trPr>
        <w:tc>
          <w:tcPr>
            <w:tcW w:w="1691" w:type="dxa"/>
            <w:shd w:val="clear" w:color="000000" w:fill="8496B0"/>
            <w:vAlign w:val="bottom"/>
            <w:hideMark/>
          </w:tcPr>
          <w:p w14:paraId="3A7E5429" w14:textId="51E59E35" w:rsidR="005D5A58" w:rsidRPr="005D5A58" w:rsidRDefault="005D5A58" w:rsidP="005D5A58">
            <w:pPr>
              <w:rPr>
                <w:rFonts w:ascii="Open Sans" w:eastAsia="Times New Roman" w:hAnsi="Open Sans" w:cs="Open Sans"/>
                <w:color w:val="FFFFFF" w:themeColor="background1"/>
                <w:sz w:val="20"/>
                <w:szCs w:val="20"/>
                <w:lang w:val="es-ES" w:eastAsia="es-ES"/>
              </w:rPr>
            </w:pPr>
            <w:r w:rsidRPr="005D5A58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Madrid</w:t>
            </w:r>
          </w:p>
        </w:tc>
        <w:tc>
          <w:tcPr>
            <w:tcW w:w="2563" w:type="dxa"/>
            <w:vAlign w:val="bottom"/>
          </w:tcPr>
          <w:p w14:paraId="00B3F24C" w14:textId="3BE32093" w:rsidR="005D5A58" w:rsidRPr="000257B1" w:rsidRDefault="005D5A58" w:rsidP="005D5A58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San Sebastián de los Reyes</w:t>
            </w:r>
          </w:p>
        </w:tc>
        <w:tc>
          <w:tcPr>
            <w:tcW w:w="1843" w:type="dxa"/>
            <w:noWrap/>
            <w:vAlign w:val="bottom"/>
            <w:hideMark/>
          </w:tcPr>
          <w:p w14:paraId="6824FD4F" w14:textId="30E3A2F9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60,02 €</w:t>
            </w:r>
          </w:p>
        </w:tc>
        <w:tc>
          <w:tcPr>
            <w:tcW w:w="1497" w:type="dxa"/>
            <w:vAlign w:val="bottom"/>
          </w:tcPr>
          <w:p w14:paraId="27105CFF" w14:textId="3BD680D2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62,56 €</w:t>
            </w:r>
          </w:p>
        </w:tc>
        <w:tc>
          <w:tcPr>
            <w:tcW w:w="1530" w:type="dxa"/>
            <w:noWrap/>
            <w:vAlign w:val="bottom"/>
            <w:hideMark/>
          </w:tcPr>
          <w:p w14:paraId="6E16BF26" w14:textId="23596975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4,2%</w:t>
            </w:r>
          </w:p>
        </w:tc>
      </w:tr>
      <w:tr w:rsidR="005D5A58" w:rsidRPr="008321EB" w14:paraId="74DC5A6F" w14:textId="77777777" w:rsidTr="000257B1">
        <w:trPr>
          <w:trHeight w:val="20"/>
        </w:trPr>
        <w:tc>
          <w:tcPr>
            <w:tcW w:w="1691" w:type="dxa"/>
            <w:shd w:val="clear" w:color="000000" w:fill="8496B0"/>
            <w:vAlign w:val="bottom"/>
            <w:hideMark/>
          </w:tcPr>
          <w:p w14:paraId="72F7A156" w14:textId="35E8928B" w:rsidR="005D5A58" w:rsidRPr="005D5A58" w:rsidRDefault="005D5A58" w:rsidP="005D5A58">
            <w:pPr>
              <w:rPr>
                <w:rFonts w:ascii="Open Sans" w:eastAsia="Times New Roman" w:hAnsi="Open Sans" w:cs="Open Sans"/>
                <w:color w:val="FFFFFF" w:themeColor="background1"/>
                <w:sz w:val="20"/>
                <w:szCs w:val="20"/>
                <w:lang w:val="es-ES" w:eastAsia="es-ES"/>
              </w:rPr>
            </w:pPr>
            <w:r w:rsidRPr="005D5A58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Salamanca</w:t>
            </w:r>
          </w:p>
        </w:tc>
        <w:tc>
          <w:tcPr>
            <w:tcW w:w="2563" w:type="dxa"/>
            <w:shd w:val="clear" w:color="000000" w:fill="D6DCE4"/>
            <w:vAlign w:val="bottom"/>
          </w:tcPr>
          <w:p w14:paraId="7C6F6C2D" w14:textId="6BCDCA11" w:rsidR="005D5A58" w:rsidRPr="000257B1" w:rsidRDefault="005D5A58" w:rsidP="005D5A58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Salamanca Capital</w:t>
            </w:r>
          </w:p>
        </w:tc>
        <w:tc>
          <w:tcPr>
            <w:tcW w:w="1843" w:type="dxa"/>
            <w:shd w:val="clear" w:color="000000" w:fill="D6DCE4"/>
            <w:noWrap/>
            <w:vAlign w:val="bottom"/>
            <w:hideMark/>
          </w:tcPr>
          <w:p w14:paraId="2DA5EE8F" w14:textId="639BAC2E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66,28 €</w:t>
            </w:r>
          </w:p>
        </w:tc>
        <w:tc>
          <w:tcPr>
            <w:tcW w:w="1497" w:type="dxa"/>
            <w:shd w:val="clear" w:color="000000" w:fill="D6DCE4"/>
            <w:vAlign w:val="bottom"/>
          </w:tcPr>
          <w:p w14:paraId="71C2492B" w14:textId="58AC2E64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69,08 €</w:t>
            </w:r>
          </w:p>
        </w:tc>
        <w:tc>
          <w:tcPr>
            <w:tcW w:w="1530" w:type="dxa"/>
            <w:shd w:val="clear" w:color="000000" w:fill="D6DCE4"/>
            <w:noWrap/>
            <w:vAlign w:val="bottom"/>
            <w:hideMark/>
          </w:tcPr>
          <w:p w14:paraId="51BDAE81" w14:textId="24D9ABBE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4,2%</w:t>
            </w:r>
          </w:p>
        </w:tc>
      </w:tr>
      <w:tr w:rsidR="005D5A58" w:rsidRPr="008321EB" w14:paraId="1137FFE8" w14:textId="77777777" w:rsidTr="000257B1">
        <w:trPr>
          <w:trHeight w:val="20"/>
        </w:trPr>
        <w:tc>
          <w:tcPr>
            <w:tcW w:w="1691" w:type="dxa"/>
            <w:shd w:val="clear" w:color="000000" w:fill="8496B0"/>
            <w:vAlign w:val="bottom"/>
            <w:hideMark/>
          </w:tcPr>
          <w:p w14:paraId="448650C8" w14:textId="0516E9D2" w:rsidR="005D5A58" w:rsidRPr="005D5A58" w:rsidRDefault="005D5A58" w:rsidP="005D5A58">
            <w:pPr>
              <w:rPr>
                <w:rFonts w:ascii="Open Sans" w:eastAsia="Times New Roman" w:hAnsi="Open Sans" w:cs="Open Sans"/>
                <w:color w:val="FFFFFF" w:themeColor="background1"/>
                <w:sz w:val="20"/>
                <w:szCs w:val="20"/>
                <w:lang w:val="es-ES" w:eastAsia="es-ES"/>
              </w:rPr>
            </w:pPr>
            <w:r w:rsidRPr="005D5A58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Huelva</w:t>
            </w:r>
          </w:p>
        </w:tc>
        <w:tc>
          <w:tcPr>
            <w:tcW w:w="2563" w:type="dxa"/>
            <w:vAlign w:val="bottom"/>
          </w:tcPr>
          <w:p w14:paraId="6B33C400" w14:textId="476BEE74" w:rsidR="005D5A58" w:rsidRPr="000257B1" w:rsidRDefault="005D5A58" w:rsidP="005D5A58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Huelva Capital</w:t>
            </w:r>
          </w:p>
        </w:tc>
        <w:tc>
          <w:tcPr>
            <w:tcW w:w="1843" w:type="dxa"/>
            <w:noWrap/>
            <w:vAlign w:val="bottom"/>
            <w:hideMark/>
          </w:tcPr>
          <w:p w14:paraId="677A19FD" w14:textId="26CF0BA3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73,36 €</w:t>
            </w:r>
          </w:p>
        </w:tc>
        <w:tc>
          <w:tcPr>
            <w:tcW w:w="1497" w:type="dxa"/>
            <w:vAlign w:val="bottom"/>
          </w:tcPr>
          <w:p w14:paraId="07E3C2E9" w14:textId="06DE2F44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75,88 €</w:t>
            </w:r>
          </w:p>
        </w:tc>
        <w:tc>
          <w:tcPr>
            <w:tcW w:w="1530" w:type="dxa"/>
            <w:noWrap/>
            <w:vAlign w:val="bottom"/>
            <w:hideMark/>
          </w:tcPr>
          <w:p w14:paraId="5243E1BD" w14:textId="5BE5E7D0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3,4%</w:t>
            </w:r>
          </w:p>
        </w:tc>
      </w:tr>
      <w:tr w:rsidR="005D5A58" w:rsidRPr="008321EB" w14:paraId="58BD43ED" w14:textId="77777777" w:rsidTr="000257B1">
        <w:trPr>
          <w:trHeight w:val="20"/>
        </w:trPr>
        <w:tc>
          <w:tcPr>
            <w:tcW w:w="1691" w:type="dxa"/>
            <w:shd w:val="clear" w:color="000000" w:fill="8496B0"/>
            <w:vAlign w:val="bottom"/>
            <w:hideMark/>
          </w:tcPr>
          <w:p w14:paraId="2C611E81" w14:textId="47ED8A23" w:rsidR="005D5A58" w:rsidRPr="005D5A58" w:rsidRDefault="005D5A58" w:rsidP="005D5A58">
            <w:pPr>
              <w:rPr>
                <w:rFonts w:ascii="Open Sans" w:eastAsia="Times New Roman" w:hAnsi="Open Sans" w:cs="Open Sans"/>
                <w:color w:val="FFFFFF" w:themeColor="background1"/>
                <w:sz w:val="20"/>
                <w:szCs w:val="20"/>
                <w:lang w:val="es-ES" w:eastAsia="es-ES"/>
              </w:rPr>
            </w:pPr>
            <w:r w:rsidRPr="005D5A58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lastRenderedPageBreak/>
              <w:t>Barcelona</w:t>
            </w:r>
          </w:p>
        </w:tc>
        <w:tc>
          <w:tcPr>
            <w:tcW w:w="2563" w:type="dxa"/>
            <w:shd w:val="clear" w:color="000000" w:fill="D6DCE4"/>
            <w:vAlign w:val="bottom"/>
          </w:tcPr>
          <w:p w14:paraId="772D19DA" w14:textId="7037B947" w:rsidR="005D5A58" w:rsidRPr="000257B1" w:rsidRDefault="005D5A58" w:rsidP="005D5A58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Sabadell</w:t>
            </w:r>
          </w:p>
        </w:tc>
        <w:tc>
          <w:tcPr>
            <w:tcW w:w="1843" w:type="dxa"/>
            <w:shd w:val="clear" w:color="000000" w:fill="D6DCE4"/>
            <w:noWrap/>
            <w:vAlign w:val="bottom"/>
            <w:hideMark/>
          </w:tcPr>
          <w:p w14:paraId="5BC7FB87" w14:textId="548B0697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67,58 €</w:t>
            </w:r>
          </w:p>
        </w:tc>
        <w:tc>
          <w:tcPr>
            <w:tcW w:w="1497" w:type="dxa"/>
            <w:shd w:val="clear" w:color="000000" w:fill="D6DCE4"/>
            <w:vAlign w:val="bottom"/>
          </w:tcPr>
          <w:p w14:paraId="21A01D4A" w14:textId="3D379E3F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69,87 €</w:t>
            </w:r>
          </w:p>
        </w:tc>
        <w:tc>
          <w:tcPr>
            <w:tcW w:w="1530" w:type="dxa"/>
            <w:shd w:val="clear" w:color="000000" w:fill="D6DCE4"/>
            <w:noWrap/>
            <w:vAlign w:val="bottom"/>
            <w:hideMark/>
          </w:tcPr>
          <w:p w14:paraId="22094588" w14:textId="41DA56AA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3,4%</w:t>
            </w:r>
          </w:p>
        </w:tc>
      </w:tr>
      <w:tr w:rsidR="005D5A58" w:rsidRPr="008321EB" w14:paraId="1D96F9BC" w14:textId="77777777" w:rsidTr="000257B1">
        <w:trPr>
          <w:trHeight w:val="20"/>
        </w:trPr>
        <w:tc>
          <w:tcPr>
            <w:tcW w:w="1691" w:type="dxa"/>
            <w:shd w:val="clear" w:color="000000" w:fill="8496B0"/>
            <w:vAlign w:val="bottom"/>
            <w:hideMark/>
          </w:tcPr>
          <w:p w14:paraId="6FE3CCE9" w14:textId="3BA6BC81" w:rsidR="005D5A58" w:rsidRPr="005D5A58" w:rsidRDefault="005D5A58" w:rsidP="005D5A58">
            <w:pPr>
              <w:rPr>
                <w:rFonts w:ascii="Open Sans" w:eastAsia="Times New Roman" w:hAnsi="Open Sans" w:cs="Open Sans"/>
                <w:color w:val="FFFFFF" w:themeColor="background1"/>
                <w:sz w:val="20"/>
                <w:szCs w:val="20"/>
                <w:lang w:val="es-ES" w:eastAsia="es-ES"/>
              </w:rPr>
            </w:pPr>
            <w:r w:rsidRPr="005D5A58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Málaga</w:t>
            </w:r>
          </w:p>
        </w:tc>
        <w:tc>
          <w:tcPr>
            <w:tcW w:w="2563" w:type="dxa"/>
            <w:vAlign w:val="bottom"/>
          </w:tcPr>
          <w:p w14:paraId="448316F1" w14:textId="6F14808D" w:rsidR="005D5A58" w:rsidRPr="000257B1" w:rsidRDefault="005D5A58" w:rsidP="005D5A58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Málaga Capital</w:t>
            </w:r>
          </w:p>
        </w:tc>
        <w:tc>
          <w:tcPr>
            <w:tcW w:w="1843" w:type="dxa"/>
            <w:noWrap/>
            <w:vAlign w:val="bottom"/>
            <w:hideMark/>
          </w:tcPr>
          <w:p w14:paraId="6C3544E9" w14:textId="41C2B5EF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80,84 €</w:t>
            </w:r>
          </w:p>
        </w:tc>
        <w:tc>
          <w:tcPr>
            <w:tcW w:w="1497" w:type="dxa"/>
            <w:vAlign w:val="bottom"/>
          </w:tcPr>
          <w:p w14:paraId="3F1925B3" w14:textId="2293DECB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83,44 €</w:t>
            </w:r>
          </w:p>
        </w:tc>
        <w:tc>
          <w:tcPr>
            <w:tcW w:w="1530" w:type="dxa"/>
            <w:noWrap/>
            <w:vAlign w:val="bottom"/>
            <w:hideMark/>
          </w:tcPr>
          <w:p w14:paraId="52A1A07F" w14:textId="601CB92E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3,2%</w:t>
            </w:r>
          </w:p>
        </w:tc>
      </w:tr>
      <w:tr w:rsidR="005D5A58" w:rsidRPr="008321EB" w14:paraId="1D24C8AC" w14:textId="77777777" w:rsidTr="000257B1">
        <w:trPr>
          <w:trHeight w:val="20"/>
        </w:trPr>
        <w:tc>
          <w:tcPr>
            <w:tcW w:w="1691" w:type="dxa"/>
            <w:shd w:val="clear" w:color="000000" w:fill="8496B0"/>
            <w:vAlign w:val="bottom"/>
            <w:hideMark/>
          </w:tcPr>
          <w:p w14:paraId="43F773B8" w14:textId="605DCBCA" w:rsidR="005D5A58" w:rsidRPr="005D5A58" w:rsidRDefault="005D5A58" w:rsidP="005D5A58">
            <w:pPr>
              <w:rPr>
                <w:rFonts w:ascii="Open Sans" w:eastAsia="Times New Roman" w:hAnsi="Open Sans" w:cs="Open Sans"/>
                <w:color w:val="FFFFFF" w:themeColor="background1"/>
                <w:sz w:val="20"/>
                <w:szCs w:val="20"/>
                <w:lang w:val="es-ES" w:eastAsia="es-ES"/>
              </w:rPr>
            </w:pPr>
            <w:r w:rsidRPr="005D5A58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Murcia</w:t>
            </w:r>
          </w:p>
        </w:tc>
        <w:tc>
          <w:tcPr>
            <w:tcW w:w="2563" w:type="dxa"/>
            <w:shd w:val="clear" w:color="000000" w:fill="D6DCE4"/>
            <w:vAlign w:val="bottom"/>
          </w:tcPr>
          <w:p w14:paraId="3AC88560" w14:textId="40978E6B" w:rsidR="005D5A58" w:rsidRPr="000257B1" w:rsidRDefault="005D5A58" w:rsidP="005D5A58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Cartagena</w:t>
            </w:r>
          </w:p>
        </w:tc>
        <w:tc>
          <w:tcPr>
            <w:tcW w:w="1843" w:type="dxa"/>
            <w:shd w:val="clear" w:color="000000" w:fill="D6DCE4"/>
            <w:noWrap/>
            <w:vAlign w:val="bottom"/>
            <w:hideMark/>
          </w:tcPr>
          <w:p w14:paraId="5D8BF735" w14:textId="5530582B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65,78 €</w:t>
            </w:r>
          </w:p>
        </w:tc>
        <w:tc>
          <w:tcPr>
            <w:tcW w:w="1497" w:type="dxa"/>
            <w:shd w:val="clear" w:color="000000" w:fill="D6DCE4"/>
            <w:vAlign w:val="bottom"/>
          </w:tcPr>
          <w:p w14:paraId="11290B18" w14:textId="0C51FEF8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b/>
                <w:bCs/>
                <w:color w:val="C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67,65 €</w:t>
            </w:r>
          </w:p>
        </w:tc>
        <w:tc>
          <w:tcPr>
            <w:tcW w:w="1530" w:type="dxa"/>
            <w:shd w:val="clear" w:color="000000" w:fill="D6DCE4"/>
            <w:noWrap/>
            <w:vAlign w:val="bottom"/>
            <w:hideMark/>
          </w:tcPr>
          <w:p w14:paraId="5D97A1BD" w14:textId="65816ECC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2,8%</w:t>
            </w:r>
          </w:p>
        </w:tc>
      </w:tr>
      <w:tr w:rsidR="005D5A58" w:rsidRPr="008321EB" w14:paraId="5F57D600" w14:textId="77777777" w:rsidTr="000257B1">
        <w:trPr>
          <w:trHeight w:val="20"/>
        </w:trPr>
        <w:tc>
          <w:tcPr>
            <w:tcW w:w="1691" w:type="dxa"/>
            <w:shd w:val="clear" w:color="000000" w:fill="8496B0"/>
            <w:vAlign w:val="bottom"/>
            <w:hideMark/>
          </w:tcPr>
          <w:p w14:paraId="27332F60" w14:textId="49298542" w:rsidR="005D5A58" w:rsidRPr="005D5A58" w:rsidRDefault="005D5A58" w:rsidP="005D5A58">
            <w:pPr>
              <w:rPr>
                <w:rFonts w:ascii="Open Sans" w:eastAsia="Times New Roman" w:hAnsi="Open Sans" w:cs="Open Sans"/>
                <w:color w:val="FFFFFF" w:themeColor="background1"/>
                <w:sz w:val="20"/>
                <w:szCs w:val="20"/>
                <w:lang w:val="es-ES" w:eastAsia="es-ES"/>
              </w:rPr>
            </w:pPr>
            <w:r w:rsidRPr="005D5A58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Granada</w:t>
            </w:r>
          </w:p>
        </w:tc>
        <w:tc>
          <w:tcPr>
            <w:tcW w:w="2563" w:type="dxa"/>
            <w:vAlign w:val="bottom"/>
          </w:tcPr>
          <w:p w14:paraId="6923D358" w14:textId="253EC57F" w:rsidR="005D5A58" w:rsidRPr="000257B1" w:rsidRDefault="005D5A58" w:rsidP="005D5A58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Granada Capital</w:t>
            </w:r>
          </w:p>
        </w:tc>
        <w:tc>
          <w:tcPr>
            <w:tcW w:w="1843" w:type="dxa"/>
            <w:noWrap/>
            <w:vAlign w:val="bottom"/>
            <w:hideMark/>
          </w:tcPr>
          <w:p w14:paraId="60D329B3" w14:textId="1D47436F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74,07 €</w:t>
            </w:r>
          </w:p>
        </w:tc>
        <w:tc>
          <w:tcPr>
            <w:tcW w:w="1497" w:type="dxa"/>
            <w:vAlign w:val="bottom"/>
          </w:tcPr>
          <w:p w14:paraId="5544BE7C" w14:textId="66F5B978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b/>
                <w:bCs/>
                <w:color w:val="C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75,79 €</w:t>
            </w:r>
          </w:p>
        </w:tc>
        <w:tc>
          <w:tcPr>
            <w:tcW w:w="1530" w:type="dxa"/>
            <w:noWrap/>
            <w:vAlign w:val="bottom"/>
            <w:hideMark/>
          </w:tcPr>
          <w:p w14:paraId="1FF39996" w14:textId="7EFF2228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2,3%</w:t>
            </w:r>
          </w:p>
        </w:tc>
      </w:tr>
      <w:tr w:rsidR="005D5A58" w:rsidRPr="008321EB" w14:paraId="533D39B2" w14:textId="77777777" w:rsidTr="000257B1">
        <w:trPr>
          <w:trHeight w:val="20"/>
        </w:trPr>
        <w:tc>
          <w:tcPr>
            <w:tcW w:w="1691" w:type="dxa"/>
            <w:shd w:val="clear" w:color="000000" w:fill="8496B0"/>
            <w:vAlign w:val="bottom"/>
            <w:hideMark/>
          </w:tcPr>
          <w:p w14:paraId="47B994EB" w14:textId="4128FB07" w:rsidR="005D5A58" w:rsidRPr="005D5A58" w:rsidRDefault="005D5A58" w:rsidP="005D5A58">
            <w:pPr>
              <w:rPr>
                <w:rFonts w:ascii="Open Sans" w:eastAsia="Times New Roman" w:hAnsi="Open Sans" w:cs="Open Sans"/>
                <w:color w:val="FFFFFF" w:themeColor="background1"/>
                <w:sz w:val="20"/>
                <w:szCs w:val="20"/>
                <w:lang w:val="es-ES" w:eastAsia="es-ES"/>
              </w:rPr>
            </w:pPr>
            <w:r w:rsidRPr="005D5A58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Almería</w:t>
            </w:r>
          </w:p>
        </w:tc>
        <w:tc>
          <w:tcPr>
            <w:tcW w:w="2563" w:type="dxa"/>
            <w:shd w:val="clear" w:color="000000" w:fill="D6DCE4"/>
            <w:vAlign w:val="bottom"/>
          </w:tcPr>
          <w:p w14:paraId="4034ABF9" w14:textId="2F3B1D1A" w:rsidR="005D5A58" w:rsidRPr="000257B1" w:rsidRDefault="005D5A58" w:rsidP="005D5A58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El Ejido</w:t>
            </w:r>
          </w:p>
        </w:tc>
        <w:tc>
          <w:tcPr>
            <w:tcW w:w="1843" w:type="dxa"/>
            <w:shd w:val="clear" w:color="000000" w:fill="D6DCE4"/>
            <w:noWrap/>
            <w:vAlign w:val="bottom"/>
            <w:hideMark/>
          </w:tcPr>
          <w:p w14:paraId="7501F2E3" w14:textId="53187779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58,22 €</w:t>
            </w:r>
          </w:p>
        </w:tc>
        <w:tc>
          <w:tcPr>
            <w:tcW w:w="1497" w:type="dxa"/>
            <w:shd w:val="clear" w:color="000000" w:fill="D6DCE4"/>
            <w:vAlign w:val="bottom"/>
          </w:tcPr>
          <w:p w14:paraId="151BBAEA" w14:textId="296DD75D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b/>
                <w:bCs/>
                <w:color w:val="C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59,41 €</w:t>
            </w:r>
          </w:p>
        </w:tc>
        <w:tc>
          <w:tcPr>
            <w:tcW w:w="1530" w:type="dxa"/>
            <w:shd w:val="clear" w:color="000000" w:fill="D6DCE4"/>
            <w:noWrap/>
            <w:vAlign w:val="bottom"/>
            <w:hideMark/>
          </w:tcPr>
          <w:p w14:paraId="66CFF6D5" w14:textId="2311A1C5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2,0%</w:t>
            </w:r>
          </w:p>
        </w:tc>
      </w:tr>
      <w:tr w:rsidR="005D5A58" w:rsidRPr="008321EB" w14:paraId="1364E126" w14:textId="77777777" w:rsidTr="000257B1">
        <w:trPr>
          <w:trHeight w:val="20"/>
        </w:trPr>
        <w:tc>
          <w:tcPr>
            <w:tcW w:w="1691" w:type="dxa"/>
            <w:shd w:val="clear" w:color="000000" w:fill="8496B0"/>
            <w:vAlign w:val="bottom"/>
            <w:hideMark/>
          </w:tcPr>
          <w:p w14:paraId="6EDB4637" w14:textId="4793BEA0" w:rsidR="005D5A58" w:rsidRPr="005D5A58" w:rsidRDefault="005D5A58" w:rsidP="005D5A58">
            <w:pPr>
              <w:rPr>
                <w:rFonts w:ascii="Open Sans" w:eastAsia="Times New Roman" w:hAnsi="Open Sans" w:cs="Open Sans"/>
                <w:color w:val="FFFFFF" w:themeColor="background1"/>
                <w:sz w:val="20"/>
                <w:szCs w:val="20"/>
                <w:lang w:val="es-ES" w:eastAsia="es-ES"/>
              </w:rPr>
            </w:pPr>
            <w:r w:rsidRPr="005D5A58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Alicante</w:t>
            </w:r>
          </w:p>
        </w:tc>
        <w:tc>
          <w:tcPr>
            <w:tcW w:w="2563" w:type="dxa"/>
            <w:vAlign w:val="bottom"/>
          </w:tcPr>
          <w:p w14:paraId="4D1B91D1" w14:textId="76F12CFC" w:rsidR="005D5A58" w:rsidRPr="000257B1" w:rsidRDefault="005D5A58" w:rsidP="005D5A58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Alicante / Alacant</w:t>
            </w:r>
          </w:p>
        </w:tc>
        <w:tc>
          <w:tcPr>
            <w:tcW w:w="1843" w:type="dxa"/>
            <w:noWrap/>
            <w:vAlign w:val="bottom"/>
            <w:hideMark/>
          </w:tcPr>
          <w:p w14:paraId="35E8DA10" w14:textId="744A2FD5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74,39 €</w:t>
            </w:r>
          </w:p>
        </w:tc>
        <w:tc>
          <w:tcPr>
            <w:tcW w:w="1497" w:type="dxa"/>
            <w:vAlign w:val="bottom"/>
          </w:tcPr>
          <w:p w14:paraId="674BFAD1" w14:textId="45549966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b/>
                <w:bCs/>
                <w:color w:val="C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75,84 €</w:t>
            </w:r>
          </w:p>
        </w:tc>
        <w:tc>
          <w:tcPr>
            <w:tcW w:w="1530" w:type="dxa"/>
            <w:noWrap/>
            <w:vAlign w:val="bottom"/>
            <w:hideMark/>
          </w:tcPr>
          <w:p w14:paraId="4102618B" w14:textId="74B70502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1,9%</w:t>
            </w:r>
          </w:p>
        </w:tc>
      </w:tr>
      <w:tr w:rsidR="005D5A58" w:rsidRPr="008321EB" w14:paraId="788BCEA2" w14:textId="77777777" w:rsidTr="000257B1">
        <w:trPr>
          <w:trHeight w:val="20"/>
        </w:trPr>
        <w:tc>
          <w:tcPr>
            <w:tcW w:w="1691" w:type="dxa"/>
            <w:shd w:val="clear" w:color="000000" w:fill="8496B0"/>
            <w:vAlign w:val="bottom"/>
            <w:hideMark/>
          </w:tcPr>
          <w:p w14:paraId="201E2581" w14:textId="4B2D3172" w:rsidR="005D5A58" w:rsidRPr="005D5A58" w:rsidRDefault="005D5A58" w:rsidP="005D5A58">
            <w:pPr>
              <w:rPr>
                <w:rFonts w:ascii="Open Sans" w:eastAsia="Times New Roman" w:hAnsi="Open Sans" w:cs="Open Sans"/>
                <w:color w:val="FFFFFF" w:themeColor="background1"/>
                <w:sz w:val="20"/>
                <w:szCs w:val="20"/>
                <w:lang w:val="es-ES" w:eastAsia="es-ES"/>
              </w:rPr>
            </w:pPr>
            <w:r w:rsidRPr="005D5A58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Castellón</w:t>
            </w:r>
          </w:p>
        </w:tc>
        <w:tc>
          <w:tcPr>
            <w:tcW w:w="2563" w:type="dxa"/>
            <w:shd w:val="clear" w:color="000000" w:fill="D6DCE4"/>
            <w:vAlign w:val="bottom"/>
          </w:tcPr>
          <w:p w14:paraId="1F63052F" w14:textId="5716526F" w:rsidR="005D5A58" w:rsidRPr="000257B1" w:rsidRDefault="005D5A58" w:rsidP="005D5A58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Castellón de la Plana / Castelló de la Plana</w:t>
            </w:r>
          </w:p>
        </w:tc>
        <w:tc>
          <w:tcPr>
            <w:tcW w:w="1843" w:type="dxa"/>
            <w:shd w:val="clear" w:color="000000" w:fill="D6DCE4"/>
            <w:noWrap/>
            <w:vAlign w:val="bottom"/>
            <w:hideMark/>
          </w:tcPr>
          <w:p w14:paraId="30B59FBA" w14:textId="2CBABF07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57,95 €</w:t>
            </w:r>
          </w:p>
        </w:tc>
        <w:tc>
          <w:tcPr>
            <w:tcW w:w="1497" w:type="dxa"/>
            <w:shd w:val="clear" w:color="000000" w:fill="D6DCE4"/>
            <w:vAlign w:val="bottom"/>
          </w:tcPr>
          <w:p w14:paraId="41DF4DB8" w14:textId="7DACE93F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b/>
                <w:bCs/>
                <w:color w:val="C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58,77 €</w:t>
            </w:r>
          </w:p>
        </w:tc>
        <w:tc>
          <w:tcPr>
            <w:tcW w:w="1530" w:type="dxa"/>
            <w:shd w:val="clear" w:color="000000" w:fill="D6DCE4"/>
            <w:noWrap/>
            <w:vAlign w:val="bottom"/>
            <w:hideMark/>
          </w:tcPr>
          <w:p w14:paraId="42BD7059" w14:textId="0C0EA0CA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1,4%</w:t>
            </w:r>
          </w:p>
        </w:tc>
      </w:tr>
      <w:tr w:rsidR="005D5A58" w:rsidRPr="008321EB" w14:paraId="1D840867" w14:textId="77777777" w:rsidTr="000257B1">
        <w:trPr>
          <w:trHeight w:val="20"/>
        </w:trPr>
        <w:tc>
          <w:tcPr>
            <w:tcW w:w="1691" w:type="dxa"/>
            <w:shd w:val="clear" w:color="000000" w:fill="8496B0"/>
            <w:vAlign w:val="bottom"/>
            <w:hideMark/>
          </w:tcPr>
          <w:p w14:paraId="268327EC" w14:textId="5F809C93" w:rsidR="005D5A58" w:rsidRPr="005D5A58" w:rsidRDefault="005D5A58" w:rsidP="005D5A58">
            <w:pPr>
              <w:rPr>
                <w:rFonts w:ascii="Open Sans" w:eastAsia="Times New Roman" w:hAnsi="Open Sans" w:cs="Open Sans"/>
                <w:color w:val="FFFFFF" w:themeColor="background1"/>
                <w:sz w:val="20"/>
                <w:szCs w:val="20"/>
                <w:lang w:val="es-ES" w:eastAsia="es-ES"/>
              </w:rPr>
            </w:pPr>
            <w:r w:rsidRPr="005D5A58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Cantabria</w:t>
            </w:r>
          </w:p>
        </w:tc>
        <w:tc>
          <w:tcPr>
            <w:tcW w:w="2563" w:type="dxa"/>
            <w:vAlign w:val="bottom"/>
          </w:tcPr>
          <w:p w14:paraId="5BE60F64" w14:textId="77AD30ED" w:rsidR="005D5A58" w:rsidRPr="000257B1" w:rsidRDefault="005D5A58" w:rsidP="005D5A58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Santander</w:t>
            </w:r>
          </w:p>
        </w:tc>
        <w:tc>
          <w:tcPr>
            <w:tcW w:w="1843" w:type="dxa"/>
            <w:noWrap/>
            <w:vAlign w:val="bottom"/>
            <w:hideMark/>
          </w:tcPr>
          <w:p w14:paraId="7E332A45" w14:textId="6FA905FF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103,62 €</w:t>
            </w:r>
          </w:p>
        </w:tc>
        <w:tc>
          <w:tcPr>
            <w:tcW w:w="1497" w:type="dxa"/>
            <w:vAlign w:val="bottom"/>
          </w:tcPr>
          <w:p w14:paraId="7F69C37C" w14:textId="46D28D9C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b/>
                <w:bCs/>
                <w:color w:val="C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105,07 €</w:t>
            </w:r>
          </w:p>
        </w:tc>
        <w:tc>
          <w:tcPr>
            <w:tcW w:w="1530" w:type="dxa"/>
            <w:noWrap/>
            <w:vAlign w:val="bottom"/>
            <w:hideMark/>
          </w:tcPr>
          <w:p w14:paraId="0BE9A5A3" w14:textId="3D891F04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1,4%</w:t>
            </w:r>
          </w:p>
        </w:tc>
      </w:tr>
      <w:tr w:rsidR="005D5A58" w:rsidRPr="008321EB" w14:paraId="7E4CCF94" w14:textId="77777777" w:rsidTr="000257B1">
        <w:trPr>
          <w:trHeight w:val="20"/>
        </w:trPr>
        <w:tc>
          <w:tcPr>
            <w:tcW w:w="1691" w:type="dxa"/>
            <w:shd w:val="clear" w:color="000000" w:fill="8496B0"/>
            <w:vAlign w:val="bottom"/>
            <w:hideMark/>
          </w:tcPr>
          <w:p w14:paraId="6D431502" w14:textId="4F87C4A7" w:rsidR="005D5A58" w:rsidRPr="005D5A58" w:rsidRDefault="005D5A58" w:rsidP="005D5A58">
            <w:pPr>
              <w:rPr>
                <w:rFonts w:ascii="Open Sans" w:eastAsia="Times New Roman" w:hAnsi="Open Sans" w:cs="Open Sans"/>
                <w:color w:val="FFFFFF" w:themeColor="background1"/>
                <w:sz w:val="20"/>
                <w:szCs w:val="20"/>
                <w:lang w:val="es-ES" w:eastAsia="es-ES"/>
              </w:rPr>
            </w:pPr>
            <w:r w:rsidRPr="005D5A58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Barcelona</w:t>
            </w:r>
          </w:p>
        </w:tc>
        <w:tc>
          <w:tcPr>
            <w:tcW w:w="2563" w:type="dxa"/>
            <w:shd w:val="clear" w:color="000000" w:fill="D6DCE4"/>
            <w:vAlign w:val="bottom"/>
          </w:tcPr>
          <w:p w14:paraId="495DB4A3" w14:textId="003EB31A" w:rsidR="005D5A58" w:rsidRPr="000257B1" w:rsidRDefault="005D5A58" w:rsidP="005D5A58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Granollers</w:t>
            </w:r>
          </w:p>
        </w:tc>
        <w:tc>
          <w:tcPr>
            <w:tcW w:w="1843" w:type="dxa"/>
            <w:shd w:val="clear" w:color="000000" w:fill="D6DCE4"/>
            <w:noWrap/>
            <w:vAlign w:val="bottom"/>
            <w:hideMark/>
          </w:tcPr>
          <w:p w14:paraId="4CFF8551" w14:textId="1932500C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64,24 €</w:t>
            </w:r>
          </w:p>
        </w:tc>
        <w:tc>
          <w:tcPr>
            <w:tcW w:w="1497" w:type="dxa"/>
            <w:shd w:val="clear" w:color="000000" w:fill="D6DCE4"/>
            <w:vAlign w:val="bottom"/>
          </w:tcPr>
          <w:p w14:paraId="41B464BD" w14:textId="36BE952E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b/>
                <w:bCs/>
                <w:color w:val="C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65,11 €</w:t>
            </w:r>
          </w:p>
        </w:tc>
        <w:tc>
          <w:tcPr>
            <w:tcW w:w="1530" w:type="dxa"/>
            <w:shd w:val="clear" w:color="000000" w:fill="D6DCE4"/>
            <w:noWrap/>
            <w:vAlign w:val="bottom"/>
            <w:hideMark/>
          </w:tcPr>
          <w:p w14:paraId="01AA535D" w14:textId="621E49F0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1,4%</w:t>
            </w:r>
          </w:p>
        </w:tc>
      </w:tr>
      <w:tr w:rsidR="005D5A58" w:rsidRPr="008321EB" w14:paraId="6128BDE1" w14:textId="77777777" w:rsidTr="000257B1">
        <w:trPr>
          <w:trHeight w:val="20"/>
        </w:trPr>
        <w:tc>
          <w:tcPr>
            <w:tcW w:w="1691" w:type="dxa"/>
            <w:shd w:val="clear" w:color="000000" w:fill="8496B0"/>
            <w:vAlign w:val="bottom"/>
            <w:hideMark/>
          </w:tcPr>
          <w:p w14:paraId="63C454D4" w14:textId="6E17DEB1" w:rsidR="005D5A58" w:rsidRPr="005D5A58" w:rsidRDefault="005D5A58" w:rsidP="005D5A58">
            <w:pPr>
              <w:rPr>
                <w:rFonts w:ascii="Open Sans" w:eastAsia="Times New Roman" w:hAnsi="Open Sans" w:cs="Open Sans"/>
                <w:color w:val="FFFFFF" w:themeColor="background1"/>
                <w:sz w:val="20"/>
                <w:szCs w:val="20"/>
                <w:lang w:val="es-ES" w:eastAsia="es-ES"/>
              </w:rPr>
            </w:pPr>
            <w:r w:rsidRPr="005D5A58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Badajoz</w:t>
            </w:r>
          </w:p>
        </w:tc>
        <w:tc>
          <w:tcPr>
            <w:tcW w:w="2563" w:type="dxa"/>
            <w:vAlign w:val="bottom"/>
          </w:tcPr>
          <w:p w14:paraId="12A5E043" w14:textId="0587667C" w:rsidR="005D5A58" w:rsidRPr="000257B1" w:rsidRDefault="005D5A58" w:rsidP="005D5A58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Badajoz Capital</w:t>
            </w:r>
          </w:p>
        </w:tc>
        <w:tc>
          <w:tcPr>
            <w:tcW w:w="1843" w:type="dxa"/>
            <w:noWrap/>
            <w:vAlign w:val="bottom"/>
            <w:hideMark/>
          </w:tcPr>
          <w:p w14:paraId="6F843CCC" w14:textId="3696BEE4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59,67 €</w:t>
            </w:r>
          </w:p>
        </w:tc>
        <w:tc>
          <w:tcPr>
            <w:tcW w:w="1497" w:type="dxa"/>
            <w:vAlign w:val="bottom"/>
          </w:tcPr>
          <w:p w14:paraId="75D16325" w14:textId="5EB07113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b/>
                <w:bCs/>
                <w:color w:val="C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60,41 €</w:t>
            </w:r>
          </w:p>
        </w:tc>
        <w:tc>
          <w:tcPr>
            <w:tcW w:w="1530" w:type="dxa"/>
            <w:noWrap/>
            <w:vAlign w:val="bottom"/>
            <w:hideMark/>
          </w:tcPr>
          <w:p w14:paraId="3F1D468F" w14:textId="385053EC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1,2%</w:t>
            </w:r>
          </w:p>
        </w:tc>
      </w:tr>
      <w:tr w:rsidR="005D5A58" w:rsidRPr="008321EB" w14:paraId="168049DC" w14:textId="77777777" w:rsidTr="000257B1">
        <w:trPr>
          <w:trHeight w:val="20"/>
        </w:trPr>
        <w:tc>
          <w:tcPr>
            <w:tcW w:w="1691" w:type="dxa"/>
            <w:shd w:val="clear" w:color="000000" w:fill="8496B0"/>
            <w:vAlign w:val="bottom"/>
            <w:hideMark/>
          </w:tcPr>
          <w:p w14:paraId="73094A16" w14:textId="0371B158" w:rsidR="005D5A58" w:rsidRPr="005D5A58" w:rsidRDefault="005D5A58" w:rsidP="005D5A58">
            <w:pPr>
              <w:rPr>
                <w:rFonts w:ascii="Open Sans" w:eastAsia="Times New Roman" w:hAnsi="Open Sans" w:cs="Open Sans"/>
                <w:color w:val="FFFFFF" w:themeColor="background1"/>
                <w:sz w:val="20"/>
                <w:szCs w:val="20"/>
                <w:lang w:val="es-ES" w:eastAsia="es-ES"/>
              </w:rPr>
            </w:pPr>
            <w:r w:rsidRPr="005D5A58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Barcelona</w:t>
            </w:r>
          </w:p>
        </w:tc>
        <w:tc>
          <w:tcPr>
            <w:tcW w:w="2563" w:type="dxa"/>
            <w:shd w:val="clear" w:color="000000" w:fill="D6DCE4"/>
            <w:vAlign w:val="bottom"/>
          </w:tcPr>
          <w:p w14:paraId="1101FF98" w14:textId="7F4AAA05" w:rsidR="005D5A58" w:rsidRPr="000257B1" w:rsidRDefault="005D5A58" w:rsidP="005D5A58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Sant Feliu de Llobregat</w:t>
            </w:r>
          </w:p>
        </w:tc>
        <w:tc>
          <w:tcPr>
            <w:tcW w:w="1843" w:type="dxa"/>
            <w:shd w:val="clear" w:color="000000" w:fill="D6DCE4"/>
            <w:noWrap/>
            <w:vAlign w:val="bottom"/>
            <w:hideMark/>
          </w:tcPr>
          <w:p w14:paraId="2DD2BA56" w14:textId="33749D33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67,50 €</w:t>
            </w:r>
          </w:p>
        </w:tc>
        <w:tc>
          <w:tcPr>
            <w:tcW w:w="1497" w:type="dxa"/>
            <w:shd w:val="clear" w:color="000000" w:fill="D6DCE4"/>
            <w:vAlign w:val="bottom"/>
          </w:tcPr>
          <w:p w14:paraId="22E58997" w14:textId="1C06E65A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b/>
                <w:bCs/>
                <w:color w:val="C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68,33 €</w:t>
            </w:r>
          </w:p>
        </w:tc>
        <w:tc>
          <w:tcPr>
            <w:tcW w:w="1530" w:type="dxa"/>
            <w:shd w:val="clear" w:color="000000" w:fill="D6DCE4"/>
            <w:noWrap/>
            <w:vAlign w:val="bottom"/>
            <w:hideMark/>
          </w:tcPr>
          <w:p w14:paraId="08433CCD" w14:textId="6DE9B79E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1,2%</w:t>
            </w:r>
          </w:p>
        </w:tc>
      </w:tr>
      <w:tr w:rsidR="005D5A58" w:rsidRPr="008321EB" w14:paraId="296C53E5" w14:textId="77777777" w:rsidTr="000257B1">
        <w:trPr>
          <w:trHeight w:val="20"/>
        </w:trPr>
        <w:tc>
          <w:tcPr>
            <w:tcW w:w="1691" w:type="dxa"/>
            <w:shd w:val="clear" w:color="000000" w:fill="8496B0"/>
            <w:vAlign w:val="bottom"/>
            <w:hideMark/>
          </w:tcPr>
          <w:p w14:paraId="529E380A" w14:textId="6179E274" w:rsidR="005D5A58" w:rsidRPr="005D5A58" w:rsidRDefault="005D5A58" w:rsidP="005D5A58">
            <w:pPr>
              <w:rPr>
                <w:rFonts w:ascii="Open Sans" w:eastAsia="Times New Roman" w:hAnsi="Open Sans" w:cs="Open Sans"/>
                <w:color w:val="FFFFFF" w:themeColor="background1"/>
                <w:sz w:val="20"/>
                <w:szCs w:val="20"/>
                <w:lang w:val="es-ES" w:eastAsia="es-ES"/>
              </w:rPr>
            </w:pPr>
            <w:r w:rsidRPr="005D5A58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Segovia</w:t>
            </w:r>
          </w:p>
        </w:tc>
        <w:tc>
          <w:tcPr>
            <w:tcW w:w="2563" w:type="dxa"/>
            <w:vAlign w:val="bottom"/>
          </w:tcPr>
          <w:p w14:paraId="53762ABF" w14:textId="18A99FC0" w:rsidR="005D5A58" w:rsidRPr="000257B1" w:rsidRDefault="005D5A58" w:rsidP="005D5A58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Segovia Capital</w:t>
            </w:r>
          </w:p>
        </w:tc>
        <w:tc>
          <w:tcPr>
            <w:tcW w:w="1843" w:type="dxa"/>
            <w:noWrap/>
            <w:vAlign w:val="bottom"/>
            <w:hideMark/>
          </w:tcPr>
          <w:p w14:paraId="058DD247" w14:textId="0B2301D2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68,11 €</w:t>
            </w:r>
          </w:p>
        </w:tc>
        <w:tc>
          <w:tcPr>
            <w:tcW w:w="1497" w:type="dxa"/>
            <w:vAlign w:val="bottom"/>
          </w:tcPr>
          <w:p w14:paraId="49659C4F" w14:textId="60A7D827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b/>
                <w:bCs/>
                <w:color w:val="C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68,89 €</w:t>
            </w:r>
          </w:p>
        </w:tc>
        <w:tc>
          <w:tcPr>
            <w:tcW w:w="1530" w:type="dxa"/>
            <w:noWrap/>
            <w:vAlign w:val="bottom"/>
            <w:hideMark/>
          </w:tcPr>
          <w:p w14:paraId="2CC8AB9C" w14:textId="1D8F8A05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1,1%</w:t>
            </w:r>
          </w:p>
        </w:tc>
      </w:tr>
      <w:tr w:rsidR="005D5A58" w:rsidRPr="008321EB" w14:paraId="161CEA75" w14:textId="77777777" w:rsidTr="000257B1">
        <w:trPr>
          <w:trHeight w:val="20"/>
        </w:trPr>
        <w:tc>
          <w:tcPr>
            <w:tcW w:w="1691" w:type="dxa"/>
            <w:shd w:val="clear" w:color="000000" w:fill="8496B0"/>
            <w:vAlign w:val="bottom"/>
            <w:hideMark/>
          </w:tcPr>
          <w:p w14:paraId="3BDB31F6" w14:textId="59D58CEE" w:rsidR="005D5A58" w:rsidRPr="005D5A58" w:rsidRDefault="005D5A58" w:rsidP="005D5A58">
            <w:pPr>
              <w:rPr>
                <w:rFonts w:ascii="Open Sans" w:eastAsia="Times New Roman" w:hAnsi="Open Sans" w:cs="Open Sans"/>
                <w:color w:val="FFFFFF" w:themeColor="background1"/>
                <w:sz w:val="20"/>
                <w:szCs w:val="20"/>
                <w:lang w:val="es-ES" w:eastAsia="es-ES"/>
              </w:rPr>
            </w:pPr>
            <w:r w:rsidRPr="005D5A58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Illes Balears</w:t>
            </w:r>
          </w:p>
        </w:tc>
        <w:tc>
          <w:tcPr>
            <w:tcW w:w="2563" w:type="dxa"/>
            <w:shd w:val="clear" w:color="000000" w:fill="D6DCE4"/>
            <w:vAlign w:val="bottom"/>
          </w:tcPr>
          <w:p w14:paraId="3C4B7D30" w14:textId="57201B92" w:rsidR="005D5A58" w:rsidRPr="000257B1" w:rsidRDefault="005D5A58" w:rsidP="005D5A58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Palma de Mallorca</w:t>
            </w:r>
          </w:p>
        </w:tc>
        <w:tc>
          <w:tcPr>
            <w:tcW w:w="1843" w:type="dxa"/>
            <w:shd w:val="clear" w:color="000000" w:fill="D6DCE4"/>
            <w:noWrap/>
            <w:vAlign w:val="bottom"/>
            <w:hideMark/>
          </w:tcPr>
          <w:p w14:paraId="528DFEF9" w14:textId="322D4ABB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105,78 €</w:t>
            </w:r>
          </w:p>
        </w:tc>
        <w:tc>
          <w:tcPr>
            <w:tcW w:w="1497" w:type="dxa"/>
            <w:shd w:val="clear" w:color="000000" w:fill="D6DCE4"/>
            <w:vAlign w:val="bottom"/>
          </w:tcPr>
          <w:p w14:paraId="2604AD9E" w14:textId="11E7A1CA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b/>
                <w:bCs/>
                <w:color w:val="C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106,86 €</w:t>
            </w:r>
          </w:p>
        </w:tc>
        <w:tc>
          <w:tcPr>
            <w:tcW w:w="1530" w:type="dxa"/>
            <w:shd w:val="clear" w:color="000000" w:fill="D6DCE4"/>
            <w:noWrap/>
            <w:vAlign w:val="bottom"/>
            <w:hideMark/>
          </w:tcPr>
          <w:p w14:paraId="2C7B6D4D" w14:textId="1E7ABEDC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1,0%</w:t>
            </w:r>
          </w:p>
        </w:tc>
      </w:tr>
      <w:tr w:rsidR="005D5A58" w:rsidRPr="008321EB" w14:paraId="2F44D2B8" w14:textId="77777777" w:rsidTr="000257B1">
        <w:trPr>
          <w:trHeight w:val="20"/>
        </w:trPr>
        <w:tc>
          <w:tcPr>
            <w:tcW w:w="1691" w:type="dxa"/>
            <w:shd w:val="clear" w:color="000000" w:fill="8496B0"/>
            <w:vAlign w:val="bottom"/>
            <w:hideMark/>
          </w:tcPr>
          <w:p w14:paraId="6E5B48EB" w14:textId="6191B721" w:rsidR="005D5A58" w:rsidRPr="005D5A58" w:rsidRDefault="005D5A58" w:rsidP="005D5A58">
            <w:pPr>
              <w:rPr>
                <w:rFonts w:ascii="Open Sans" w:eastAsia="Times New Roman" w:hAnsi="Open Sans" w:cs="Open Sans"/>
                <w:color w:val="FFFFFF" w:themeColor="background1"/>
                <w:sz w:val="20"/>
                <w:szCs w:val="20"/>
                <w:lang w:val="es-ES" w:eastAsia="es-ES"/>
              </w:rPr>
            </w:pPr>
            <w:r w:rsidRPr="005D5A58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Navarra</w:t>
            </w:r>
          </w:p>
        </w:tc>
        <w:tc>
          <w:tcPr>
            <w:tcW w:w="2563" w:type="dxa"/>
            <w:vAlign w:val="bottom"/>
          </w:tcPr>
          <w:p w14:paraId="421687E0" w14:textId="5109197E" w:rsidR="005D5A58" w:rsidRPr="000257B1" w:rsidRDefault="005D5A58" w:rsidP="005D5A58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Pamplona / Iruña</w:t>
            </w:r>
          </w:p>
        </w:tc>
        <w:tc>
          <w:tcPr>
            <w:tcW w:w="1843" w:type="dxa"/>
            <w:noWrap/>
            <w:vAlign w:val="bottom"/>
            <w:hideMark/>
          </w:tcPr>
          <w:p w14:paraId="01C8471C" w14:textId="0D6AC708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62,25 €</w:t>
            </w:r>
          </w:p>
        </w:tc>
        <w:tc>
          <w:tcPr>
            <w:tcW w:w="1497" w:type="dxa"/>
            <w:vAlign w:val="bottom"/>
          </w:tcPr>
          <w:p w14:paraId="40DE7775" w14:textId="58A27087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b/>
                <w:bCs/>
                <w:color w:val="C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62,70 €</w:t>
            </w:r>
          </w:p>
        </w:tc>
        <w:tc>
          <w:tcPr>
            <w:tcW w:w="1530" w:type="dxa"/>
            <w:noWrap/>
            <w:vAlign w:val="bottom"/>
            <w:hideMark/>
          </w:tcPr>
          <w:p w14:paraId="7B5CB97C" w14:textId="31D1AFCE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0,7%</w:t>
            </w:r>
          </w:p>
        </w:tc>
      </w:tr>
      <w:tr w:rsidR="005D5A58" w:rsidRPr="008321EB" w14:paraId="36E8B98A" w14:textId="77777777" w:rsidTr="000257B1">
        <w:trPr>
          <w:trHeight w:val="20"/>
        </w:trPr>
        <w:tc>
          <w:tcPr>
            <w:tcW w:w="1691" w:type="dxa"/>
            <w:shd w:val="clear" w:color="000000" w:fill="8496B0"/>
            <w:vAlign w:val="bottom"/>
            <w:hideMark/>
          </w:tcPr>
          <w:p w14:paraId="7E54B362" w14:textId="2AA7E177" w:rsidR="005D5A58" w:rsidRPr="005D5A58" w:rsidRDefault="005D5A58" w:rsidP="005D5A58">
            <w:pPr>
              <w:rPr>
                <w:rFonts w:ascii="Open Sans" w:eastAsia="Times New Roman" w:hAnsi="Open Sans" w:cs="Open Sans"/>
                <w:color w:val="FFFFFF" w:themeColor="background1"/>
                <w:sz w:val="20"/>
                <w:szCs w:val="20"/>
                <w:lang w:val="es-ES" w:eastAsia="es-ES"/>
              </w:rPr>
            </w:pPr>
            <w:r w:rsidRPr="005D5A58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Valladolid</w:t>
            </w:r>
          </w:p>
        </w:tc>
        <w:tc>
          <w:tcPr>
            <w:tcW w:w="2563" w:type="dxa"/>
            <w:shd w:val="clear" w:color="000000" w:fill="D6DCE4"/>
            <w:vAlign w:val="bottom"/>
          </w:tcPr>
          <w:p w14:paraId="1F5C9491" w14:textId="50F38205" w:rsidR="005D5A58" w:rsidRPr="000257B1" w:rsidRDefault="005D5A58" w:rsidP="005D5A58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Valladolid Capital</w:t>
            </w:r>
          </w:p>
        </w:tc>
        <w:tc>
          <w:tcPr>
            <w:tcW w:w="1843" w:type="dxa"/>
            <w:shd w:val="clear" w:color="000000" w:fill="D6DCE4"/>
            <w:noWrap/>
            <w:vAlign w:val="bottom"/>
            <w:hideMark/>
          </w:tcPr>
          <w:p w14:paraId="31B27BD7" w14:textId="7502D126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62,89 €</w:t>
            </w:r>
          </w:p>
        </w:tc>
        <w:tc>
          <w:tcPr>
            <w:tcW w:w="1497" w:type="dxa"/>
            <w:shd w:val="clear" w:color="000000" w:fill="D6DCE4"/>
            <w:vAlign w:val="bottom"/>
          </w:tcPr>
          <w:p w14:paraId="6CBD5012" w14:textId="1703C14A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b/>
                <w:bCs/>
                <w:color w:val="C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63,07 €</w:t>
            </w:r>
          </w:p>
        </w:tc>
        <w:tc>
          <w:tcPr>
            <w:tcW w:w="1530" w:type="dxa"/>
            <w:shd w:val="clear" w:color="000000" w:fill="D6DCE4"/>
            <w:noWrap/>
            <w:vAlign w:val="bottom"/>
            <w:hideMark/>
          </w:tcPr>
          <w:p w14:paraId="2745AC1E" w14:textId="13572961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0,3%</w:t>
            </w:r>
          </w:p>
        </w:tc>
      </w:tr>
      <w:tr w:rsidR="005D5A58" w:rsidRPr="008321EB" w14:paraId="512DE6A2" w14:textId="77777777" w:rsidTr="000257B1">
        <w:trPr>
          <w:trHeight w:val="20"/>
        </w:trPr>
        <w:tc>
          <w:tcPr>
            <w:tcW w:w="1691" w:type="dxa"/>
            <w:shd w:val="clear" w:color="000000" w:fill="8496B0"/>
            <w:vAlign w:val="bottom"/>
            <w:hideMark/>
          </w:tcPr>
          <w:p w14:paraId="1922B748" w14:textId="4ACC051D" w:rsidR="005D5A58" w:rsidRPr="005D5A58" w:rsidRDefault="005D5A58" w:rsidP="005D5A58">
            <w:pPr>
              <w:rPr>
                <w:rFonts w:ascii="Open Sans" w:eastAsia="Times New Roman" w:hAnsi="Open Sans" w:cs="Open Sans"/>
                <w:color w:val="FFFFFF" w:themeColor="background1"/>
                <w:sz w:val="20"/>
                <w:szCs w:val="20"/>
                <w:lang w:val="es-ES" w:eastAsia="es-ES"/>
              </w:rPr>
            </w:pPr>
            <w:r w:rsidRPr="005D5A58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Barcelona</w:t>
            </w:r>
          </w:p>
        </w:tc>
        <w:tc>
          <w:tcPr>
            <w:tcW w:w="2563" w:type="dxa"/>
            <w:vAlign w:val="bottom"/>
          </w:tcPr>
          <w:p w14:paraId="78B74A02" w14:textId="122E90FB" w:rsidR="005D5A58" w:rsidRPr="000257B1" w:rsidRDefault="005D5A58" w:rsidP="005D5A58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Cardedeu</w:t>
            </w:r>
          </w:p>
        </w:tc>
        <w:tc>
          <w:tcPr>
            <w:tcW w:w="1843" w:type="dxa"/>
            <w:noWrap/>
            <w:vAlign w:val="bottom"/>
            <w:hideMark/>
          </w:tcPr>
          <w:p w14:paraId="6A10A50D" w14:textId="54973EA6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55,70 €</w:t>
            </w:r>
          </w:p>
        </w:tc>
        <w:tc>
          <w:tcPr>
            <w:tcW w:w="1497" w:type="dxa"/>
            <w:vAlign w:val="bottom"/>
          </w:tcPr>
          <w:p w14:paraId="161CE5E1" w14:textId="68332E3D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b/>
                <w:bCs/>
                <w:color w:val="C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55,83 €</w:t>
            </w:r>
          </w:p>
        </w:tc>
        <w:tc>
          <w:tcPr>
            <w:tcW w:w="1530" w:type="dxa"/>
            <w:noWrap/>
            <w:vAlign w:val="bottom"/>
            <w:hideMark/>
          </w:tcPr>
          <w:p w14:paraId="1B98D4F1" w14:textId="5E2FEF82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0,2%</w:t>
            </w:r>
          </w:p>
        </w:tc>
      </w:tr>
      <w:tr w:rsidR="005D5A58" w:rsidRPr="008321EB" w14:paraId="1311EA3B" w14:textId="77777777" w:rsidTr="000257B1">
        <w:trPr>
          <w:trHeight w:val="20"/>
        </w:trPr>
        <w:tc>
          <w:tcPr>
            <w:tcW w:w="1691" w:type="dxa"/>
            <w:shd w:val="clear" w:color="000000" w:fill="8496B0"/>
            <w:vAlign w:val="bottom"/>
            <w:hideMark/>
          </w:tcPr>
          <w:p w14:paraId="68F5C0D2" w14:textId="0E0C23F6" w:rsidR="005D5A58" w:rsidRPr="005D5A58" w:rsidRDefault="005D5A58" w:rsidP="005D5A58">
            <w:pPr>
              <w:rPr>
                <w:rFonts w:ascii="Open Sans" w:eastAsia="Times New Roman" w:hAnsi="Open Sans" w:cs="Open Sans"/>
                <w:color w:val="FFFFFF" w:themeColor="background1"/>
                <w:sz w:val="20"/>
                <w:szCs w:val="20"/>
                <w:lang w:val="es-ES" w:eastAsia="es-ES"/>
              </w:rPr>
            </w:pPr>
            <w:r w:rsidRPr="005D5A58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A Coruña</w:t>
            </w:r>
          </w:p>
        </w:tc>
        <w:tc>
          <w:tcPr>
            <w:tcW w:w="2563" w:type="dxa"/>
            <w:shd w:val="clear" w:color="000000" w:fill="D6DCE4"/>
            <w:vAlign w:val="bottom"/>
          </w:tcPr>
          <w:p w14:paraId="36D57DD9" w14:textId="74BB9ACE" w:rsidR="005D5A58" w:rsidRPr="000257B1" w:rsidRDefault="005D5A58" w:rsidP="005D5A58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Santiago de Compostela</w:t>
            </w:r>
          </w:p>
        </w:tc>
        <w:tc>
          <w:tcPr>
            <w:tcW w:w="1843" w:type="dxa"/>
            <w:shd w:val="clear" w:color="000000" w:fill="D6DCE4"/>
            <w:noWrap/>
            <w:vAlign w:val="bottom"/>
            <w:hideMark/>
          </w:tcPr>
          <w:p w14:paraId="397ABE21" w14:textId="24896BA5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61,70 €</w:t>
            </w:r>
          </w:p>
        </w:tc>
        <w:tc>
          <w:tcPr>
            <w:tcW w:w="1497" w:type="dxa"/>
            <w:shd w:val="clear" w:color="000000" w:fill="D6DCE4"/>
            <w:vAlign w:val="bottom"/>
          </w:tcPr>
          <w:p w14:paraId="6F6EAF4A" w14:textId="7F37917F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b/>
                <w:bCs/>
                <w:color w:val="C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61,76 €</w:t>
            </w:r>
          </w:p>
        </w:tc>
        <w:tc>
          <w:tcPr>
            <w:tcW w:w="1530" w:type="dxa"/>
            <w:shd w:val="clear" w:color="000000" w:fill="D6DCE4"/>
            <w:noWrap/>
            <w:vAlign w:val="bottom"/>
            <w:hideMark/>
          </w:tcPr>
          <w:p w14:paraId="34DCBB80" w14:textId="79CCD66C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0,1%</w:t>
            </w:r>
          </w:p>
        </w:tc>
      </w:tr>
      <w:tr w:rsidR="005D5A58" w:rsidRPr="008321EB" w14:paraId="40D7CE79" w14:textId="77777777" w:rsidTr="000257B1">
        <w:trPr>
          <w:trHeight w:val="20"/>
        </w:trPr>
        <w:tc>
          <w:tcPr>
            <w:tcW w:w="1691" w:type="dxa"/>
            <w:shd w:val="clear" w:color="000000" w:fill="8496B0"/>
            <w:vAlign w:val="bottom"/>
            <w:hideMark/>
          </w:tcPr>
          <w:p w14:paraId="31538CE9" w14:textId="0BD9CC84" w:rsidR="005D5A58" w:rsidRPr="005D5A58" w:rsidRDefault="005D5A58" w:rsidP="005D5A58">
            <w:pPr>
              <w:rPr>
                <w:rFonts w:ascii="Open Sans" w:eastAsia="Times New Roman" w:hAnsi="Open Sans" w:cs="Open Sans"/>
                <w:color w:val="FFFFFF" w:themeColor="background1"/>
                <w:sz w:val="20"/>
                <w:szCs w:val="20"/>
                <w:lang w:val="es-ES" w:eastAsia="es-ES"/>
              </w:rPr>
            </w:pPr>
            <w:r w:rsidRPr="005D5A58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Valencia</w:t>
            </w:r>
          </w:p>
        </w:tc>
        <w:tc>
          <w:tcPr>
            <w:tcW w:w="2563" w:type="dxa"/>
            <w:vAlign w:val="bottom"/>
          </w:tcPr>
          <w:p w14:paraId="238F4DE4" w14:textId="185B6B05" w:rsidR="005D5A58" w:rsidRPr="000257B1" w:rsidRDefault="005D5A58" w:rsidP="005D5A58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Valencia Capital</w:t>
            </w:r>
          </w:p>
        </w:tc>
        <w:tc>
          <w:tcPr>
            <w:tcW w:w="1843" w:type="dxa"/>
            <w:noWrap/>
            <w:vAlign w:val="bottom"/>
            <w:hideMark/>
          </w:tcPr>
          <w:p w14:paraId="22F0043A" w14:textId="4D728999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81,75 €</w:t>
            </w:r>
          </w:p>
        </w:tc>
        <w:tc>
          <w:tcPr>
            <w:tcW w:w="1497" w:type="dxa"/>
            <w:vAlign w:val="bottom"/>
          </w:tcPr>
          <w:p w14:paraId="4D29962B" w14:textId="5C06796A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b/>
                <w:bCs/>
                <w:color w:val="C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81,64 €</w:t>
            </w:r>
          </w:p>
        </w:tc>
        <w:tc>
          <w:tcPr>
            <w:tcW w:w="1530" w:type="dxa"/>
            <w:noWrap/>
            <w:vAlign w:val="bottom"/>
            <w:hideMark/>
          </w:tcPr>
          <w:p w14:paraId="6CDEF7DD" w14:textId="642ED50A" w:rsidR="005D5A58" w:rsidRPr="000257B1" w:rsidRDefault="005D5A58" w:rsidP="005D5A58">
            <w:pPr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Open Sans" w:hAnsi="Open Sans" w:cs="Open Sans"/>
                <w:color w:val="9C0006"/>
                <w:sz w:val="22"/>
                <w:szCs w:val="22"/>
              </w:rPr>
              <w:t>-0,1%</w:t>
            </w:r>
          </w:p>
        </w:tc>
      </w:tr>
      <w:tr w:rsidR="005D5A58" w:rsidRPr="008321EB" w14:paraId="3E740992" w14:textId="77777777" w:rsidTr="000257B1">
        <w:trPr>
          <w:trHeight w:val="20"/>
        </w:trPr>
        <w:tc>
          <w:tcPr>
            <w:tcW w:w="1691" w:type="dxa"/>
            <w:shd w:val="clear" w:color="000000" w:fill="8496B0"/>
            <w:vAlign w:val="bottom"/>
          </w:tcPr>
          <w:p w14:paraId="5B54C930" w14:textId="630EDF2E" w:rsidR="005D5A58" w:rsidRPr="005D5A58" w:rsidRDefault="005D5A58" w:rsidP="005D5A58">
            <w:pPr>
              <w:rPr>
                <w:rFonts w:ascii="Open Sans" w:eastAsia="Times New Roman" w:hAnsi="Open Sans" w:cs="Open Sans"/>
                <w:color w:val="FFFFFF" w:themeColor="background1"/>
                <w:sz w:val="20"/>
                <w:szCs w:val="20"/>
                <w:lang w:val="es-ES" w:eastAsia="es-ES"/>
              </w:rPr>
            </w:pPr>
            <w:r w:rsidRPr="005D5A58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Madrid</w:t>
            </w:r>
          </w:p>
        </w:tc>
        <w:tc>
          <w:tcPr>
            <w:tcW w:w="2563" w:type="dxa"/>
            <w:shd w:val="clear" w:color="auto" w:fill="D5DCE4" w:themeFill="text2" w:themeFillTint="33"/>
            <w:vAlign w:val="bottom"/>
          </w:tcPr>
          <w:p w14:paraId="1FA28122" w14:textId="0555C76B" w:rsidR="005D5A58" w:rsidRPr="000257B1" w:rsidRDefault="005D5A58" w:rsidP="005D5A58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Alcorcón</w:t>
            </w:r>
          </w:p>
        </w:tc>
        <w:tc>
          <w:tcPr>
            <w:tcW w:w="1843" w:type="dxa"/>
            <w:shd w:val="clear" w:color="auto" w:fill="D5DCE4" w:themeFill="text2" w:themeFillTint="33"/>
            <w:noWrap/>
            <w:vAlign w:val="bottom"/>
          </w:tcPr>
          <w:p w14:paraId="5EB71F1D" w14:textId="085DCF30" w:rsidR="005D5A58" w:rsidRPr="000257B1" w:rsidRDefault="005D5A58" w:rsidP="005D5A58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51,71 €</w:t>
            </w:r>
          </w:p>
        </w:tc>
        <w:tc>
          <w:tcPr>
            <w:tcW w:w="1497" w:type="dxa"/>
            <w:shd w:val="clear" w:color="auto" w:fill="D5DCE4" w:themeFill="text2" w:themeFillTint="33"/>
            <w:vAlign w:val="bottom"/>
          </w:tcPr>
          <w:p w14:paraId="323182DD" w14:textId="2AA23356" w:rsidR="005D5A58" w:rsidRPr="000257B1" w:rsidRDefault="005D5A58" w:rsidP="005D5A58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51,63 €</w:t>
            </w:r>
          </w:p>
        </w:tc>
        <w:tc>
          <w:tcPr>
            <w:tcW w:w="1530" w:type="dxa"/>
            <w:shd w:val="clear" w:color="auto" w:fill="D5DCE4" w:themeFill="text2" w:themeFillTint="33"/>
            <w:noWrap/>
            <w:vAlign w:val="bottom"/>
          </w:tcPr>
          <w:p w14:paraId="30761E45" w14:textId="11B758B9" w:rsidR="005D5A58" w:rsidRPr="000257B1" w:rsidRDefault="005D5A58" w:rsidP="005D5A58">
            <w:pPr>
              <w:jc w:val="center"/>
              <w:rPr>
                <w:rFonts w:ascii="Open Sans" w:hAnsi="Open Sans" w:cs="Open Sans"/>
                <w:b/>
                <w:bCs/>
                <w:color w:val="9C0006"/>
                <w:sz w:val="20"/>
                <w:szCs w:val="20"/>
              </w:rPr>
            </w:pPr>
            <w:r>
              <w:rPr>
                <w:rFonts w:ascii="Open Sans" w:hAnsi="Open Sans" w:cs="Open Sans"/>
                <w:color w:val="9C0006"/>
                <w:sz w:val="22"/>
                <w:szCs w:val="22"/>
              </w:rPr>
              <w:t>-0,2%</w:t>
            </w:r>
          </w:p>
        </w:tc>
      </w:tr>
      <w:tr w:rsidR="005D5A58" w:rsidRPr="008321EB" w14:paraId="123D0471" w14:textId="77777777" w:rsidTr="000257B1">
        <w:trPr>
          <w:trHeight w:val="20"/>
        </w:trPr>
        <w:tc>
          <w:tcPr>
            <w:tcW w:w="1691" w:type="dxa"/>
            <w:shd w:val="clear" w:color="000000" w:fill="8496B0"/>
            <w:vAlign w:val="bottom"/>
          </w:tcPr>
          <w:p w14:paraId="049FEAFA" w14:textId="37D03AD2" w:rsidR="005D5A58" w:rsidRPr="005D5A58" w:rsidRDefault="005D5A58" w:rsidP="005D5A58">
            <w:pPr>
              <w:rPr>
                <w:rFonts w:ascii="Open Sans" w:eastAsia="Times New Roman" w:hAnsi="Open Sans" w:cs="Open Sans"/>
                <w:color w:val="FFFFFF" w:themeColor="background1"/>
                <w:sz w:val="20"/>
                <w:szCs w:val="20"/>
                <w:lang w:val="es-ES" w:eastAsia="es-ES"/>
              </w:rPr>
            </w:pPr>
            <w:r w:rsidRPr="005D5A58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Barcelona</w:t>
            </w:r>
          </w:p>
        </w:tc>
        <w:tc>
          <w:tcPr>
            <w:tcW w:w="2563" w:type="dxa"/>
            <w:vAlign w:val="bottom"/>
          </w:tcPr>
          <w:p w14:paraId="250C6E02" w14:textId="61147E41" w:rsidR="005D5A58" w:rsidRPr="000257B1" w:rsidRDefault="005D5A58" w:rsidP="005D5A58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Barcelona Capital</w:t>
            </w:r>
          </w:p>
        </w:tc>
        <w:tc>
          <w:tcPr>
            <w:tcW w:w="1843" w:type="dxa"/>
            <w:noWrap/>
            <w:vAlign w:val="bottom"/>
          </w:tcPr>
          <w:p w14:paraId="0606307F" w14:textId="07FD9365" w:rsidR="005D5A58" w:rsidRPr="000257B1" w:rsidRDefault="005D5A58" w:rsidP="005D5A58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93,43 €</w:t>
            </w:r>
          </w:p>
        </w:tc>
        <w:tc>
          <w:tcPr>
            <w:tcW w:w="1497" w:type="dxa"/>
            <w:vAlign w:val="bottom"/>
          </w:tcPr>
          <w:p w14:paraId="367F2A0A" w14:textId="403CD927" w:rsidR="005D5A58" w:rsidRPr="000257B1" w:rsidRDefault="005D5A58" w:rsidP="005D5A58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93,02 €</w:t>
            </w:r>
          </w:p>
        </w:tc>
        <w:tc>
          <w:tcPr>
            <w:tcW w:w="1530" w:type="dxa"/>
            <w:noWrap/>
            <w:vAlign w:val="bottom"/>
          </w:tcPr>
          <w:p w14:paraId="477C9A6C" w14:textId="7A03523E" w:rsidR="005D5A58" w:rsidRPr="000257B1" w:rsidRDefault="005D5A58" w:rsidP="005D5A58">
            <w:pPr>
              <w:jc w:val="center"/>
              <w:rPr>
                <w:rFonts w:ascii="Open Sans" w:hAnsi="Open Sans" w:cs="Open Sans"/>
                <w:b/>
                <w:bCs/>
                <w:color w:val="9C0006"/>
                <w:sz w:val="20"/>
                <w:szCs w:val="20"/>
              </w:rPr>
            </w:pPr>
            <w:r>
              <w:rPr>
                <w:rFonts w:ascii="Open Sans" w:hAnsi="Open Sans" w:cs="Open Sans"/>
                <w:color w:val="9C0006"/>
                <w:sz w:val="22"/>
                <w:szCs w:val="22"/>
              </w:rPr>
              <w:t>-0,4%</w:t>
            </w:r>
          </w:p>
        </w:tc>
      </w:tr>
      <w:tr w:rsidR="005D5A58" w:rsidRPr="008321EB" w14:paraId="5C0B04E6" w14:textId="77777777" w:rsidTr="000257B1">
        <w:trPr>
          <w:trHeight w:val="20"/>
        </w:trPr>
        <w:tc>
          <w:tcPr>
            <w:tcW w:w="1691" w:type="dxa"/>
            <w:shd w:val="clear" w:color="000000" w:fill="8496B0"/>
            <w:vAlign w:val="bottom"/>
          </w:tcPr>
          <w:p w14:paraId="49E02968" w14:textId="2B88FDE8" w:rsidR="005D5A58" w:rsidRPr="005D5A58" w:rsidRDefault="005D5A58" w:rsidP="005D5A58">
            <w:pPr>
              <w:rPr>
                <w:rFonts w:ascii="Open Sans" w:eastAsia="Times New Roman" w:hAnsi="Open Sans" w:cs="Open Sans"/>
                <w:color w:val="FFFFFF" w:themeColor="background1"/>
                <w:sz w:val="20"/>
                <w:szCs w:val="20"/>
                <w:lang w:val="es-ES" w:eastAsia="es-ES"/>
              </w:rPr>
            </w:pPr>
            <w:r w:rsidRPr="005D5A58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Madrid</w:t>
            </w:r>
          </w:p>
        </w:tc>
        <w:tc>
          <w:tcPr>
            <w:tcW w:w="2563" w:type="dxa"/>
            <w:shd w:val="clear" w:color="auto" w:fill="D5DCE4" w:themeFill="text2" w:themeFillTint="33"/>
            <w:vAlign w:val="bottom"/>
          </w:tcPr>
          <w:p w14:paraId="338691E6" w14:textId="1D388F54" w:rsidR="005D5A58" w:rsidRPr="000257B1" w:rsidRDefault="005D5A58" w:rsidP="005D5A58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Madrid Capital</w:t>
            </w:r>
          </w:p>
        </w:tc>
        <w:tc>
          <w:tcPr>
            <w:tcW w:w="1843" w:type="dxa"/>
            <w:shd w:val="clear" w:color="auto" w:fill="D5DCE4" w:themeFill="text2" w:themeFillTint="33"/>
            <w:noWrap/>
            <w:vAlign w:val="bottom"/>
          </w:tcPr>
          <w:p w14:paraId="37A16A20" w14:textId="7AC36372" w:rsidR="005D5A58" w:rsidRPr="000257B1" w:rsidRDefault="005D5A58" w:rsidP="005D5A58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92,16 €</w:t>
            </w:r>
          </w:p>
        </w:tc>
        <w:tc>
          <w:tcPr>
            <w:tcW w:w="1497" w:type="dxa"/>
            <w:shd w:val="clear" w:color="auto" w:fill="D5DCE4" w:themeFill="text2" w:themeFillTint="33"/>
            <w:vAlign w:val="bottom"/>
          </w:tcPr>
          <w:p w14:paraId="46712451" w14:textId="6CF4D80A" w:rsidR="005D5A58" w:rsidRPr="000257B1" w:rsidRDefault="005D5A58" w:rsidP="005D5A58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91,49 €</w:t>
            </w:r>
          </w:p>
        </w:tc>
        <w:tc>
          <w:tcPr>
            <w:tcW w:w="1530" w:type="dxa"/>
            <w:shd w:val="clear" w:color="auto" w:fill="D5DCE4" w:themeFill="text2" w:themeFillTint="33"/>
            <w:noWrap/>
            <w:vAlign w:val="bottom"/>
          </w:tcPr>
          <w:p w14:paraId="7D8B1755" w14:textId="3AF57725" w:rsidR="005D5A58" w:rsidRPr="000257B1" w:rsidRDefault="005D5A58" w:rsidP="005D5A58">
            <w:pPr>
              <w:jc w:val="center"/>
              <w:rPr>
                <w:rFonts w:ascii="Open Sans" w:hAnsi="Open Sans" w:cs="Open Sans"/>
                <w:b/>
                <w:bCs/>
                <w:color w:val="9C0006"/>
                <w:sz w:val="20"/>
                <w:szCs w:val="20"/>
              </w:rPr>
            </w:pPr>
            <w:r>
              <w:rPr>
                <w:rFonts w:ascii="Open Sans" w:hAnsi="Open Sans" w:cs="Open Sans"/>
                <w:color w:val="9C0006"/>
                <w:sz w:val="22"/>
                <w:szCs w:val="22"/>
              </w:rPr>
              <w:t>-0,7%</w:t>
            </w:r>
          </w:p>
        </w:tc>
      </w:tr>
      <w:tr w:rsidR="005D5A58" w:rsidRPr="008321EB" w14:paraId="0CF49BC5" w14:textId="77777777" w:rsidTr="000257B1">
        <w:trPr>
          <w:trHeight w:val="20"/>
        </w:trPr>
        <w:tc>
          <w:tcPr>
            <w:tcW w:w="1691" w:type="dxa"/>
            <w:shd w:val="clear" w:color="000000" w:fill="8496B0"/>
            <w:vAlign w:val="bottom"/>
          </w:tcPr>
          <w:p w14:paraId="2DC7D07C" w14:textId="1C302009" w:rsidR="005D5A58" w:rsidRPr="005D5A58" w:rsidRDefault="005D5A58" w:rsidP="005D5A58">
            <w:pPr>
              <w:rPr>
                <w:rFonts w:ascii="Open Sans" w:eastAsia="Times New Roman" w:hAnsi="Open Sans" w:cs="Open Sans"/>
                <w:color w:val="FFFFFF" w:themeColor="background1"/>
                <w:sz w:val="20"/>
                <w:szCs w:val="20"/>
                <w:lang w:val="es-ES" w:eastAsia="es-ES"/>
              </w:rPr>
            </w:pPr>
            <w:r w:rsidRPr="005D5A58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Valencia</w:t>
            </w:r>
          </w:p>
        </w:tc>
        <w:tc>
          <w:tcPr>
            <w:tcW w:w="2563" w:type="dxa"/>
            <w:vAlign w:val="bottom"/>
          </w:tcPr>
          <w:p w14:paraId="7CD3A833" w14:textId="135D148C" w:rsidR="005D5A58" w:rsidRPr="000257B1" w:rsidRDefault="005D5A58" w:rsidP="005D5A58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Mislata</w:t>
            </w:r>
          </w:p>
        </w:tc>
        <w:tc>
          <w:tcPr>
            <w:tcW w:w="1843" w:type="dxa"/>
            <w:noWrap/>
            <w:vAlign w:val="bottom"/>
          </w:tcPr>
          <w:p w14:paraId="6595F239" w14:textId="0BA7D999" w:rsidR="005D5A58" w:rsidRPr="000257B1" w:rsidRDefault="005D5A58" w:rsidP="005D5A58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60,59 €</w:t>
            </w:r>
          </w:p>
        </w:tc>
        <w:tc>
          <w:tcPr>
            <w:tcW w:w="1497" w:type="dxa"/>
            <w:vAlign w:val="bottom"/>
          </w:tcPr>
          <w:p w14:paraId="447A51FE" w14:textId="38C29C2F" w:rsidR="005D5A58" w:rsidRPr="000257B1" w:rsidRDefault="005D5A58" w:rsidP="005D5A58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60,13 €</w:t>
            </w:r>
          </w:p>
        </w:tc>
        <w:tc>
          <w:tcPr>
            <w:tcW w:w="1530" w:type="dxa"/>
            <w:noWrap/>
            <w:vAlign w:val="bottom"/>
          </w:tcPr>
          <w:p w14:paraId="23A85C96" w14:textId="64874E0C" w:rsidR="005D5A58" w:rsidRPr="000257B1" w:rsidRDefault="005D5A58" w:rsidP="005D5A58">
            <w:pPr>
              <w:jc w:val="center"/>
              <w:rPr>
                <w:rFonts w:ascii="Open Sans" w:hAnsi="Open Sans" w:cs="Open Sans"/>
                <w:b/>
                <w:bCs/>
                <w:color w:val="9C0006"/>
                <w:sz w:val="20"/>
                <w:szCs w:val="20"/>
              </w:rPr>
            </w:pPr>
            <w:r>
              <w:rPr>
                <w:rFonts w:ascii="Open Sans" w:hAnsi="Open Sans" w:cs="Open Sans"/>
                <w:color w:val="9C0006"/>
                <w:sz w:val="22"/>
                <w:szCs w:val="22"/>
              </w:rPr>
              <w:t>-0,8%</w:t>
            </w:r>
          </w:p>
        </w:tc>
      </w:tr>
      <w:tr w:rsidR="005D5A58" w:rsidRPr="008321EB" w14:paraId="147FB43F" w14:textId="77777777" w:rsidTr="000257B1">
        <w:trPr>
          <w:trHeight w:val="20"/>
        </w:trPr>
        <w:tc>
          <w:tcPr>
            <w:tcW w:w="1691" w:type="dxa"/>
            <w:shd w:val="clear" w:color="000000" w:fill="8496B0"/>
            <w:vAlign w:val="bottom"/>
          </w:tcPr>
          <w:p w14:paraId="3D78E3E4" w14:textId="4E479BCF" w:rsidR="005D5A58" w:rsidRPr="005D5A58" w:rsidRDefault="005D5A58" w:rsidP="005D5A58">
            <w:pPr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</w:pPr>
            <w:r w:rsidRPr="005D5A58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Córdoba</w:t>
            </w:r>
          </w:p>
        </w:tc>
        <w:tc>
          <w:tcPr>
            <w:tcW w:w="2563" w:type="dxa"/>
            <w:shd w:val="clear" w:color="auto" w:fill="D5DCE4" w:themeFill="text2" w:themeFillTint="33"/>
            <w:vAlign w:val="bottom"/>
          </w:tcPr>
          <w:p w14:paraId="1C3D9607" w14:textId="78216BE2" w:rsidR="005D5A58" w:rsidRPr="000257B1" w:rsidRDefault="005D5A58" w:rsidP="005D5A58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Córdoba Capital</w:t>
            </w:r>
          </w:p>
        </w:tc>
        <w:tc>
          <w:tcPr>
            <w:tcW w:w="1843" w:type="dxa"/>
            <w:shd w:val="clear" w:color="auto" w:fill="D5DCE4" w:themeFill="text2" w:themeFillTint="33"/>
            <w:noWrap/>
            <w:vAlign w:val="bottom"/>
          </w:tcPr>
          <w:p w14:paraId="61CB83E8" w14:textId="064B9D6B" w:rsidR="005D5A58" w:rsidRPr="000257B1" w:rsidRDefault="005D5A58" w:rsidP="005D5A58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74,94 €</w:t>
            </w:r>
          </w:p>
        </w:tc>
        <w:tc>
          <w:tcPr>
            <w:tcW w:w="1497" w:type="dxa"/>
            <w:shd w:val="clear" w:color="auto" w:fill="D5DCE4" w:themeFill="text2" w:themeFillTint="33"/>
            <w:vAlign w:val="bottom"/>
          </w:tcPr>
          <w:p w14:paraId="57905291" w14:textId="1F2CDF58" w:rsidR="005D5A58" w:rsidRPr="000257B1" w:rsidRDefault="005D5A58" w:rsidP="005D5A58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74,33 €</w:t>
            </w:r>
          </w:p>
        </w:tc>
        <w:tc>
          <w:tcPr>
            <w:tcW w:w="1530" w:type="dxa"/>
            <w:shd w:val="clear" w:color="auto" w:fill="D5DCE4" w:themeFill="text2" w:themeFillTint="33"/>
            <w:noWrap/>
            <w:vAlign w:val="bottom"/>
          </w:tcPr>
          <w:p w14:paraId="56BC651C" w14:textId="6141B1EF" w:rsidR="005D5A58" w:rsidRPr="000257B1" w:rsidRDefault="005D5A58" w:rsidP="005D5A58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color w:val="9C0006"/>
                <w:sz w:val="22"/>
                <w:szCs w:val="22"/>
              </w:rPr>
              <w:t>-0,8%</w:t>
            </w:r>
          </w:p>
        </w:tc>
      </w:tr>
      <w:tr w:rsidR="005D5A58" w:rsidRPr="008321EB" w14:paraId="4E2C091A" w14:textId="77777777" w:rsidTr="000257B1">
        <w:trPr>
          <w:trHeight w:val="20"/>
        </w:trPr>
        <w:tc>
          <w:tcPr>
            <w:tcW w:w="1691" w:type="dxa"/>
            <w:shd w:val="clear" w:color="000000" w:fill="8496B0"/>
            <w:vAlign w:val="bottom"/>
          </w:tcPr>
          <w:p w14:paraId="02329CE6" w14:textId="448B5CDB" w:rsidR="005D5A58" w:rsidRPr="005D5A58" w:rsidRDefault="005D5A58" w:rsidP="005D5A58">
            <w:pPr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</w:pPr>
            <w:r w:rsidRPr="005D5A58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Madrid</w:t>
            </w:r>
          </w:p>
        </w:tc>
        <w:tc>
          <w:tcPr>
            <w:tcW w:w="2563" w:type="dxa"/>
            <w:vAlign w:val="bottom"/>
          </w:tcPr>
          <w:p w14:paraId="0C59814E" w14:textId="1C74BE52" w:rsidR="005D5A58" w:rsidRPr="000257B1" w:rsidRDefault="005D5A58" w:rsidP="005D5A58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Móstoles</w:t>
            </w:r>
          </w:p>
        </w:tc>
        <w:tc>
          <w:tcPr>
            <w:tcW w:w="1843" w:type="dxa"/>
            <w:noWrap/>
            <w:vAlign w:val="bottom"/>
          </w:tcPr>
          <w:p w14:paraId="6AB9C605" w14:textId="48884467" w:rsidR="005D5A58" w:rsidRPr="000257B1" w:rsidRDefault="005D5A58" w:rsidP="005D5A58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63,17 €</w:t>
            </w:r>
          </w:p>
        </w:tc>
        <w:tc>
          <w:tcPr>
            <w:tcW w:w="1497" w:type="dxa"/>
            <w:vAlign w:val="bottom"/>
          </w:tcPr>
          <w:p w14:paraId="73EE9CEF" w14:textId="712535FB" w:rsidR="005D5A58" w:rsidRPr="000257B1" w:rsidRDefault="005D5A58" w:rsidP="005D5A58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62,65 €</w:t>
            </w:r>
          </w:p>
        </w:tc>
        <w:tc>
          <w:tcPr>
            <w:tcW w:w="1530" w:type="dxa"/>
            <w:noWrap/>
            <w:vAlign w:val="bottom"/>
          </w:tcPr>
          <w:p w14:paraId="24077BFB" w14:textId="5BFD8C07" w:rsidR="005D5A58" w:rsidRPr="000257B1" w:rsidRDefault="005D5A58" w:rsidP="005D5A58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color w:val="9C0006"/>
                <w:sz w:val="22"/>
                <w:szCs w:val="22"/>
              </w:rPr>
              <w:t>-0,8%</w:t>
            </w:r>
          </w:p>
        </w:tc>
      </w:tr>
      <w:tr w:rsidR="005D5A58" w:rsidRPr="008321EB" w14:paraId="5C0AAEAC" w14:textId="77777777" w:rsidTr="000257B1">
        <w:trPr>
          <w:trHeight w:val="20"/>
        </w:trPr>
        <w:tc>
          <w:tcPr>
            <w:tcW w:w="1691" w:type="dxa"/>
            <w:shd w:val="clear" w:color="000000" w:fill="8496B0"/>
            <w:vAlign w:val="bottom"/>
          </w:tcPr>
          <w:p w14:paraId="0A65F7C6" w14:textId="75CA154A" w:rsidR="005D5A58" w:rsidRPr="005D5A58" w:rsidRDefault="005D5A58" w:rsidP="005D5A58">
            <w:pPr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</w:pPr>
            <w:r w:rsidRPr="005D5A58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Cáceres</w:t>
            </w:r>
          </w:p>
        </w:tc>
        <w:tc>
          <w:tcPr>
            <w:tcW w:w="2563" w:type="dxa"/>
            <w:shd w:val="clear" w:color="auto" w:fill="D5DCE4" w:themeFill="text2" w:themeFillTint="33"/>
            <w:vAlign w:val="bottom"/>
          </w:tcPr>
          <w:p w14:paraId="171DB5A7" w14:textId="5E7FD480" w:rsidR="005D5A58" w:rsidRPr="000257B1" w:rsidRDefault="005D5A58" w:rsidP="005D5A58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Cáceres Capital</w:t>
            </w:r>
          </w:p>
        </w:tc>
        <w:tc>
          <w:tcPr>
            <w:tcW w:w="1843" w:type="dxa"/>
            <w:shd w:val="clear" w:color="auto" w:fill="D5DCE4" w:themeFill="text2" w:themeFillTint="33"/>
            <w:noWrap/>
            <w:vAlign w:val="bottom"/>
          </w:tcPr>
          <w:p w14:paraId="04DF2BCB" w14:textId="57F0BB79" w:rsidR="005D5A58" w:rsidRPr="000257B1" w:rsidRDefault="005D5A58" w:rsidP="005D5A58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56,19 €</w:t>
            </w:r>
          </w:p>
        </w:tc>
        <w:tc>
          <w:tcPr>
            <w:tcW w:w="1497" w:type="dxa"/>
            <w:shd w:val="clear" w:color="auto" w:fill="D5DCE4" w:themeFill="text2" w:themeFillTint="33"/>
            <w:vAlign w:val="bottom"/>
          </w:tcPr>
          <w:p w14:paraId="009FBB74" w14:textId="5C8665D6" w:rsidR="005D5A58" w:rsidRPr="000257B1" w:rsidRDefault="005D5A58" w:rsidP="005D5A58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55,53 €</w:t>
            </w:r>
          </w:p>
        </w:tc>
        <w:tc>
          <w:tcPr>
            <w:tcW w:w="1530" w:type="dxa"/>
            <w:shd w:val="clear" w:color="auto" w:fill="D5DCE4" w:themeFill="text2" w:themeFillTint="33"/>
            <w:noWrap/>
            <w:vAlign w:val="bottom"/>
          </w:tcPr>
          <w:p w14:paraId="0AE7072B" w14:textId="1A9347C0" w:rsidR="005D5A58" w:rsidRPr="000257B1" w:rsidRDefault="005D5A58" w:rsidP="005D5A58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color w:val="9C0006"/>
                <w:sz w:val="22"/>
                <w:szCs w:val="22"/>
              </w:rPr>
              <w:t>-1,2%</w:t>
            </w:r>
          </w:p>
        </w:tc>
      </w:tr>
      <w:tr w:rsidR="005D5A58" w:rsidRPr="008321EB" w14:paraId="5211AC2B" w14:textId="77777777" w:rsidTr="000257B1">
        <w:trPr>
          <w:trHeight w:val="20"/>
        </w:trPr>
        <w:tc>
          <w:tcPr>
            <w:tcW w:w="1691" w:type="dxa"/>
            <w:shd w:val="clear" w:color="000000" w:fill="8496B0"/>
            <w:vAlign w:val="bottom"/>
          </w:tcPr>
          <w:p w14:paraId="20DBEEB7" w14:textId="74EDD5DA" w:rsidR="005D5A58" w:rsidRPr="005D5A58" w:rsidRDefault="005D5A58" w:rsidP="005D5A58">
            <w:pPr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</w:pPr>
            <w:r w:rsidRPr="005D5A58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Barcelona</w:t>
            </w:r>
          </w:p>
        </w:tc>
        <w:tc>
          <w:tcPr>
            <w:tcW w:w="2563" w:type="dxa"/>
            <w:vAlign w:val="bottom"/>
          </w:tcPr>
          <w:p w14:paraId="346AA8AE" w14:textId="10F5E388" w:rsidR="005D5A58" w:rsidRPr="000257B1" w:rsidRDefault="005D5A58" w:rsidP="005D5A58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Terrassa</w:t>
            </w:r>
          </w:p>
        </w:tc>
        <w:tc>
          <w:tcPr>
            <w:tcW w:w="1843" w:type="dxa"/>
            <w:noWrap/>
            <w:vAlign w:val="bottom"/>
          </w:tcPr>
          <w:p w14:paraId="3061A5C4" w14:textId="610A93AB" w:rsidR="005D5A58" w:rsidRPr="000257B1" w:rsidRDefault="005D5A58" w:rsidP="005D5A58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69,50 €</w:t>
            </w:r>
          </w:p>
        </w:tc>
        <w:tc>
          <w:tcPr>
            <w:tcW w:w="1497" w:type="dxa"/>
            <w:vAlign w:val="bottom"/>
          </w:tcPr>
          <w:p w14:paraId="2D212E64" w14:textId="5AB9B1C1" w:rsidR="005D5A58" w:rsidRPr="000257B1" w:rsidRDefault="005D5A58" w:rsidP="005D5A58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68,65 €</w:t>
            </w:r>
          </w:p>
        </w:tc>
        <w:tc>
          <w:tcPr>
            <w:tcW w:w="1530" w:type="dxa"/>
            <w:noWrap/>
            <w:vAlign w:val="bottom"/>
          </w:tcPr>
          <w:p w14:paraId="6CFD722A" w14:textId="3EF05E97" w:rsidR="005D5A58" w:rsidRPr="000257B1" w:rsidRDefault="005D5A58" w:rsidP="005D5A58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color w:val="9C0006"/>
                <w:sz w:val="22"/>
                <w:szCs w:val="22"/>
              </w:rPr>
              <w:t>-1,2%</w:t>
            </w:r>
          </w:p>
        </w:tc>
      </w:tr>
      <w:tr w:rsidR="005D5A58" w:rsidRPr="008321EB" w14:paraId="1A500A38" w14:textId="77777777" w:rsidTr="000257B1">
        <w:trPr>
          <w:trHeight w:val="20"/>
        </w:trPr>
        <w:tc>
          <w:tcPr>
            <w:tcW w:w="1691" w:type="dxa"/>
            <w:shd w:val="clear" w:color="000000" w:fill="8496B0"/>
            <w:vAlign w:val="bottom"/>
          </w:tcPr>
          <w:p w14:paraId="0B06D1A7" w14:textId="19662585" w:rsidR="005D5A58" w:rsidRPr="005D5A58" w:rsidRDefault="005D5A58" w:rsidP="005D5A58">
            <w:pPr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</w:pPr>
            <w:r w:rsidRPr="005D5A58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Barcelona</w:t>
            </w:r>
          </w:p>
        </w:tc>
        <w:tc>
          <w:tcPr>
            <w:tcW w:w="2563" w:type="dxa"/>
            <w:shd w:val="clear" w:color="auto" w:fill="D5DCE4" w:themeFill="text2" w:themeFillTint="33"/>
            <w:vAlign w:val="bottom"/>
          </w:tcPr>
          <w:p w14:paraId="7A9762E1" w14:textId="479477B2" w:rsidR="005D5A58" w:rsidRPr="000257B1" w:rsidRDefault="005D5A58" w:rsidP="005D5A58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Mataró</w:t>
            </w:r>
          </w:p>
        </w:tc>
        <w:tc>
          <w:tcPr>
            <w:tcW w:w="1843" w:type="dxa"/>
            <w:shd w:val="clear" w:color="auto" w:fill="D5DCE4" w:themeFill="text2" w:themeFillTint="33"/>
            <w:noWrap/>
            <w:vAlign w:val="bottom"/>
          </w:tcPr>
          <w:p w14:paraId="1FA5B9F4" w14:textId="107F1C05" w:rsidR="005D5A58" w:rsidRPr="000257B1" w:rsidRDefault="005D5A58" w:rsidP="005D5A58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74,92 €</w:t>
            </w:r>
          </w:p>
        </w:tc>
        <w:tc>
          <w:tcPr>
            <w:tcW w:w="1497" w:type="dxa"/>
            <w:shd w:val="clear" w:color="auto" w:fill="D5DCE4" w:themeFill="text2" w:themeFillTint="33"/>
            <w:vAlign w:val="bottom"/>
          </w:tcPr>
          <w:p w14:paraId="33DB87A7" w14:textId="2020B3EB" w:rsidR="005D5A58" w:rsidRPr="000257B1" w:rsidRDefault="005D5A58" w:rsidP="005D5A58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73,89 €</w:t>
            </w:r>
          </w:p>
        </w:tc>
        <w:tc>
          <w:tcPr>
            <w:tcW w:w="1530" w:type="dxa"/>
            <w:shd w:val="clear" w:color="auto" w:fill="D5DCE4" w:themeFill="text2" w:themeFillTint="33"/>
            <w:noWrap/>
            <w:vAlign w:val="bottom"/>
          </w:tcPr>
          <w:p w14:paraId="07EFEC7C" w14:textId="514F9A5E" w:rsidR="005D5A58" w:rsidRPr="000257B1" w:rsidRDefault="005D5A58" w:rsidP="005D5A58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color w:val="9C0006"/>
                <w:sz w:val="22"/>
                <w:szCs w:val="22"/>
              </w:rPr>
              <w:t>-1,4%</w:t>
            </w:r>
          </w:p>
        </w:tc>
      </w:tr>
      <w:tr w:rsidR="005D5A58" w:rsidRPr="008321EB" w14:paraId="143269F4" w14:textId="77777777" w:rsidTr="000257B1">
        <w:trPr>
          <w:trHeight w:val="20"/>
        </w:trPr>
        <w:tc>
          <w:tcPr>
            <w:tcW w:w="1691" w:type="dxa"/>
            <w:shd w:val="clear" w:color="000000" w:fill="8496B0"/>
            <w:vAlign w:val="bottom"/>
          </w:tcPr>
          <w:p w14:paraId="0BA4D087" w14:textId="70D1AC41" w:rsidR="005D5A58" w:rsidRPr="005D5A58" w:rsidRDefault="005D5A58" w:rsidP="005D5A58">
            <w:pPr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</w:pPr>
            <w:r w:rsidRPr="005D5A58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Girona</w:t>
            </w:r>
          </w:p>
        </w:tc>
        <w:tc>
          <w:tcPr>
            <w:tcW w:w="2563" w:type="dxa"/>
            <w:vAlign w:val="bottom"/>
          </w:tcPr>
          <w:p w14:paraId="09927E71" w14:textId="05192FB2" w:rsidR="005D5A58" w:rsidRPr="000257B1" w:rsidRDefault="005D5A58" w:rsidP="005D5A58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Girona Capital</w:t>
            </w:r>
          </w:p>
        </w:tc>
        <w:tc>
          <w:tcPr>
            <w:tcW w:w="1843" w:type="dxa"/>
            <w:noWrap/>
            <w:vAlign w:val="bottom"/>
          </w:tcPr>
          <w:p w14:paraId="4CE077C6" w14:textId="038C5EDA" w:rsidR="005D5A58" w:rsidRPr="000257B1" w:rsidRDefault="005D5A58" w:rsidP="005D5A58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84,10 €</w:t>
            </w:r>
          </w:p>
        </w:tc>
        <w:tc>
          <w:tcPr>
            <w:tcW w:w="1497" w:type="dxa"/>
            <w:vAlign w:val="bottom"/>
          </w:tcPr>
          <w:p w14:paraId="5A5FD1A0" w14:textId="43E3C423" w:rsidR="005D5A58" w:rsidRPr="000257B1" w:rsidRDefault="005D5A58" w:rsidP="005D5A58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82,49 €</w:t>
            </w:r>
          </w:p>
        </w:tc>
        <w:tc>
          <w:tcPr>
            <w:tcW w:w="1530" w:type="dxa"/>
            <w:noWrap/>
            <w:vAlign w:val="bottom"/>
          </w:tcPr>
          <w:p w14:paraId="28F9DA24" w14:textId="707719C6" w:rsidR="005D5A58" w:rsidRPr="000257B1" w:rsidRDefault="005D5A58" w:rsidP="005D5A58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color w:val="9C0006"/>
                <w:sz w:val="22"/>
                <w:szCs w:val="22"/>
              </w:rPr>
              <w:t>-1,9%</w:t>
            </w:r>
          </w:p>
        </w:tc>
      </w:tr>
      <w:tr w:rsidR="005D5A58" w:rsidRPr="008321EB" w14:paraId="388EC444" w14:textId="77777777" w:rsidTr="000257B1">
        <w:trPr>
          <w:trHeight w:val="20"/>
        </w:trPr>
        <w:tc>
          <w:tcPr>
            <w:tcW w:w="1691" w:type="dxa"/>
            <w:shd w:val="clear" w:color="000000" w:fill="8496B0"/>
            <w:vAlign w:val="bottom"/>
          </w:tcPr>
          <w:p w14:paraId="6D176511" w14:textId="7BC54A7A" w:rsidR="005D5A58" w:rsidRPr="005D5A58" w:rsidRDefault="005D5A58" w:rsidP="005D5A58">
            <w:pPr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</w:pPr>
            <w:r w:rsidRPr="005D5A58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Ávila</w:t>
            </w:r>
          </w:p>
        </w:tc>
        <w:tc>
          <w:tcPr>
            <w:tcW w:w="2563" w:type="dxa"/>
            <w:shd w:val="clear" w:color="auto" w:fill="D5DCE4" w:themeFill="text2" w:themeFillTint="33"/>
            <w:vAlign w:val="bottom"/>
          </w:tcPr>
          <w:p w14:paraId="0B06D1AC" w14:textId="259D49AB" w:rsidR="005D5A58" w:rsidRPr="000257B1" w:rsidRDefault="005D5A58" w:rsidP="005D5A58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Ávila Capital</w:t>
            </w:r>
          </w:p>
        </w:tc>
        <w:tc>
          <w:tcPr>
            <w:tcW w:w="1843" w:type="dxa"/>
            <w:shd w:val="clear" w:color="auto" w:fill="D5DCE4" w:themeFill="text2" w:themeFillTint="33"/>
            <w:noWrap/>
            <w:vAlign w:val="bottom"/>
          </w:tcPr>
          <w:p w14:paraId="358D3C8E" w14:textId="53B09F88" w:rsidR="005D5A58" w:rsidRPr="000257B1" w:rsidRDefault="005D5A58" w:rsidP="005D5A58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53,40 €</w:t>
            </w:r>
          </w:p>
        </w:tc>
        <w:tc>
          <w:tcPr>
            <w:tcW w:w="1497" w:type="dxa"/>
            <w:shd w:val="clear" w:color="auto" w:fill="D5DCE4" w:themeFill="text2" w:themeFillTint="33"/>
            <w:vAlign w:val="bottom"/>
          </w:tcPr>
          <w:p w14:paraId="0658E556" w14:textId="20A44C71" w:rsidR="005D5A58" w:rsidRPr="000257B1" w:rsidRDefault="005D5A58" w:rsidP="005D5A58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52,24 €</w:t>
            </w:r>
          </w:p>
        </w:tc>
        <w:tc>
          <w:tcPr>
            <w:tcW w:w="1530" w:type="dxa"/>
            <w:shd w:val="clear" w:color="auto" w:fill="D5DCE4" w:themeFill="text2" w:themeFillTint="33"/>
            <w:noWrap/>
            <w:vAlign w:val="bottom"/>
          </w:tcPr>
          <w:p w14:paraId="1B62CE3D" w14:textId="65B17D34" w:rsidR="005D5A58" w:rsidRPr="000257B1" w:rsidRDefault="005D5A58" w:rsidP="005D5A58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color w:val="9C0006"/>
                <w:sz w:val="22"/>
                <w:szCs w:val="22"/>
              </w:rPr>
              <w:t>-2,2%</w:t>
            </w:r>
          </w:p>
        </w:tc>
      </w:tr>
      <w:tr w:rsidR="005D5A58" w:rsidRPr="008321EB" w14:paraId="516356A7" w14:textId="77777777" w:rsidTr="000257B1">
        <w:trPr>
          <w:trHeight w:val="20"/>
        </w:trPr>
        <w:tc>
          <w:tcPr>
            <w:tcW w:w="1691" w:type="dxa"/>
            <w:shd w:val="clear" w:color="000000" w:fill="8496B0"/>
            <w:vAlign w:val="bottom"/>
          </w:tcPr>
          <w:p w14:paraId="580C30D4" w14:textId="4899C22C" w:rsidR="005D5A58" w:rsidRPr="005D5A58" w:rsidRDefault="005D5A58" w:rsidP="005D5A58">
            <w:pPr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</w:pPr>
            <w:r w:rsidRPr="005D5A58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Zaragoza</w:t>
            </w:r>
          </w:p>
        </w:tc>
        <w:tc>
          <w:tcPr>
            <w:tcW w:w="2563" w:type="dxa"/>
            <w:vAlign w:val="bottom"/>
          </w:tcPr>
          <w:p w14:paraId="4D13A530" w14:textId="19B60FA4" w:rsidR="005D5A58" w:rsidRPr="000257B1" w:rsidRDefault="005D5A58" w:rsidP="005D5A58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Zaragoza Capital</w:t>
            </w:r>
          </w:p>
        </w:tc>
        <w:tc>
          <w:tcPr>
            <w:tcW w:w="1843" w:type="dxa"/>
            <w:noWrap/>
            <w:vAlign w:val="bottom"/>
          </w:tcPr>
          <w:p w14:paraId="66BA23D5" w14:textId="7D4304BF" w:rsidR="005D5A58" w:rsidRPr="000257B1" w:rsidRDefault="005D5A58" w:rsidP="005D5A58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69,04 €</w:t>
            </w:r>
          </w:p>
        </w:tc>
        <w:tc>
          <w:tcPr>
            <w:tcW w:w="1497" w:type="dxa"/>
            <w:vAlign w:val="bottom"/>
          </w:tcPr>
          <w:p w14:paraId="0DFD9506" w14:textId="72E7C235" w:rsidR="005D5A58" w:rsidRPr="000257B1" w:rsidRDefault="005D5A58" w:rsidP="005D5A58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67,44 €</w:t>
            </w:r>
          </w:p>
        </w:tc>
        <w:tc>
          <w:tcPr>
            <w:tcW w:w="1530" w:type="dxa"/>
            <w:noWrap/>
            <w:vAlign w:val="bottom"/>
          </w:tcPr>
          <w:p w14:paraId="544AB735" w14:textId="1EFCDEDE" w:rsidR="005D5A58" w:rsidRPr="000257B1" w:rsidRDefault="005D5A58" w:rsidP="005D5A58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color w:val="9C0006"/>
                <w:sz w:val="22"/>
                <w:szCs w:val="22"/>
              </w:rPr>
              <w:t>-2,3%</w:t>
            </w:r>
          </w:p>
        </w:tc>
      </w:tr>
      <w:tr w:rsidR="005D5A58" w:rsidRPr="008321EB" w14:paraId="36E4EF33" w14:textId="77777777" w:rsidTr="000257B1">
        <w:trPr>
          <w:trHeight w:val="20"/>
        </w:trPr>
        <w:tc>
          <w:tcPr>
            <w:tcW w:w="1691" w:type="dxa"/>
            <w:shd w:val="clear" w:color="000000" w:fill="8496B0"/>
            <w:vAlign w:val="bottom"/>
          </w:tcPr>
          <w:p w14:paraId="6B001BCF" w14:textId="4E027066" w:rsidR="005D5A58" w:rsidRPr="005D5A58" w:rsidRDefault="005D5A58" w:rsidP="005D5A58">
            <w:pPr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</w:pPr>
            <w:r w:rsidRPr="005D5A58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Araba - Álava</w:t>
            </w:r>
          </w:p>
        </w:tc>
        <w:tc>
          <w:tcPr>
            <w:tcW w:w="2563" w:type="dxa"/>
            <w:shd w:val="clear" w:color="auto" w:fill="D5DCE4" w:themeFill="text2" w:themeFillTint="33"/>
            <w:vAlign w:val="bottom"/>
          </w:tcPr>
          <w:p w14:paraId="09D7B1A2" w14:textId="3EE2234B" w:rsidR="005D5A58" w:rsidRPr="000257B1" w:rsidRDefault="005D5A58" w:rsidP="005D5A58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Vitoria - Gasteiz</w:t>
            </w:r>
          </w:p>
        </w:tc>
        <w:tc>
          <w:tcPr>
            <w:tcW w:w="1843" w:type="dxa"/>
            <w:shd w:val="clear" w:color="auto" w:fill="D5DCE4" w:themeFill="text2" w:themeFillTint="33"/>
            <w:noWrap/>
            <w:vAlign w:val="bottom"/>
          </w:tcPr>
          <w:p w14:paraId="7E37B78D" w14:textId="1D1E9FC6" w:rsidR="005D5A58" w:rsidRPr="000257B1" w:rsidRDefault="005D5A58" w:rsidP="005D5A58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60,86 €</w:t>
            </w:r>
          </w:p>
        </w:tc>
        <w:tc>
          <w:tcPr>
            <w:tcW w:w="1497" w:type="dxa"/>
            <w:shd w:val="clear" w:color="auto" w:fill="D5DCE4" w:themeFill="text2" w:themeFillTint="33"/>
            <w:vAlign w:val="bottom"/>
          </w:tcPr>
          <w:p w14:paraId="3A899708" w14:textId="5FB7C28B" w:rsidR="005D5A58" w:rsidRPr="000257B1" w:rsidRDefault="005D5A58" w:rsidP="005D5A58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59,21 €</w:t>
            </w:r>
          </w:p>
        </w:tc>
        <w:tc>
          <w:tcPr>
            <w:tcW w:w="1530" w:type="dxa"/>
            <w:shd w:val="clear" w:color="auto" w:fill="D5DCE4" w:themeFill="text2" w:themeFillTint="33"/>
            <w:noWrap/>
            <w:vAlign w:val="bottom"/>
          </w:tcPr>
          <w:p w14:paraId="4B73DCA8" w14:textId="48190692" w:rsidR="005D5A58" w:rsidRPr="000257B1" w:rsidRDefault="005D5A58" w:rsidP="005D5A58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color w:val="9C0006"/>
                <w:sz w:val="22"/>
                <w:szCs w:val="22"/>
              </w:rPr>
              <w:t>-2,7%</w:t>
            </w:r>
          </w:p>
        </w:tc>
      </w:tr>
      <w:tr w:rsidR="005D5A58" w:rsidRPr="008321EB" w14:paraId="28AEA2E9" w14:textId="77777777" w:rsidTr="000257B1">
        <w:trPr>
          <w:trHeight w:val="20"/>
        </w:trPr>
        <w:tc>
          <w:tcPr>
            <w:tcW w:w="1691" w:type="dxa"/>
            <w:shd w:val="clear" w:color="000000" w:fill="8496B0"/>
            <w:vAlign w:val="bottom"/>
          </w:tcPr>
          <w:p w14:paraId="07B94D06" w14:textId="76D87113" w:rsidR="005D5A58" w:rsidRPr="005D5A58" w:rsidRDefault="005D5A58" w:rsidP="005D5A58">
            <w:pPr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</w:pPr>
            <w:r w:rsidRPr="005D5A58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Barcelona</w:t>
            </w:r>
          </w:p>
        </w:tc>
        <w:tc>
          <w:tcPr>
            <w:tcW w:w="2563" w:type="dxa"/>
            <w:vAlign w:val="bottom"/>
          </w:tcPr>
          <w:p w14:paraId="7E0F77A3" w14:textId="337AB629" w:rsidR="005D5A58" w:rsidRPr="000257B1" w:rsidRDefault="005D5A58" w:rsidP="005D5A58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Sant Joan Despí</w:t>
            </w:r>
          </w:p>
        </w:tc>
        <w:tc>
          <w:tcPr>
            <w:tcW w:w="1843" w:type="dxa"/>
            <w:noWrap/>
            <w:vAlign w:val="bottom"/>
          </w:tcPr>
          <w:p w14:paraId="6ACC9C52" w14:textId="077A0819" w:rsidR="005D5A58" w:rsidRPr="000257B1" w:rsidRDefault="005D5A58" w:rsidP="005D5A58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73,90 €</w:t>
            </w:r>
          </w:p>
        </w:tc>
        <w:tc>
          <w:tcPr>
            <w:tcW w:w="1497" w:type="dxa"/>
            <w:vAlign w:val="bottom"/>
          </w:tcPr>
          <w:p w14:paraId="4695D805" w14:textId="4DFCA5ED" w:rsidR="005D5A58" w:rsidRPr="000257B1" w:rsidRDefault="005D5A58" w:rsidP="005D5A58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71,84 €</w:t>
            </w:r>
          </w:p>
        </w:tc>
        <w:tc>
          <w:tcPr>
            <w:tcW w:w="1530" w:type="dxa"/>
            <w:noWrap/>
            <w:vAlign w:val="bottom"/>
          </w:tcPr>
          <w:p w14:paraId="7D8D16BF" w14:textId="1E56F1DD" w:rsidR="005D5A58" w:rsidRPr="000257B1" w:rsidRDefault="005D5A58" w:rsidP="005D5A58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color w:val="9C0006"/>
                <w:sz w:val="22"/>
                <w:szCs w:val="22"/>
              </w:rPr>
              <w:t>-2,8%</w:t>
            </w:r>
          </w:p>
        </w:tc>
      </w:tr>
      <w:tr w:rsidR="005D5A58" w:rsidRPr="008321EB" w14:paraId="57FEFAE4" w14:textId="77777777" w:rsidTr="000257B1">
        <w:trPr>
          <w:trHeight w:val="20"/>
        </w:trPr>
        <w:tc>
          <w:tcPr>
            <w:tcW w:w="1691" w:type="dxa"/>
            <w:shd w:val="clear" w:color="000000" w:fill="8496B0"/>
            <w:vAlign w:val="bottom"/>
          </w:tcPr>
          <w:p w14:paraId="4EAC927F" w14:textId="105A8B65" w:rsidR="005D5A58" w:rsidRPr="005D5A58" w:rsidRDefault="005D5A58" w:rsidP="005D5A58">
            <w:pPr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</w:pPr>
            <w:r w:rsidRPr="005D5A58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Las Palmas</w:t>
            </w:r>
          </w:p>
        </w:tc>
        <w:tc>
          <w:tcPr>
            <w:tcW w:w="2563" w:type="dxa"/>
            <w:shd w:val="clear" w:color="auto" w:fill="D5DCE4" w:themeFill="text2" w:themeFillTint="33"/>
            <w:vAlign w:val="bottom"/>
          </w:tcPr>
          <w:p w14:paraId="3480FB95" w14:textId="7BA4390A" w:rsidR="005D5A58" w:rsidRPr="000257B1" w:rsidRDefault="005D5A58" w:rsidP="005D5A58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Las Palmas de Gran Canaria</w:t>
            </w:r>
          </w:p>
        </w:tc>
        <w:tc>
          <w:tcPr>
            <w:tcW w:w="1843" w:type="dxa"/>
            <w:shd w:val="clear" w:color="auto" w:fill="D5DCE4" w:themeFill="text2" w:themeFillTint="33"/>
            <w:noWrap/>
            <w:vAlign w:val="bottom"/>
          </w:tcPr>
          <w:p w14:paraId="4D7CE169" w14:textId="04EA686F" w:rsidR="005D5A58" w:rsidRPr="000257B1" w:rsidRDefault="005D5A58" w:rsidP="005D5A58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84,17 €</w:t>
            </w:r>
          </w:p>
        </w:tc>
        <w:tc>
          <w:tcPr>
            <w:tcW w:w="1497" w:type="dxa"/>
            <w:shd w:val="clear" w:color="auto" w:fill="D5DCE4" w:themeFill="text2" w:themeFillTint="33"/>
            <w:vAlign w:val="bottom"/>
          </w:tcPr>
          <w:p w14:paraId="4AE059BA" w14:textId="51E91748" w:rsidR="005D5A58" w:rsidRPr="000257B1" w:rsidRDefault="005D5A58" w:rsidP="005D5A58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81,55 €</w:t>
            </w:r>
          </w:p>
        </w:tc>
        <w:tc>
          <w:tcPr>
            <w:tcW w:w="1530" w:type="dxa"/>
            <w:shd w:val="clear" w:color="auto" w:fill="D5DCE4" w:themeFill="text2" w:themeFillTint="33"/>
            <w:noWrap/>
            <w:vAlign w:val="bottom"/>
          </w:tcPr>
          <w:p w14:paraId="1BDF1395" w14:textId="33FED1BF" w:rsidR="005D5A58" w:rsidRPr="000257B1" w:rsidRDefault="005D5A58" w:rsidP="005D5A58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color w:val="9C0006"/>
                <w:sz w:val="22"/>
                <w:szCs w:val="22"/>
              </w:rPr>
              <w:t>-3,1%</w:t>
            </w:r>
          </w:p>
        </w:tc>
      </w:tr>
      <w:tr w:rsidR="005D5A58" w:rsidRPr="008321EB" w14:paraId="63BBF50C" w14:textId="77777777" w:rsidTr="000257B1">
        <w:trPr>
          <w:trHeight w:val="20"/>
        </w:trPr>
        <w:tc>
          <w:tcPr>
            <w:tcW w:w="1691" w:type="dxa"/>
            <w:shd w:val="clear" w:color="000000" w:fill="8496B0"/>
            <w:vAlign w:val="bottom"/>
          </w:tcPr>
          <w:p w14:paraId="6BEBECC5" w14:textId="6D459F06" w:rsidR="005D5A58" w:rsidRPr="005D5A58" w:rsidRDefault="005D5A58" w:rsidP="005D5A58">
            <w:pPr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</w:pPr>
            <w:r w:rsidRPr="005D5A58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Lugo</w:t>
            </w:r>
          </w:p>
        </w:tc>
        <w:tc>
          <w:tcPr>
            <w:tcW w:w="2563" w:type="dxa"/>
            <w:vAlign w:val="bottom"/>
          </w:tcPr>
          <w:p w14:paraId="64082C9F" w14:textId="50BDD8C4" w:rsidR="005D5A58" w:rsidRPr="000257B1" w:rsidRDefault="005D5A58" w:rsidP="005D5A58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Lugo Capital</w:t>
            </w:r>
          </w:p>
        </w:tc>
        <w:tc>
          <w:tcPr>
            <w:tcW w:w="1843" w:type="dxa"/>
            <w:noWrap/>
            <w:vAlign w:val="bottom"/>
          </w:tcPr>
          <w:p w14:paraId="54E729A4" w14:textId="066BF21F" w:rsidR="005D5A58" w:rsidRPr="000257B1" w:rsidRDefault="005D5A58" w:rsidP="005D5A58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55,28 €</w:t>
            </w:r>
          </w:p>
        </w:tc>
        <w:tc>
          <w:tcPr>
            <w:tcW w:w="1497" w:type="dxa"/>
            <w:vAlign w:val="bottom"/>
          </w:tcPr>
          <w:p w14:paraId="43355DF5" w14:textId="4B78BAC9" w:rsidR="005D5A58" w:rsidRPr="000257B1" w:rsidRDefault="005D5A58" w:rsidP="005D5A58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53,41 €</w:t>
            </w:r>
          </w:p>
        </w:tc>
        <w:tc>
          <w:tcPr>
            <w:tcW w:w="1530" w:type="dxa"/>
            <w:noWrap/>
            <w:vAlign w:val="bottom"/>
          </w:tcPr>
          <w:p w14:paraId="716250A0" w14:textId="105BBE67" w:rsidR="005D5A58" w:rsidRPr="000257B1" w:rsidRDefault="005D5A58" w:rsidP="005D5A58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color w:val="9C0006"/>
                <w:sz w:val="22"/>
                <w:szCs w:val="22"/>
              </w:rPr>
              <w:t>-3,4%</w:t>
            </w:r>
          </w:p>
        </w:tc>
      </w:tr>
      <w:tr w:rsidR="005D5A58" w:rsidRPr="008321EB" w14:paraId="5850B294" w14:textId="77777777" w:rsidTr="000257B1">
        <w:trPr>
          <w:trHeight w:val="20"/>
        </w:trPr>
        <w:tc>
          <w:tcPr>
            <w:tcW w:w="1691" w:type="dxa"/>
            <w:shd w:val="clear" w:color="000000" w:fill="8496B0"/>
            <w:vAlign w:val="bottom"/>
          </w:tcPr>
          <w:p w14:paraId="3CB4AEFE" w14:textId="75644D84" w:rsidR="005D5A58" w:rsidRPr="005D5A58" w:rsidRDefault="005D5A58" w:rsidP="005D5A58">
            <w:pPr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</w:pPr>
            <w:r w:rsidRPr="005D5A58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Murcia</w:t>
            </w:r>
          </w:p>
        </w:tc>
        <w:tc>
          <w:tcPr>
            <w:tcW w:w="2563" w:type="dxa"/>
            <w:shd w:val="clear" w:color="auto" w:fill="D5DCE4" w:themeFill="text2" w:themeFillTint="33"/>
            <w:vAlign w:val="bottom"/>
          </w:tcPr>
          <w:p w14:paraId="538382A8" w14:textId="7DE35D1B" w:rsidR="005D5A58" w:rsidRPr="000257B1" w:rsidRDefault="005D5A58" w:rsidP="005D5A58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Murcia Capital</w:t>
            </w:r>
          </w:p>
        </w:tc>
        <w:tc>
          <w:tcPr>
            <w:tcW w:w="1843" w:type="dxa"/>
            <w:shd w:val="clear" w:color="auto" w:fill="D5DCE4" w:themeFill="text2" w:themeFillTint="33"/>
            <w:noWrap/>
            <w:vAlign w:val="bottom"/>
          </w:tcPr>
          <w:p w14:paraId="7AAA13BF" w14:textId="018E046E" w:rsidR="005D5A58" w:rsidRPr="000257B1" w:rsidRDefault="005D5A58" w:rsidP="005D5A58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68,65 €</w:t>
            </w:r>
          </w:p>
        </w:tc>
        <w:tc>
          <w:tcPr>
            <w:tcW w:w="1497" w:type="dxa"/>
            <w:shd w:val="clear" w:color="auto" w:fill="D5DCE4" w:themeFill="text2" w:themeFillTint="33"/>
            <w:vAlign w:val="bottom"/>
          </w:tcPr>
          <w:p w14:paraId="69C47F8B" w14:textId="54F36AB5" w:rsidR="005D5A58" w:rsidRPr="000257B1" w:rsidRDefault="005D5A58" w:rsidP="005D5A58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66,19 €</w:t>
            </w:r>
          </w:p>
        </w:tc>
        <w:tc>
          <w:tcPr>
            <w:tcW w:w="1530" w:type="dxa"/>
            <w:shd w:val="clear" w:color="auto" w:fill="D5DCE4" w:themeFill="text2" w:themeFillTint="33"/>
            <w:noWrap/>
            <w:vAlign w:val="bottom"/>
          </w:tcPr>
          <w:p w14:paraId="325DECC3" w14:textId="070D2DAA" w:rsidR="005D5A58" w:rsidRPr="000257B1" w:rsidRDefault="005D5A58" w:rsidP="005D5A58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color w:val="9C0006"/>
                <w:sz w:val="22"/>
                <w:szCs w:val="22"/>
              </w:rPr>
              <w:t>-3,6%</w:t>
            </w:r>
          </w:p>
        </w:tc>
      </w:tr>
      <w:tr w:rsidR="005D5A58" w:rsidRPr="008321EB" w14:paraId="126B122E" w14:textId="77777777" w:rsidTr="000257B1">
        <w:trPr>
          <w:trHeight w:val="20"/>
        </w:trPr>
        <w:tc>
          <w:tcPr>
            <w:tcW w:w="1691" w:type="dxa"/>
            <w:shd w:val="clear" w:color="000000" w:fill="8496B0"/>
            <w:vAlign w:val="bottom"/>
          </w:tcPr>
          <w:p w14:paraId="2ADFCB62" w14:textId="0F5BB898" w:rsidR="005D5A58" w:rsidRPr="005D5A58" w:rsidRDefault="005D5A58" w:rsidP="005D5A58">
            <w:pPr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</w:pPr>
            <w:r w:rsidRPr="005D5A58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Madrid</w:t>
            </w:r>
          </w:p>
        </w:tc>
        <w:tc>
          <w:tcPr>
            <w:tcW w:w="2563" w:type="dxa"/>
            <w:vAlign w:val="bottom"/>
          </w:tcPr>
          <w:p w14:paraId="42EFAA43" w14:textId="4AA8D553" w:rsidR="005D5A58" w:rsidRPr="000257B1" w:rsidRDefault="005D5A58" w:rsidP="005D5A58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Alcalá de Henares</w:t>
            </w:r>
          </w:p>
        </w:tc>
        <w:tc>
          <w:tcPr>
            <w:tcW w:w="1843" w:type="dxa"/>
            <w:noWrap/>
            <w:vAlign w:val="bottom"/>
          </w:tcPr>
          <w:p w14:paraId="668A2C7E" w14:textId="67F65142" w:rsidR="005D5A58" w:rsidRPr="000257B1" w:rsidRDefault="005D5A58" w:rsidP="005D5A58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73,44 €</w:t>
            </w:r>
          </w:p>
        </w:tc>
        <w:tc>
          <w:tcPr>
            <w:tcW w:w="1497" w:type="dxa"/>
            <w:vAlign w:val="bottom"/>
          </w:tcPr>
          <w:p w14:paraId="5DD9B8F6" w14:textId="3CC6390E" w:rsidR="005D5A58" w:rsidRPr="000257B1" w:rsidRDefault="005D5A58" w:rsidP="005D5A58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70,79 €</w:t>
            </w:r>
          </w:p>
        </w:tc>
        <w:tc>
          <w:tcPr>
            <w:tcW w:w="1530" w:type="dxa"/>
            <w:noWrap/>
            <w:vAlign w:val="bottom"/>
          </w:tcPr>
          <w:p w14:paraId="04999162" w14:textId="09B53E5E" w:rsidR="005D5A58" w:rsidRPr="000257B1" w:rsidRDefault="005D5A58" w:rsidP="005D5A58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color w:val="9C0006"/>
                <w:sz w:val="22"/>
                <w:szCs w:val="22"/>
              </w:rPr>
              <w:t>-3,6%</w:t>
            </w:r>
          </w:p>
        </w:tc>
      </w:tr>
      <w:tr w:rsidR="005D5A58" w:rsidRPr="008321EB" w14:paraId="770FD8E6" w14:textId="77777777" w:rsidTr="000257B1">
        <w:trPr>
          <w:trHeight w:val="20"/>
        </w:trPr>
        <w:tc>
          <w:tcPr>
            <w:tcW w:w="1691" w:type="dxa"/>
            <w:shd w:val="clear" w:color="000000" w:fill="8496B0"/>
            <w:vAlign w:val="bottom"/>
          </w:tcPr>
          <w:p w14:paraId="30A51D51" w14:textId="642AF6E2" w:rsidR="005D5A58" w:rsidRPr="005D5A58" w:rsidRDefault="005D5A58" w:rsidP="005D5A58">
            <w:pPr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</w:pPr>
            <w:r w:rsidRPr="005D5A58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Gipuzkoa</w:t>
            </w:r>
          </w:p>
        </w:tc>
        <w:tc>
          <w:tcPr>
            <w:tcW w:w="2563" w:type="dxa"/>
            <w:shd w:val="clear" w:color="auto" w:fill="D5DCE4" w:themeFill="text2" w:themeFillTint="33"/>
            <w:vAlign w:val="bottom"/>
          </w:tcPr>
          <w:p w14:paraId="2E77B28A" w14:textId="5278A70A" w:rsidR="005D5A58" w:rsidRPr="000257B1" w:rsidRDefault="005D5A58" w:rsidP="005D5A58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Donostia - San Sebastián</w:t>
            </w:r>
          </w:p>
        </w:tc>
        <w:tc>
          <w:tcPr>
            <w:tcW w:w="1843" w:type="dxa"/>
            <w:shd w:val="clear" w:color="auto" w:fill="D5DCE4" w:themeFill="text2" w:themeFillTint="33"/>
            <w:noWrap/>
            <w:vAlign w:val="bottom"/>
          </w:tcPr>
          <w:p w14:paraId="49628584" w14:textId="3BC99D39" w:rsidR="005D5A58" w:rsidRPr="000257B1" w:rsidRDefault="005D5A58" w:rsidP="005D5A58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116,04 €</w:t>
            </w:r>
          </w:p>
        </w:tc>
        <w:tc>
          <w:tcPr>
            <w:tcW w:w="1497" w:type="dxa"/>
            <w:shd w:val="clear" w:color="auto" w:fill="D5DCE4" w:themeFill="text2" w:themeFillTint="33"/>
            <w:vAlign w:val="bottom"/>
          </w:tcPr>
          <w:p w14:paraId="63A8F1AB" w14:textId="09C6BEA0" w:rsidR="005D5A58" w:rsidRPr="000257B1" w:rsidRDefault="005D5A58" w:rsidP="005D5A58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111,61 €</w:t>
            </w:r>
          </w:p>
        </w:tc>
        <w:tc>
          <w:tcPr>
            <w:tcW w:w="1530" w:type="dxa"/>
            <w:shd w:val="clear" w:color="auto" w:fill="D5DCE4" w:themeFill="text2" w:themeFillTint="33"/>
            <w:noWrap/>
            <w:vAlign w:val="bottom"/>
          </w:tcPr>
          <w:p w14:paraId="634C095B" w14:textId="5ABE7B21" w:rsidR="005D5A58" w:rsidRPr="000257B1" w:rsidRDefault="005D5A58" w:rsidP="005D5A58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color w:val="9C0006"/>
                <w:sz w:val="22"/>
                <w:szCs w:val="22"/>
              </w:rPr>
              <w:t>-3,8%</w:t>
            </w:r>
          </w:p>
        </w:tc>
      </w:tr>
      <w:tr w:rsidR="005D5A58" w:rsidRPr="008321EB" w14:paraId="2F99EB6A" w14:textId="77777777" w:rsidTr="000257B1">
        <w:trPr>
          <w:trHeight w:val="20"/>
        </w:trPr>
        <w:tc>
          <w:tcPr>
            <w:tcW w:w="1691" w:type="dxa"/>
            <w:shd w:val="clear" w:color="000000" w:fill="8496B0"/>
            <w:vAlign w:val="bottom"/>
          </w:tcPr>
          <w:p w14:paraId="3600DE86" w14:textId="7FA52FB3" w:rsidR="005D5A58" w:rsidRPr="005D5A58" w:rsidRDefault="005D5A58" w:rsidP="005D5A58">
            <w:pPr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</w:pPr>
            <w:r w:rsidRPr="005D5A58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Ciudad Real</w:t>
            </w:r>
          </w:p>
        </w:tc>
        <w:tc>
          <w:tcPr>
            <w:tcW w:w="2563" w:type="dxa"/>
            <w:vAlign w:val="bottom"/>
          </w:tcPr>
          <w:p w14:paraId="1400A67C" w14:textId="1FF0AF6C" w:rsidR="005D5A58" w:rsidRPr="000257B1" w:rsidRDefault="005D5A58" w:rsidP="005D5A58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Ciudad Real Capital</w:t>
            </w:r>
          </w:p>
        </w:tc>
        <w:tc>
          <w:tcPr>
            <w:tcW w:w="1843" w:type="dxa"/>
            <w:noWrap/>
            <w:vAlign w:val="bottom"/>
          </w:tcPr>
          <w:p w14:paraId="5A6594F8" w14:textId="1178F800" w:rsidR="005D5A58" w:rsidRPr="000257B1" w:rsidRDefault="005D5A58" w:rsidP="005D5A58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64,79 €</w:t>
            </w:r>
          </w:p>
        </w:tc>
        <w:tc>
          <w:tcPr>
            <w:tcW w:w="1497" w:type="dxa"/>
            <w:vAlign w:val="bottom"/>
          </w:tcPr>
          <w:p w14:paraId="0610C337" w14:textId="62EA7BC3" w:rsidR="005D5A58" w:rsidRPr="000257B1" w:rsidRDefault="005D5A58" w:rsidP="005D5A58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62,10 €</w:t>
            </w:r>
          </w:p>
        </w:tc>
        <w:tc>
          <w:tcPr>
            <w:tcW w:w="1530" w:type="dxa"/>
            <w:noWrap/>
            <w:vAlign w:val="bottom"/>
          </w:tcPr>
          <w:p w14:paraId="4C1DD5A5" w14:textId="5A332439" w:rsidR="005D5A58" w:rsidRPr="000257B1" w:rsidRDefault="005D5A58" w:rsidP="005D5A58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color w:val="9C0006"/>
                <w:sz w:val="22"/>
                <w:szCs w:val="22"/>
              </w:rPr>
              <w:t>-4,2%</w:t>
            </w:r>
          </w:p>
        </w:tc>
      </w:tr>
      <w:tr w:rsidR="005D5A58" w:rsidRPr="008321EB" w14:paraId="4CA7C6DB" w14:textId="77777777" w:rsidTr="000257B1">
        <w:trPr>
          <w:trHeight w:val="20"/>
        </w:trPr>
        <w:tc>
          <w:tcPr>
            <w:tcW w:w="1691" w:type="dxa"/>
            <w:shd w:val="clear" w:color="000000" w:fill="8496B0"/>
            <w:vAlign w:val="bottom"/>
          </w:tcPr>
          <w:p w14:paraId="3EE91E7F" w14:textId="188BE8AF" w:rsidR="005D5A58" w:rsidRPr="005D5A58" w:rsidRDefault="005D5A58" w:rsidP="005D5A58">
            <w:pPr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</w:pPr>
            <w:r w:rsidRPr="005D5A58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Madrid</w:t>
            </w:r>
          </w:p>
        </w:tc>
        <w:tc>
          <w:tcPr>
            <w:tcW w:w="2563" w:type="dxa"/>
            <w:shd w:val="clear" w:color="auto" w:fill="D5DCE4" w:themeFill="text2" w:themeFillTint="33"/>
            <w:vAlign w:val="bottom"/>
          </w:tcPr>
          <w:p w14:paraId="230AA6AE" w14:textId="67B00353" w:rsidR="005D5A58" w:rsidRPr="000257B1" w:rsidRDefault="005D5A58" w:rsidP="005D5A58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Coslada</w:t>
            </w:r>
          </w:p>
        </w:tc>
        <w:tc>
          <w:tcPr>
            <w:tcW w:w="1843" w:type="dxa"/>
            <w:shd w:val="clear" w:color="auto" w:fill="D5DCE4" w:themeFill="text2" w:themeFillTint="33"/>
            <w:noWrap/>
            <w:vAlign w:val="bottom"/>
          </w:tcPr>
          <w:p w14:paraId="1043B193" w14:textId="481B52CF" w:rsidR="005D5A58" w:rsidRPr="000257B1" w:rsidRDefault="005D5A58" w:rsidP="005D5A58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67,10 €</w:t>
            </w:r>
          </w:p>
        </w:tc>
        <w:tc>
          <w:tcPr>
            <w:tcW w:w="1497" w:type="dxa"/>
            <w:shd w:val="clear" w:color="auto" w:fill="D5DCE4" w:themeFill="text2" w:themeFillTint="33"/>
            <w:vAlign w:val="bottom"/>
          </w:tcPr>
          <w:p w14:paraId="10001A2A" w14:textId="736EFDCE" w:rsidR="005D5A58" w:rsidRPr="000257B1" w:rsidRDefault="005D5A58" w:rsidP="005D5A58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64,28 €</w:t>
            </w:r>
          </w:p>
        </w:tc>
        <w:tc>
          <w:tcPr>
            <w:tcW w:w="1530" w:type="dxa"/>
            <w:shd w:val="clear" w:color="auto" w:fill="D5DCE4" w:themeFill="text2" w:themeFillTint="33"/>
            <w:noWrap/>
            <w:vAlign w:val="bottom"/>
          </w:tcPr>
          <w:p w14:paraId="6EF874DA" w14:textId="30981302" w:rsidR="005D5A58" w:rsidRPr="000257B1" w:rsidRDefault="005D5A58" w:rsidP="005D5A58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color w:val="9C0006"/>
                <w:sz w:val="22"/>
                <w:szCs w:val="22"/>
              </w:rPr>
              <w:t>-4,2%</w:t>
            </w:r>
          </w:p>
        </w:tc>
      </w:tr>
      <w:tr w:rsidR="005D5A58" w:rsidRPr="008321EB" w14:paraId="3770EA78" w14:textId="77777777" w:rsidTr="000257B1">
        <w:trPr>
          <w:trHeight w:val="20"/>
        </w:trPr>
        <w:tc>
          <w:tcPr>
            <w:tcW w:w="1691" w:type="dxa"/>
            <w:shd w:val="clear" w:color="000000" w:fill="8496B0"/>
            <w:vAlign w:val="bottom"/>
          </w:tcPr>
          <w:p w14:paraId="5B849C8B" w14:textId="4E2E7019" w:rsidR="005D5A58" w:rsidRPr="005D5A58" w:rsidRDefault="005D5A58" w:rsidP="005D5A58">
            <w:pPr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</w:pPr>
            <w:r w:rsidRPr="005D5A58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La Rioja</w:t>
            </w:r>
          </w:p>
        </w:tc>
        <w:tc>
          <w:tcPr>
            <w:tcW w:w="2563" w:type="dxa"/>
            <w:vAlign w:val="bottom"/>
          </w:tcPr>
          <w:p w14:paraId="78D83890" w14:textId="22DECC8C" w:rsidR="005D5A58" w:rsidRPr="000257B1" w:rsidRDefault="005D5A58" w:rsidP="005D5A58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Logroño</w:t>
            </w:r>
          </w:p>
        </w:tc>
        <w:tc>
          <w:tcPr>
            <w:tcW w:w="1843" w:type="dxa"/>
            <w:noWrap/>
            <w:vAlign w:val="bottom"/>
          </w:tcPr>
          <w:p w14:paraId="09766A4C" w14:textId="4E882D1C" w:rsidR="005D5A58" w:rsidRPr="000257B1" w:rsidRDefault="005D5A58" w:rsidP="005D5A58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65,39 €</w:t>
            </w:r>
          </w:p>
        </w:tc>
        <w:tc>
          <w:tcPr>
            <w:tcW w:w="1497" w:type="dxa"/>
            <w:vAlign w:val="bottom"/>
          </w:tcPr>
          <w:p w14:paraId="1ED8AB5F" w14:textId="3DF70C94" w:rsidR="005D5A58" w:rsidRPr="000257B1" w:rsidRDefault="005D5A58" w:rsidP="005D5A58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62,44 €</w:t>
            </w:r>
          </w:p>
        </w:tc>
        <w:tc>
          <w:tcPr>
            <w:tcW w:w="1530" w:type="dxa"/>
            <w:noWrap/>
            <w:vAlign w:val="bottom"/>
          </w:tcPr>
          <w:p w14:paraId="7933131B" w14:textId="2FA8AF62" w:rsidR="005D5A58" w:rsidRPr="000257B1" w:rsidRDefault="005D5A58" w:rsidP="005D5A58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color w:val="9C0006"/>
                <w:sz w:val="22"/>
                <w:szCs w:val="22"/>
              </w:rPr>
              <w:t>-4,5%</w:t>
            </w:r>
          </w:p>
        </w:tc>
      </w:tr>
      <w:tr w:rsidR="005D5A58" w:rsidRPr="008321EB" w14:paraId="22B1F6B5" w14:textId="77777777" w:rsidTr="000257B1">
        <w:trPr>
          <w:trHeight w:val="20"/>
        </w:trPr>
        <w:tc>
          <w:tcPr>
            <w:tcW w:w="1691" w:type="dxa"/>
            <w:shd w:val="clear" w:color="000000" w:fill="8496B0"/>
            <w:vAlign w:val="bottom"/>
          </w:tcPr>
          <w:p w14:paraId="5EF64B23" w14:textId="0780593F" w:rsidR="005D5A58" w:rsidRPr="005D5A58" w:rsidRDefault="005D5A58" w:rsidP="005D5A58">
            <w:pPr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</w:pPr>
            <w:r w:rsidRPr="005D5A58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lastRenderedPageBreak/>
              <w:t>Barcelona</w:t>
            </w:r>
          </w:p>
        </w:tc>
        <w:tc>
          <w:tcPr>
            <w:tcW w:w="2563" w:type="dxa"/>
            <w:shd w:val="clear" w:color="auto" w:fill="D5DCE4" w:themeFill="text2" w:themeFillTint="33"/>
            <w:vAlign w:val="bottom"/>
          </w:tcPr>
          <w:p w14:paraId="656802D1" w14:textId="4785BBA1" w:rsidR="005D5A58" w:rsidRPr="000257B1" w:rsidRDefault="005D5A58" w:rsidP="005D5A58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L'Hospitalet de Llobregat</w:t>
            </w:r>
          </w:p>
        </w:tc>
        <w:tc>
          <w:tcPr>
            <w:tcW w:w="1843" w:type="dxa"/>
            <w:shd w:val="clear" w:color="auto" w:fill="D5DCE4" w:themeFill="text2" w:themeFillTint="33"/>
            <w:noWrap/>
            <w:vAlign w:val="bottom"/>
          </w:tcPr>
          <w:p w14:paraId="29AD7005" w14:textId="2ACFCB0F" w:rsidR="005D5A58" w:rsidRPr="000257B1" w:rsidRDefault="005D5A58" w:rsidP="005D5A58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80,46 €</w:t>
            </w:r>
          </w:p>
        </w:tc>
        <w:tc>
          <w:tcPr>
            <w:tcW w:w="1497" w:type="dxa"/>
            <w:shd w:val="clear" w:color="auto" w:fill="D5DCE4" w:themeFill="text2" w:themeFillTint="33"/>
            <w:vAlign w:val="bottom"/>
          </w:tcPr>
          <w:p w14:paraId="7DAF39FE" w14:textId="23393B24" w:rsidR="005D5A58" w:rsidRPr="000257B1" w:rsidRDefault="005D5A58" w:rsidP="005D5A58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76,81 €</w:t>
            </w:r>
          </w:p>
        </w:tc>
        <w:tc>
          <w:tcPr>
            <w:tcW w:w="1530" w:type="dxa"/>
            <w:shd w:val="clear" w:color="auto" w:fill="D5DCE4" w:themeFill="text2" w:themeFillTint="33"/>
            <w:noWrap/>
            <w:vAlign w:val="bottom"/>
          </w:tcPr>
          <w:p w14:paraId="4650BEBB" w14:textId="230A6AB6" w:rsidR="005D5A58" w:rsidRPr="000257B1" w:rsidRDefault="005D5A58" w:rsidP="005D5A58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color w:val="9C0006"/>
                <w:sz w:val="22"/>
                <w:szCs w:val="22"/>
              </w:rPr>
              <w:t>-4,5%</w:t>
            </w:r>
          </w:p>
        </w:tc>
      </w:tr>
      <w:tr w:rsidR="005D5A58" w:rsidRPr="008321EB" w14:paraId="7DA62629" w14:textId="77777777" w:rsidTr="000257B1">
        <w:trPr>
          <w:trHeight w:val="20"/>
        </w:trPr>
        <w:tc>
          <w:tcPr>
            <w:tcW w:w="1691" w:type="dxa"/>
            <w:shd w:val="clear" w:color="000000" w:fill="8496B0"/>
            <w:vAlign w:val="bottom"/>
          </w:tcPr>
          <w:p w14:paraId="20525160" w14:textId="5E56BA4E" w:rsidR="005D5A58" w:rsidRPr="005D5A58" w:rsidRDefault="005D5A58" w:rsidP="005D5A58">
            <w:pPr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</w:pPr>
            <w:r w:rsidRPr="005D5A58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Barcelona</w:t>
            </w:r>
          </w:p>
        </w:tc>
        <w:tc>
          <w:tcPr>
            <w:tcW w:w="2563" w:type="dxa"/>
            <w:vAlign w:val="bottom"/>
          </w:tcPr>
          <w:p w14:paraId="718721AC" w14:textId="78A427D7" w:rsidR="005D5A58" w:rsidRPr="000257B1" w:rsidRDefault="005D5A58" w:rsidP="005D5A58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Badalona</w:t>
            </w:r>
          </w:p>
        </w:tc>
        <w:tc>
          <w:tcPr>
            <w:tcW w:w="1843" w:type="dxa"/>
            <w:noWrap/>
            <w:vAlign w:val="bottom"/>
          </w:tcPr>
          <w:p w14:paraId="11089EA1" w14:textId="118064B2" w:rsidR="005D5A58" w:rsidRPr="000257B1" w:rsidRDefault="005D5A58" w:rsidP="005D5A58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82,40 €</w:t>
            </w:r>
          </w:p>
        </w:tc>
        <w:tc>
          <w:tcPr>
            <w:tcW w:w="1497" w:type="dxa"/>
            <w:vAlign w:val="bottom"/>
          </w:tcPr>
          <w:p w14:paraId="12BA364C" w14:textId="77B5130B" w:rsidR="005D5A58" w:rsidRPr="000257B1" w:rsidRDefault="005D5A58" w:rsidP="005D5A58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78,56 €</w:t>
            </w:r>
          </w:p>
        </w:tc>
        <w:tc>
          <w:tcPr>
            <w:tcW w:w="1530" w:type="dxa"/>
            <w:noWrap/>
            <w:vAlign w:val="bottom"/>
          </w:tcPr>
          <w:p w14:paraId="0CC1B0BE" w14:textId="2A82E0B2" w:rsidR="005D5A58" w:rsidRPr="000257B1" w:rsidRDefault="005D5A58" w:rsidP="005D5A58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color w:val="9C0006"/>
                <w:sz w:val="22"/>
                <w:szCs w:val="22"/>
              </w:rPr>
              <w:t>-4,7%</w:t>
            </w:r>
          </w:p>
        </w:tc>
      </w:tr>
      <w:tr w:rsidR="005D5A58" w:rsidRPr="008321EB" w14:paraId="0AEC1E62" w14:textId="77777777" w:rsidTr="000257B1">
        <w:trPr>
          <w:trHeight w:val="20"/>
        </w:trPr>
        <w:tc>
          <w:tcPr>
            <w:tcW w:w="1691" w:type="dxa"/>
            <w:shd w:val="clear" w:color="000000" w:fill="8496B0"/>
            <w:vAlign w:val="bottom"/>
          </w:tcPr>
          <w:p w14:paraId="6A12FB7D" w14:textId="34D6D030" w:rsidR="005D5A58" w:rsidRPr="005D5A58" w:rsidRDefault="005D5A58" w:rsidP="005D5A58">
            <w:pPr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</w:pPr>
            <w:r w:rsidRPr="005D5A58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Sevilla</w:t>
            </w:r>
          </w:p>
        </w:tc>
        <w:tc>
          <w:tcPr>
            <w:tcW w:w="2563" w:type="dxa"/>
            <w:shd w:val="clear" w:color="auto" w:fill="D5DCE4" w:themeFill="text2" w:themeFillTint="33"/>
            <w:vAlign w:val="bottom"/>
          </w:tcPr>
          <w:p w14:paraId="3AB8DB11" w14:textId="2C5245F6" w:rsidR="005D5A58" w:rsidRPr="000257B1" w:rsidRDefault="005D5A58" w:rsidP="005D5A58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Sevilla Capital</w:t>
            </w:r>
          </w:p>
        </w:tc>
        <w:tc>
          <w:tcPr>
            <w:tcW w:w="1843" w:type="dxa"/>
            <w:shd w:val="clear" w:color="auto" w:fill="D5DCE4" w:themeFill="text2" w:themeFillTint="33"/>
            <w:noWrap/>
            <w:vAlign w:val="bottom"/>
          </w:tcPr>
          <w:p w14:paraId="7546C957" w14:textId="754C0E8D" w:rsidR="005D5A58" w:rsidRPr="000257B1" w:rsidRDefault="005D5A58" w:rsidP="005D5A58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83,40 €</w:t>
            </w:r>
          </w:p>
        </w:tc>
        <w:tc>
          <w:tcPr>
            <w:tcW w:w="1497" w:type="dxa"/>
            <w:shd w:val="clear" w:color="auto" w:fill="D5DCE4" w:themeFill="text2" w:themeFillTint="33"/>
            <w:vAlign w:val="bottom"/>
          </w:tcPr>
          <w:p w14:paraId="37A71421" w14:textId="3551468F" w:rsidR="005D5A58" w:rsidRPr="000257B1" w:rsidRDefault="005D5A58" w:rsidP="005D5A58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79,38 €</w:t>
            </w:r>
          </w:p>
        </w:tc>
        <w:tc>
          <w:tcPr>
            <w:tcW w:w="1530" w:type="dxa"/>
            <w:shd w:val="clear" w:color="auto" w:fill="D5DCE4" w:themeFill="text2" w:themeFillTint="33"/>
            <w:noWrap/>
            <w:vAlign w:val="bottom"/>
          </w:tcPr>
          <w:p w14:paraId="1FBC03D7" w14:textId="11A370E8" w:rsidR="005D5A58" w:rsidRPr="000257B1" w:rsidRDefault="005D5A58" w:rsidP="005D5A58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color w:val="9C0006"/>
                <w:sz w:val="22"/>
                <w:szCs w:val="22"/>
              </w:rPr>
              <w:t>-4,8%</w:t>
            </w:r>
          </w:p>
        </w:tc>
      </w:tr>
      <w:tr w:rsidR="005D5A58" w:rsidRPr="008321EB" w14:paraId="4E38BB3C" w14:textId="77777777" w:rsidTr="000257B1">
        <w:trPr>
          <w:trHeight w:val="20"/>
        </w:trPr>
        <w:tc>
          <w:tcPr>
            <w:tcW w:w="1691" w:type="dxa"/>
            <w:shd w:val="clear" w:color="000000" w:fill="8496B0"/>
            <w:vAlign w:val="bottom"/>
          </w:tcPr>
          <w:p w14:paraId="1F564FD3" w14:textId="60C09778" w:rsidR="005D5A58" w:rsidRPr="005D5A58" w:rsidRDefault="005D5A58" w:rsidP="005D5A58">
            <w:pPr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</w:pPr>
            <w:r w:rsidRPr="005D5A58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Barcelona</w:t>
            </w:r>
          </w:p>
        </w:tc>
        <w:tc>
          <w:tcPr>
            <w:tcW w:w="2563" w:type="dxa"/>
            <w:vAlign w:val="bottom"/>
          </w:tcPr>
          <w:p w14:paraId="336882F2" w14:textId="5AFC08D6" w:rsidR="005D5A58" w:rsidRPr="000257B1" w:rsidRDefault="005D5A58" w:rsidP="005D5A58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Gavà</w:t>
            </w:r>
          </w:p>
        </w:tc>
        <w:tc>
          <w:tcPr>
            <w:tcW w:w="1843" w:type="dxa"/>
            <w:noWrap/>
            <w:vAlign w:val="bottom"/>
          </w:tcPr>
          <w:p w14:paraId="4D410A4C" w14:textId="205440DA" w:rsidR="005D5A58" w:rsidRPr="000257B1" w:rsidRDefault="005D5A58" w:rsidP="005D5A58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68,67 €</w:t>
            </w:r>
          </w:p>
        </w:tc>
        <w:tc>
          <w:tcPr>
            <w:tcW w:w="1497" w:type="dxa"/>
            <w:vAlign w:val="bottom"/>
          </w:tcPr>
          <w:p w14:paraId="5334EBBC" w14:textId="0C9CF6EB" w:rsidR="005D5A58" w:rsidRPr="000257B1" w:rsidRDefault="005D5A58" w:rsidP="005D5A58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65,19 €</w:t>
            </w:r>
          </w:p>
        </w:tc>
        <w:tc>
          <w:tcPr>
            <w:tcW w:w="1530" w:type="dxa"/>
            <w:noWrap/>
            <w:vAlign w:val="bottom"/>
          </w:tcPr>
          <w:p w14:paraId="30447B3E" w14:textId="00730CC6" w:rsidR="005D5A58" w:rsidRPr="000257B1" w:rsidRDefault="005D5A58" w:rsidP="005D5A58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color w:val="9C0006"/>
                <w:sz w:val="22"/>
                <w:szCs w:val="22"/>
              </w:rPr>
              <w:t>-5,1%</w:t>
            </w:r>
          </w:p>
        </w:tc>
      </w:tr>
      <w:tr w:rsidR="005D5A58" w:rsidRPr="008321EB" w14:paraId="270C4720" w14:textId="77777777" w:rsidTr="000257B1">
        <w:trPr>
          <w:trHeight w:val="20"/>
        </w:trPr>
        <w:tc>
          <w:tcPr>
            <w:tcW w:w="1691" w:type="dxa"/>
            <w:shd w:val="clear" w:color="000000" w:fill="8496B0"/>
            <w:vAlign w:val="bottom"/>
          </w:tcPr>
          <w:p w14:paraId="7173D219" w14:textId="2199305A" w:rsidR="005D5A58" w:rsidRPr="005D5A58" w:rsidRDefault="005D5A58" w:rsidP="005D5A58">
            <w:pPr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</w:pPr>
            <w:r w:rsidRPr="005D5A58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Lleida</w:t>
            </w:r>
          </w:p>
        </w:tc>
        <w:tc>
          <w:tcPr>
            <w:tcW w:w="2563" w:type="dxa"/>
            <w:shd w:val="clear" w:color="auto" w:fill="D5DCE4" w:themeFill="text2" w:themeFillTint="33"/>
            <w:vAlign w:val="bottom"/>
          </w:tcPr>
          <w:p w14:paraId="45AB6313" w14:textId="2278B21F" w:rsidR="005D5A58" w:rsidRPr="000257B1" w:rsidRDefault="005D5A58" w:rsidP="005D5A58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Lleida Capital</w:t>
            </w:r>
          </w:p>
        </w:tc>
        <w:tc>
          <w:tcPr>
            <w:tcW w:w="1843" w:type="dxa"/>
            <w:shd w:val="clear" w:color="auto" w:fill="D5DCE4" w:themeFill="text2" w:themeFillTint="33"/>
            <w:noWrap/>
            <w:vAlign w:val="bottom"/>
          </w:tcPr>
          <w:p w14:paraId="034FF91B" w14:textId="6B044050" w:rsidR="005D5A58" w:rsidRPr="000257B1" w:rsidRDefault="005D5A58" w:rsidP="005D5A58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63,03 €</w:t>
            </w:r>
          </w:p>
        </w:tc>
        <w:tc>
          <w:tcPr>
            <w:tcW w:w="1497" w:type="dxa"/>
            <w:shd w:val="clear" w:color="auto" w:fill="D5DCE4" w:themeFill="text2" w:themeFillTint="33"/>
            <w:vAlign w:val="bottom"/>
          </w:tcPr>
          <w:p w14:paraId="2E142334" w14:textId="0F63CD14" w:rsidR="005D5A58" w:rsidRPr="000257B1" w:rsidRDefault="005D5A58" w:rsidP="005D5A58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59,50 €</w:t>
            </w:r>
          </w:p>
        </w:tc>
        <w:tc>
          <w:tcPr>
            <w:tcW w:w="1530" w:type="dxa"/>
            <w:shd w:val="clear" w:color="auto" w:fill="D5DCE4" w:themeFill="text2" w:themeFillTint="33"/>
            <w:noWrap/>
            <w:vAlign w:val="bottom"/>
          </w:tcPr>
          <w:p w14:paraId="559743AE" w14:textId="0A905380" w:rsidR="005D5A58" w:rsidRPr="000257B1" w:rsidRDefault="005D5A58" w:rsidP="005D5A58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color w:val="9C0006"/>
                <w:sz w:val="22"/>
                <w:szCs w:val="22"/>
              </w:rPr>
              <w:t>-5,6%</w:t>
            </w:r>
          </w:p>
        </w:tc>
      </w:tr>
      <w:tr w:rsidR="005D5A58" w:rsidRPr="008321EB" w14:paraId="2BE73835" w14:textId="77777777" w:rsidTr="000257B1">
        <w:trPr>
          <w:trHeight w:val="20"/>
        </w:trPr>
        <w:tc>
          <w:tcPr>
            <w:tcW w:w="1691" w:type="dxa"/>
            <w:shd w:val="clear" w:color="000000" w:fill="8496B0"/>
            <w:vAlign w:val="bottom"/>
          </w:tcPr>
          <w:p w14:paraId="1D115318" w14:textId="0037C15E" w:rsidR="005D5A58" w:rsidRPr="005D5A58" w:rsidRDefault="005D5A58" w:rsidP="005D5A58">
            <w:pPr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</w:pPr>
            <w:r w:rsidRPr="005D5A58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Pontevedra</w:t>
            </w:r>
          </w:p>
        </w:tc>
        <w:tc>
          <w:tcPr>
            <w:tcW w:w="2563" w:type="dxa"/>
            <w:vAlign w:val="bottom"/>
          </w:tcPr>
          <w:p w14:paraId="5D9A4810" w14:textId="418C1EB7" w:rsidR="005D5A58" w:rsidRPr="000257B1" w:rsidRDefault="005D5A58" w:rsidP="005D5A58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Vigo</w:t>
            </w:r>
          </w:p>
        </w:tc>
        <w:tc>
          <w:tcPr>
            <w:tcW w:w="1843" w:type="dxa"/>
            <w:noWrap/>
            <w:vAlign w:val="bottom"/>
          </w:tcPr>
          <w:p w14:paraId="3CAD8999" w14:textId="7B908319" w:rsidR="005D5A58" w:rsidRPr="000257B1" w:rsidRDefault="005D5A58" w:rsidP="005D5A58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75,82 €</w:t>
            </w:r>
          </w:p>
        </w:tc>
        <w:tc>
          <w:tcPr>
            <w:tcW w:w="1497" w:type="dxa"/>
            <w:vAlign w:val="bottom"/>
          </w:tcPr>
          <w:p w14:paraId="6884902A" w14:textId="5BE397BB" w:rsidR="005D5A58" w:rsidRPr="000257B1" w:rsidRDefault="005D5A58" w:rsidP="005D5A58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71,55 €</w:t>
            </w:r>
          </w:p>
        </w:tc>
        <w:tc>
          <w:tcPr>
            <w:tcW w:w="1530" w:type="dxa"/>
            <w:noWrap/>
            <w:vAlign w:val="bottom"/>
          </w:tcPr>
          <w:p w14:paraId="409B9671" w14:textId="433DAE82" w:rsidR="005D5A58" w:rsidRPr="000257B1" w:rsidRDefault="005D5A58" w:rsidP="005D5A58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color w:val="9C0006"/>
                <w:sz w:val="22"/>
                <w:szCs w:val="22"/>
              </w:rPr>
              <w:t>-5,6%</w:t>
            </w:r>
          </w:p>
        </w:tc>
      </w:tr>
      <w:tr w:rsidR="005D5A58" w:rsidRPr="008321EB" w14:paraId="7F34CC7E" w14:textId="77777777" w:rsidTr="000257B1">
        <w:trPr>
          <w:trHeight w:val="20"/>
        </w:trPr>
        <w:tc>
          <w:tcPr>
            <w:tcW w:w="1691" w:type="dxa"/>
            <w:shd w:val="clear" w:color="000000" w:fill="8496B0"/>
            <w:vAlign w:val="bottom"/>
          </w:tcPr>
          <w:p w14:paraId="606403D9" w14:textId="3B17BC31" w:rsidR="005D5A58" w:rsidRPr="005D5A58" w:rsidRDefault="005D5A58" w:rsidP="005D5A58">
            <w:pPr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</w:pPr>
            <w:r w:rsidRPr="005D5A58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Barcelona</w:t>
            </w:r>
          </w:p>
        </w:tc>
        <w:tc>
          <w:tcPr>
            <w:tcW w:w="2563" w:type="dxa"/>
            <w:shd w:val="clear" w:color="auto" w:fill="D5DCE4" w:themeFill="text2" w:themeFillTint="33"/>
            <w:vAlign w:val="bottom"/>
          </w:tcPr>
          <w:p w14:paraId="54117846" w14:textId="1D4A2F9E" w:rsidR="005D5A58" w:rsidRPr="000257B1" w:rsidRDefault="005D5A58" w:rsidP="005D5A58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Esplugues de Llobregat</w:t>
            </w:r>
          </w:p>
        </w:tc>
        <w:tc>
          <w:tcPr>
            <w:tcW w:w="1843" w:type="dxa"/>
            <w:shd w:val="clear" w:color="auto" w:fill="D5DCE4" w:themeFill="text2" w:themeFillTint="33"/>
            <w:noWrap/>
            <w:vAlign w:val="bottom"/>
          </w:tcPr>
          <w:p w14:paraId="77F47751" w14:textId="5EB49653" w:rsidR="005D5A58" w:rsidRPr="000257B1" w:rsidRDefault="005D5A58" w:rsidP="005D5A58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74,40 €</w:t>
            </w:r>
          </w:p>
        </w:tc>
        <w:tc>
          <w:tcPr>
            <w:tcW w:w="1497" w:type="dxa"/>
            <w:shd w:val="clear" w:color="auto" w:fill="D5DCE4" w:themeFill="text2" w:themeFillTint="33"/>
            <w:vAlign w:val="bottom"/>
          </w:tcPr>
          <w:p w14:paraId="7892564F" w14:textId="500D46EC" w:rsidR="005D5A58" w:rsidRPr="000257B1" w:rsidRDefault="005D5A58" w:rsidP="005D5A58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69,28 €</w:t>
            </w:r>
          </w:p>
        </w:tc>
        <w:tc>
          <w:tcPr>
            <w:tcW w:w="1530" w:type="dxa"/>
            <w:shd w:val="clear" w:color="auto" w:fill="D5DCE4" w:themeFill="text2" w:themeFillTint="33"/>
            <w:noWrap/>
            <w:vAlign w:val="bottom"/>
          </w:tcPr>
          <w:p w14:paraId="21060684" w14:textId="530A8D73" w:rsidR="005D5A58" w:rsidRPr="000257B1" w:rsidRDefault="005D5A58" w:rsidP="005D5A58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color w:val="9C0006"/>
                <w:sz w:val="22"/>
                <w:szCs w:val="22"/>
              </w:rPr>
              <w:t>-6,9%</w:t>
            </w:r>
          </w:p>
        </w:tc>
      </w:tr>
      <w:tr w:rsidR="005D5A58" w:rsidRPr="008321EB" w14:paraId="45D88876" w14:textId="77777777" w:rsidTr="000257B1">
        <w:trPr>
          <w:trHeight w:val="20"/>
        </w:trPr>
        <w:tc>
          <w:tcPr>
            <w:tcW w:w="1691" w:type="dxa"/>
            <w:shd w:val="clear" w:color="000000" w:fill="8496B0"/>
            <w:vAlign w:val="bottom"/>
          </w:tcPr>
          <w:p w14:paraId="2795F61C" w14:textId="36A1FB7E" w:rsidR="005D5A58" w:rsidRPr="005D5A58" w:rsidRDefault="005D5A58" w:rsidP="005D5A58">
            <w:pPr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</w:pPr>
            <w:r w:rsidRPr="005D5A58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Madrid</w:t>
            </w:r>
          </w:p>
        </w:tc>
        <w:tc>
          <w:tcPr>
            <w:tcW w:w="2563" w:type="dxa"/>
            <w:vAlign w:val="bottom"/>
          </w:tcPr>
          <w:p w14:paraId="5A0A2463" w14:textId="67FC47F8" w:rsidR="005D5A58" w:rsidRPr="000257B1" w:rsidRDefault="005D5A58" w:rsidP="005D5A58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Torrejón de Ardoz</w:t>
            </w:r>
          </w:p>
        </w:tc>
        <w:tc>
          <w:tcPr>
            <w:tcW w:w="1843" w:type="dxa"/>
            <w:noWrap/>
            <w:vAlign w:val="bottom"/>
          </w:tcPr>
          <w:p w14:paraId="3F0F5F39" w14:textId="0740AF2E" w:rsidR="005D5A58" w:rsidRPr="000257B1" w:rsidRDefault="005D5A58" w:rsidP="005D5A58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64,98 €</w:t>
            </w:r>
          </w:p>
        </w:tc>
        <w:tc>
          <w:tcPr>
            <w:tcW w:w="1497" w:type="dxa"/>
            <w:vAlign w:val="bottom"/>
          </w:tcPr>
          <w:p w14:paraId="4BC4D962" w14:textId="5BB379A5" w:rsidR="005D5A58" w:rsidRPr="000257B1" w:rsidRDefault="005D5A58" w:rsidP="005D5A58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58,81 €</w:t>
            </w:r>
          </w:p>
        </w:tc>
        <w:tc>
          <w:tcPr>
            <w:tcW w:w="1530" w:type="dxa"/>
            <w:noWrap/>
            <w:vAlign w:val="bottom"/>
          </w:tcPr>
          <w:p w14:paraId="59D46FF9" w14:textId="34278A5A" w:rsidR="005D5A58" w:rsidRPr="000257B1" w:rsidRDefault="005D5A58" w:rsidP="005D5A58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color w:val="9C0006"/>
                <w:sz w:val="22"/>
                <w:szCs w:val="22"/>
              </w:rPr>
              <w:t>-9,5%</w:t>
            </w:r>
          </w:p>
        </w:tc>
      </w:tr>
      <w:tr w:rsidR="005D5A58" w:rsidRPr="008321EB" w14:paraId="1BF8B56D" w14:textId="77777777" w:rsidTr="000257B1">
        <w:trPr>
          <w:trHeight w:val="20"/>
        </w:trPr>
        <w:tc>
          <w:tcPr>
            <w:tcW w:w="1691" w:type="dxa"/>
            <w:shd w:val="clear" w:color="000000" w:fill="8496B0"/>
            <w:vAlign w:val="bottom"/>
          </w:tcPr>
          <w:p w14:paraId="1EF7EB04" w14:textId="4AAAD1B3" w:rsidR="005D5A58" w:rsidRPr="005D5A58" w:rsidRDefault="005D5A58" w:rsidP="005D5A58">
            <w:pPr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</w:pPr>
            <w:r w:rsidRPr="005D5A58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Tarragona</w:t>
            </w:r>
          </w:p>
        </w:tc>
        <w:tc>
          <w:tcPr>
            <w:tcW w:w="2563" w:type="dxa"/>
            <w:shd w:val="clear" w:color="auto" w:fill="D5DCE4" w:themeFill="text2" w:themeFillTint="33"/>
            <w:vAlign w:val="bottom"/>
          </w:tcPr>
          <w:p w14:paraId="19C192E4" w14:textId="062BFB1A" w:rsidR="005D5A58" w:rsidRPr="000257B1" w:rsidRDefault="005D5A58" w:rsidP="005D5A58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Tarragona Capital</w:t>
            </w:r>
          </w:p>
        </w:tc>
        <w:tc>
          <w:tcPr>
            <w:tcW w:w="1843" w:type="dxa"/>
            <w:shd w:val="clear" w:color="auto" w:fill="D5DCE4" w:themeFill="text2" w:themeFillTint="33"/>
            <w:noWrap/>
            <w:vAlign w:val="bottom"/>
          </w:tcPr>
          <w:p w14:paraId="27FFAB42" w14:textId="55FB8EA2" w:rsidR="005D5A58" w:rsidRPr="000257B1" w:rsidRDefault="005D5A58" w:rsidP="005D5A58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78,73 €</w:t>
            </w:r>
          </w:p>
        </w:tc>
        <w:tc>
          <w:tcPr>
            <w:tcW w:w="1497" w:type="dxa"/>
            <w:shd w:val="clear" w:color="auto" w:fill="D5DCE4" w:themeFill="text2" w:themeFillTint="33"/>
            <w:vAlign w:val="bottom"/>
          </w:tcPr>
          <w:p w14:paraId="1659BC4D" w14:textId="28B09F79" w:rsidR="005D5A58" w:rsidRPr="000257B1" w:rsidRDefault="005D5A58" w:rsidP="005D5A58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71,14 €</w:t>
            </w:r>
          </w:p>
        </w:tc>
        <w:tc>
          <w:tcPr>
            <w:tcW w:w="1530" w:type="dxa"/>
            <w:shd w:val="clear" w:color="auto" w:fill="D5DCE4" w:themeFill="text2" w:themeFillTint="33"/>
            <w:noWrap/>
            <w:vAlign w:val="bottom"/>
          </w:tcPr>
          <w:p w14:paraId="0B9987BB" w14:textId="156B0455" w:rsidR="005D5A58" w:rsidRPr="000257B1" w:rsidRDefault="005D5A58" w:rsidP="005D5A58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color w:val="9C0006"/>
                <w:sz w:val="22"/>
                <w:szCs w:val="22"/>
              </w:rPr>
              <w:t>-9,6%</w:t>
            </w:r>
          </w:p>
        </w:tc>
      </w:tr>
      <w:tr w:rsidR="005D5A58" w:rsidRPr="008321EB" w14:paraId="0B60A101" w14:textId="77777777" w:rsidTr="000257B1">
        <w:trPr>
          <w:trHeight w:val="20"/>
        </w:trPr>
        <w:tc>
          <w:tcPr>
            <w:tcW w:w="1691" w:type="dxa"/>
            <w:shd w:val="clear" w:color="000000" w:fill="8496B0"/>
            <w:vAlign w:val="bottom"/>
          </w:tcPr>
          <w:p w14:paraId="2F54DBAF" w14:textId="7D287432" w:rsidR="005D5A58" w:rsidRPr="005D5A58" w:rsidRDefault="005D5A58" w:rsidP="005D5A58">
            <w:pPr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</w:pPr>
            <w:r w:rsidRPr="005D5A58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Bizkaia</w:t>
            </w:r>
          </w:p>
        </w:tc>
        <w:tc>
          <w:tcPr>
            <w:tcW w:w="2563" w:type="dxa"/>
            <w:vAlign w:val="bottom"/>
          </w:tcPr>
          <w:p w14:paraId="02626CC9" w14:textId="29B08D05" w:rsidR="005D5A58" w:rsidRPr="000257B1" w:rsidRDefault="005D5A58" w:rsidP="005D5A58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Getxo</w:t>
            </w:r>
          </w:p>
        </w:tc>
        <w:tc>
          <w:tcPr>
            <w:tcW w:w="1843" w:type="dxa"/>
            <w:noWrap/>
            <w:vAlign w:val="bottom"/>
          </w:tcPr>
          <w:p w14:paraId="657C8E2E" w14:textId="03B39858" w:rsidR="005D5A58" w:rsidRPr="000257B1" w:rsidRDefault="005D5A58" w:rsidP="005D5A58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93,59 €</w:t>
            </w:r>
          </w:p>
        </w:tc>
        <w:tc>
          <w:tcPr>
            <w:tcW w:w="1497" w:type="dxa"/>
            <w:vAlign w:val="bottom"/>
          </w:tcPr>
          <w:p w14:paraId="76677118" w14:textId="307D8C97" w:rsidR="005D5A58" w:rsidRPr="000257B1" w:rsidRDefault="005D5A58" w:rsidP="005D5A58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83,36 €</w:t>
            </w:r>
          </w:p>
        </w:tc>
        <w:tc>
          <w:tcPr>
            <w:tcW w:w="1530" w:type="dxa"/>
            <w:noWrap/>
            <w:vAlign w:val="bottom"/>
          </w:tcPr>
          <w:p w14:paraId="796AA59E" w14:textId="19F6AE59" w:rsidR="005D5A58" w:rsidRPr="000257B1" w:rsidRDefault="005D5A58" w:rsidP="005D5A58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color w:val="9C0006"/>
                <w:sz w:val="22"/>
                <w:szCs w:val="22"/>
              </w:rPr>
              <w:t>-10,9%</w:t>
            </w:r>
          </w:p>
        </w:tc>
      </w:tr>
      <w:tr w:rsidR="005D5A58" w:rsidRPr="008321EB" w14:paraId="545D15F3" w14:textId="77777777" w:rsidTr="000257B1">
        <w:trPr>
          <w:trHeight w:val="20"/>
        </w:trPr>
        <w:tc>
          <w:tcPr>
            <w:tcW w:w="1691" w:type="dxa"/>
            <w:shd w:val="clear" w:color="000000" w:fill="8496B0"/>
            <w:vAlign w:val="bottom"/>
          </w:tcPr>
          <w:p w14:paraId="150D478E" w14:textId="371D4FE4" w:rsidR="005D5A58" w:rsidRPr="005D5A58" w:rsidRDefault="005D5A58" w:rsidP="005D5A58">
            <w:pPr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</w:pPr>
            <w:r w:rsidRPr="005D5A58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Alicante</w:t>
            </w:r>
          </w:p>
        </w:tc>
        <w:tc>
          <w:tcPr>
            <w:tcW w:w="2563" w:type="dxa"/>
            <w:shd w:val="clear" w:color="auto" w:fill="D5DCE4" w:themeFill="text2" w:themeFillTint="33"/>
            <w:vAlign w:val="bottom"/>
          </w:tcPr>
          <w:p w14:paraId="703382F3" w14:textId="4D828B50" w:rsidR="005D5A58" w:rsidRPr="000257B1" w:rsidRDefault="005D5A58" w:rsidP="005D5A58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Elche / Elx</w:t>
            </w:r>
          </w:p>
        </w:tc>
        <w:tc>
          <w:tcPr>
            <w:tcW w:w="1843" w:type="dxa"/>
            <w:shd w:val="clear" w:color="auto" w:fill="D5DCE4" w:themeFill="text2" w:themeFillTint="33"/>
            <w:noWrap/>
            <w:vAlign w:val="bottom"/>
          </w:tcPr>
          <w:p w14:paraId="397EE229" w14:textId="703E518B" w:rsidR="005D5A58" w:rsidRPr="000257B1" w:rsidRDefault="005D5A58" w:rsidP="005D5A58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61,51 €</w:t>
            </w:r>
          </w:p>
        </w:tc>
        <w:tc>
          <w:tcPr>
            <w:tcW w:w="1497" w:type="dxa"/>
            <w:shd w:val="clear" w:color="auto" w:fill="D5DCE4" w:themeFill="text2" w:themeFillTint="33"/>
            <w:vAlign w:val="bottom"/>
          </w:tcPr>
          <w:p w14:paraId="53B714FC" w14:textId="0B5F9BE7" w:rsidR="005D5A58" w:rsidRPr="000257B1" w:rsidRDefault="005D5A58" w:rsidP="005D5A58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54,08 €</w:t>
            </w:r>
          </w:p>
        </w:tc>
        <w:tc>
          <w:tcPr>
            <w:tcW w:w="1530" w:type="dxa"/>
            <w:shd w:val="clear" w:color="auto" w:fill="D5DCE4" w:themeFill="text2" w:themeFillTint="33"/>
            <w:noWrap/>
            <w:vAlign w:val="bottom"/>
          </w:tcPr>
          <w:p w14:paraId="31ACFC70" w14:textId="10D2D647" w:rsidR="005D5A58" w:rsidRPr="000257B1" w:rsidRDefault="005D5A58" w:rsidP="005D5A58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color w:val="9C0006"/>
                <w:sz w:val="22"/>
                <w:szCs w:val="22"/>
              </w:rPr>
              <w:t>-12,1%</w:t>
            </w:r>
          </w:p>
        </w:tc>
      </w:tr>
      <w:tr w:rsidR="005D5A58" w:rsidRPr="008321EB" w14:paraId="098772AD" w14:textId="77777777" w:rsidTr="000257B1">
        <w:trPr>
          <w:trHeight w:val="20"/>
        </w:trPr>
        <w:tc>
          <w:tcPr>
            <w:tcW w:w="1691" w:type="dxa"/>
            <w:shd w:val="clear" w:color="000000" w:fill="8496B0"/>
            <w:vAlign w:val="bottom"/>
          </w:tcPr>
          <w:p w14:paraId="121FED23" w14:textId="161139D5" w:rsidR="005D5A58" w:rsidRPr="005D5A58" w:rsidRDefault="005D5A58" w:rsidP="005D5A58">
            <w:pPr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</w:pPr>
            <w:r w:rsidRPr="005D5A58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Tarragona</w:t>
            </w:r>
          </w:p>
        </w:tc>
        <w:tc>
          <w:tcPr>
            <w:tcW w:w="2563" w:type="dxa"/>
            <w:vAlign w:val="bottom"/>
          </w:tcPr>
          <w:p w14:paraId="6C45D65E" w14:textId="2BEA84CD" w:rsidR="005D5A58" w:rsidRPr="000257B1" w:rsidRDefault="005D5A58" w:rsidP="005D5A58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Reus</w:t>
            </w:r>
          </w:p>
        </w:tc>
        <w:tc>
          <w:tcPr>
            <w:tcW w:w="1843" w:type="dxa"/>
            <w:noWrap/>
            <w:vAlign w:val="bottom"/>
          </w:tcPr>
          <w:p w14:paraId="6DD913BB" w14:textId="29117D08" w:rsidR="005D5A58" w:rsidRPr="000257B1" w:rsidRDefault="005D5A58" w:rsidP="005D5A58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69,18 €</w:t>
            </w:r>
          </w:p>
        </w:tc>
        <w:tc>
          <w:tcPr>
            <w:tcW w:w="1497" w:type="dxa"/>
            <w:vAlign w:val="bottom"/>
          </w:tcPr>
          <w:p w14:paraId="3BD6D9BB" w14:textId="6B6427DB" w:rsidR="005D5A58" w:rsidRPr="000257B1" w:rsidRDefault="005D5A58" w:rsidP="005D5A58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57,02 €</w:t>
            </w:r>
          </w:p>
        </w:tc>
        <w:tc>
          <w:tcPr>
            <w:tcW w:w="1530" w:type="dxa"/>
            <w:noWrap/>
            <w:vAlign w:val="bottom"/>
          </w:tcPr>
          <w:p w14:paraId="3C6BAAE2" w14:textId="4253517A" w:rsidR="005D5A58" w:rsidRPr="000257B1" w:rsidRDefault="005D5A58" w:rsidP="005D5A58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color w:val="9C0006"/>
                <w:sz w:val="22"/>
                <w:szCs w:val="22"/>
              </w:rPr>
              <w:t>-17,6%</w:t>
            </w:r>
          </w:p>
        </w:tc>
      </w:tr>
      <w:tr w:rsidR="005D5A58" w:rsidRPr="008321EB" w14:paraId="51637B58" w14:textId="77777777" w:rsidTr="000257B1">
        <w:trPr>
          <w:trHeight w:val="20"/>
        </w:trPr>
        <w:tc>
          <w:tcPr>
            <w:tcW w:w="1691" w:type="dxa"/>
            <w:shd w:val="clear" w:color="000000" w:fill="8496B0"/>
            <w:vAlign w:val="bottom"/>
          </w:tcPr>
          <w:p w14:paraId="2C4710C5" w14:textId="092C1F66" w:rsidR="005D5A58" w:rsidRPr="005D5A58" w:rsidRDefault="005D5A58" w:rsidP="005D5A58">
            <w:pPr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</w:pPr>
            <w:r w:rsidRPr="005D5A58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Jaén</w:t>
            </w:r>
          </w:p>
        </w:tc>
        <w:tc>
          <w:tcPr>
            <w:tcW w:w="2563" w:type="dxa"/>
            <w:shd w:val="clear" w:color="auto" w:fill="D5DCE4" w:themeFill="text2" w:themeFillTint="33"/>
            <w:vAlign w:val="bottom"/>
          </w:tcPr>
          <w:p w14:paraId="30AA3BC1" w14:textId="01F364D3" w:rsidR="005D5A58" w:rsidRPr="000257B1" w:rsidRDefault="005D5A58" w:rsidP="005D5A58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Linares</w:t>
            </w:r>
          </w:p>
        </w:tc>
        <w:tc>
          <w:tcPr>
            <w:tcW w:w="1843" w:type="dxa"/>
            <w:shd w:val="clear" w:color="auto" w:fill="D5DCE4" w:themeFill="text2" w:themeFillTint="33"/>
            <w:noWrap/>
            <w:vAlign w:val="bottom"/>
          </w:tcPr>
          <w:p w14:paraId="3D5B18B4" w14:textId="11699B00" w:rsidR="005D5A58" w:rsidRPr="000257B1" w:rsidRDefault="005D5A58" w:rsidP="005D5A58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shd w:val="clear" w:color="auto" w:fill="D5DCE4" w:themeFill="text2" w:themeFillTint="33"/>
            <w:vAlign w:val="bottom"/>
          </w:tcPr>
          <w:p w14:paraId="6ACF81A3" w14:textId="21656C0F" w:rsidR="005D5A58" w:rsidRPr="000257B1" w:rsidRDefault="005D5A58" w:rsidP="005D5A58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53,21 €</w:t>
            </w:r>
          </w:p>
        </w:tc>
        <w:tc>
          <w:tcPr>
            <w:tcW w:w="1530" w:type="dxa"/>
            <w:shd w:val="clear" w:color="auto" w:fill="D5DCE4" w:themeFill="text2" w:themeFillTint="33"/>
            <w:noWrap/>
            <w:vAlign w:val="bottom"/>
          </w:tcPr>
          <w:p w14:paraId="35AD38A9" w14:textId="18F98F71" w:rsidR="005D5A58" w:rsidRPr="000257B1" w:rsidRDefault="005D5A58" w:rsidP="005D5A58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5D5A58" w:rsidRPr="008321EB" w14:paraId="30AD27AA" w14:textId="77777777" w:rsidTr="000257B1">
        <w:trPr>
          <w:trHeight w:val="20"/>
        </w:trPr>
        <w:tc>
          <w:tcPr>
            <w:tcW w:w="1691" w:type="dxa"/>
            <w:shd w:val="clear" w:color="000000" w:fill="8496B0"/>
            <w:vAlign w:val="bottom"/>
          </w:tcPr>
          <w:p w14:paraId="707FB189" w14:textId="649E0224" w:rsidR="005D5A58" w:rsidRPr="005D5A58" w:rsidRDefault="005D5A58" w:rsidP="005D5A58">
            <w:pPr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</w:pPr>
            <w:r w:rsidRPr="005D5A58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Málaga</w:t>
            </w:r>
          </w:p>
        </w:tc>
        <w:tc>
          <w:tcPr>
            <w:tcW w:w="2563" w:type="dxa"/>
            <w:vAlign w:val="bottom"/>
          </w:tcPr>
          <w:p w14:paraId="133838CF" w14:textId="4F9332BE" w:rsidR="005D5A58" w:rsidRPr="000257B1" w:rsidRDefault="005D5A58" w:rsidP="005D5A58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Benalmádena</w:t>
            </w:r>
          </w:p>
        </w:tc>
        <w:tc>
          <w:tcPr>
            <w:tcW w:w="1843" w:type="dxa"/>
            <w:noWrap/>
            <w:vAlign w:val="bottom"/>
          </w:tcPr>
          <w:p w14:paraId="6DCADB6A" w14:textId="39009A79" w:rsidR="005D5A58" w:rsidRPr="000257B1" w:rsidRDefault="005D5A58" w:rsidP="005D5A58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vAlign w:val="bottom"/>
          </w:tcPr>
          <w:p w14:paraId="1A505B16" w14:textId="54EDCB83" w:rsidR="005D5A58" w:rsidRPr="000257B1" w:rsidRDefault="005D5A58" w:rsidP="005D5A58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80,00 €</w:t>
            </w:r>
          </w:p>
        </w:tc>
        <w:tc>
          <w:tcPr>
            <w:tcW w:w="1530" w:type="dxa"/>
            <w:noWrap/>
            <w:vAlign w:val="bottom"/>
          </w:tcPr>
          <w:p w14:paraId="17C30BEC" w14:textId="53F34C9E" w:rsidR="005D5A58" w:rsidRPr="000257B1" w:rsidRDefault="005D5A58" w:rsidP="005D5A58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5D5A58" w:rsidRPr="008321EB" w14:paraId="21C440A5" w14:textId="77777777" w:rsidTr="003A48F9">
        <w:trPr>
          <w:trHeight w:val="20"/>
        </w:trPr>
        <w:tc>
          <w:tcPr>
            <w:tcW w:w="1691" w:type="dxa"/>
            <w:shd w:val="clear" w:color="000000" w:fill="8496B0"/>
            <w:vAlign w:val="bottom"/>
          </w:tcPr>
          <w:p w14:paraId="7DD770CE" w14:textId="12E6D8C9" w:rsidR="005D5A58" w:rsidRPr="005D5A58" w:rsidRDefault="005D5A58" w:rsidP="005D5A58">
            <w:pPr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</w:pPr>
            <w:r w:rsidRPr="005D5A58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Málaga</w:t>
            </w:r>
          </w:p>
        </w:tc>
        <w:tc>
          <w:tcPr>
            <w:tcW w:w="2563" w:type="dxa"/>
            <w:shd w:val="clear" w:color="auto" w:fill="D5DCE4" w:themeFill="text2" w:themeFillTint="33"/>
            <w:vAlign w:val="bottom"/>
          </w:tcPr>
          <w:p w14:paraId="59D7175E" w14:textId="403E8B12" w:rsidR="005D5A58" w:rsidRPr="000257B1" w:rsidRDefault="005D5A58" w:rsidP="005D5A58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Fuengirola</w:t>
            </w:r>
          </w:p>
        </w:tc>
        <w:tc>
          <w:tcPr>
            <w:tcW w:w="1843" w:type="dxa"/>
            <w:shd w:val="clear" w:color="auto" w:fill="D5DCE4" w:themeFill="text2" w:themeFillTint="33"/>
            <w:noWrap/>
            <w:vAlign w:val="bottom"/>
          </w:tcPr>
          <w:p w14:paraId="4D0F9D0D" w14:textId="37CF3944" w:rsidR="005D5A58" w:rsidRPr="000257B1" w:rsidRDefault="005D5A58" w:rsidP="005D5A58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shd w:val="clear" w:color="auto" w:fill="D5DCE4" w:themeFill="text2" w:themeFillTint="33"/>
            <w:vAlign w:val="bottom"/>
          </w:tcPr>
          <w:p w14:paraId="6B08CC45" w14:textId="7971EEA2" w:rsidR="005D5A58" w:rsidRPr="000257B1" w:rsidRDefault="005D5A58" w:rsidP="005D5A58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96,61 €</w:t>
            </w:r>
          </w:p>
        </w:tc>
        <w:tc>
          <w:tcPr>
            <w:tcW w:w="1530" w:type="dxa"/>
            <w:shd w:val="clear" w:color="auto" w:fill="D5DCE4" w:themeFill="text2" w:themeFillTint="33"/>
            <w:noWrap/>
            <w:vAlign w:val="bottom"/>
          </w:tcPr>
          <w:p w14:paraId="4B915705" w14:textId="71ABAF67" w:rsidR="005D5A58" w:rsidRPr="000257B1" w:rsidRDefault="005D5A58" w:rsidP="005D5A58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5D5A58" w:rsidRPr="008321EB" w14:paraId="6A7F21B6" w14:textId="77777777" w:rsidTr="003A48F9">
        <w:trPr>
          <w:trHeight w:val="20"/>
        </w:trPr>
        <w:tc>
          <w:tcPr>
            <w:tcW w:w="1691" w:type="dxa"/>
            <w:shd w:val="clear" w:color="000000" w:fill="8496B0"/>
            <w:vAlign w:val="bottom"/>
          </w:tcPr>
          <w:p w14:paraId="00F0CE04" w14:textId="0F54F028" w:rsidR="005D5A58" w:rsidRPr="005D5A58" w:rsidRDefault="005D5A58" w:rsidP="005D5A58">
            <w:pPr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</w:pPr>
            <w:r w:rsidRPr="005D5A58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Málaga</w:t>
            </w:r>
          </w:p>
        </w:tc>
        <w:tc>
          <w:tcPr>
            <w:tcW w:w="2563" w:type="dxa"/>
            <w:vAlign w:val="bottom"/>
          </w:tcPr>
          <w:p w14:paraId="76B2AB24" w14:textId="08D0599F" w:rsidR="005D5A58" w:rsidRPr="000257B1" w:rsidRDefault="005D5A58" w:rsidP="005D5A58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Marbella</w:t>
            </w:r>
          </w:p>
        </w:tc>
        <w:tc>
          <w:tcPr>
            <w:tcW w:w="1843" w:type="dxa"/>
            <w:noWrap/>
            <w:vAlign w:val="bottom"/>
          </w:tcPr>
          <w:p w14:paraId="311C1B4A" w14:textId="6274F4FB" w:rsidR="005D5A58" w:rsidRPr="000257B1" w:rsidRDefault="005D5A58" w:rsidP="005D5A58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vAlign w:val="bottom"/>
          </w:tcPr>
          <w:p w14:paraId="1E4FA354" w14:textId="0622F84E" w:rsidR="005D5A58" w:rsidRPr="000257B1" w:rsidRDefault="005D5A58" w:rsidP="005D5A58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102,58 €</w:t>
            </w:r>
          </w:p>
        </w:tc>
        <w:tc>
          <w:tcPr>
            <w:tcW w:w="1530" w:type="dxa"/>
            <w:noWrap/>
            <w:vAlign w:val="bottom"/>
          </w:tcPr>
          <w:p w14:paraId="70398A64" w14:textId="5F94E5B1" w:rsidR="005D5A58" w:rsidRPr="000257B1" w:rsidRDefault="005D5A58" w:rsidP="005D5A58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5D5A58" w:rsidRPr="008321EB" w14:paraId="2031A01F" w14:textId="77777777" w:rsidTr="003A48F9">
        <w:trPr>
          <w:trHeight w:val="20"/>
        </w:trPr>
        <w:tc>
          <w:tcPr>
            <w:tcW w:w="1691" w:type="dxa"/>
            <w:shd w:val="clear" w:color="000000" w:fill="8496B0"/>
            <w:vAlign w:val="bottom"/>
          </w:tcPr>
          <w:p w14:paraId="2A3D439F" w14:textId="0A1CC5E7" w:rsidR="005D5A58" w:rsidRPr="005D5A58" w:rsidRDefault="005D5A58" w:rsidP="005D5A58">
            <w:pPr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</w:pPr>
            <w:r w:rsidRPr="005D5A58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Málaga</w:t>
            </w:r>
          </w:p>
        </w:tc>
        <w:tc>
          <w:tcPr>
            <w:tcW w:w="2563" w:type="dxa"/>
            <w:shd w:val="clear" w:color="auto" w:fill="D5DCE4" w:themeFill="text2" w:themeFillTint="33"/>
            <w:vAlign w:val="bottom"/>
          </w:tcPr>
          <w:p w14:paraId="5BD589B2" w14:textId="291DDC97" w:rsidR="005D5A58" w:rsidRPr="000257B1" w:rsidRDefault="005D5A58" w:rsidP="005D5A58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Torremolinos</w:t>
            </w:r>
          </w:p>
        </w:tc>
        <w:tc>
          <w:tcPr>
            <w:tcW w:w="1843" w:type="dxa"/>
            <w:shd w:val="clear" w:color="auto" w:fill="D5DCE4" w:themeFill="text2" w:themeFillTint="33"/>
            <w:noWrap/>
            <w:vAlign w:val="bottom"/>
          </w:tcPr>
          <w:p w14:paraId="0B57F1F2" w14:textId="6E3C9E8D" w:rsidR="005D5A58" w:rsidRPr="000257B1" w:rsidRDefault="005D5A58" w:rsidP="005D5A58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shd w:val="clear" w:color="auto" w:fill="D5DCE4" w:themeFill="text2" w:themeFillTint="33"/>
            <w:vAlign w:val="bottom"/>
          </w:tcPr>
          <w:p w14:paraId="47E999D2" w14:textId="3EEFED96" w:rsidR="005D5A58" w:rsidRPr="000257B1" w:rsidRDefault="005D5A58" w:rsidP="005D5A58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82,76 €</w:t>
            </w:r>
          </w:p>
        </w:tc>
        <w:tc>
          <w:tcPr>
            <w:tcW w:w="1530" w:type="dxa"/>
            <w:shd w:val="clear" w:color="auto" w:fill="D5DCE4" w:themeFill="text2" w:themeFillTint="33"/>
            <w:noWrap/>
            <w:vAlign w:val="bottom"/>
          </w:tcPr>
          <w:p w14:paraId="67BEDD03" w14:textId="6DCB2577" w:rsidR="005D5A58" w:rsidRPr="000257B1" w:rsidRDefault="005D5A58" w:rsidP="005D5A58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5D5A58" w:rsidRPr="008321EB" w14:paraId="2772EE14" w14:textId="77777777" w:rsidTr="003A48F9">
        <w:trPr>
          <w:trHeight w:val="20"/>
        </w:trPr>
        <w:tc>
          <w:tcPr>
            <w:tcW w:w="1691" w:type="dxa"/>
            <w:shd w:val="clear" w:color="000000" w:fill="8496B0"/>
            <w:vAlign w:val="bottom"/>
          </w:tcPr>
          <w:p w14:paraId="62A6CC06" w14:textId="31E51945" w:rsidR="005D5A58" w:rsidRPr="005D5A58" w:rsidRDefault="005D5A58" w:rsidP="005D5A58">
            <w:pPr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</w:pPr>
            <w:r w:rsidRPr="005D5A58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Jaén</w:t>
            </w:r>
          </w:p>
        </w:tc>
        <w:tc>
          <w:tcPr>
            <w:tcW w:w="2563" w:type="dxa"/>
            <w:vAlign w:val="bottom"/>
          </w:tcPr>
          <w:p w14:paraId="4E4184A1" w14:textId="598AB88A" w:rsidR="005D5A58" w:rsidRPr="000257B1" w:rsidRDefault="005D5A58" w:rsidP="005D5A58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Jaén Capital</w:t>
            </w:r>
          </w:p>
        </w:tc>
        <w:tc>
          <w:tcPr>
            <w:tcW w:w="1843" w:type="dxa"/>
            <w:noWrap/>
            <w:vAlign w:val="bottom"/>
          </w:tcPr>
          <w:p w14:paraId="33EDDB6C" w14:textId="25694A08" w:rsidR="005D5A58" w:rsidRPr="000257B1" w:rsidRDefault="005D5A58" w:rsidP="005D5A58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vAlign w:val="bottom"/>
          </w:tcPr>
          <w:p w14:paraId="47077E86" w14:textId="120C66B9" w:rsidR="005D5A58" w:rsidRPr="000257B1" w:rsidRDefault="005D5A58" w:rsidP="005D5A58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61,33 €</w:t>
            </w:r>
          </w:p>
        </w:tc>
        <w:tc>
          <w:tcPr>
            <w:tcW w:w="1530" w:type="dxa"/>
            <w:noWrap/>
            <w:vAlign w:val="bottom"/>
          </w:tcPr>
          <w:p w14:paraId="058DAEAE" w14:textId="1E54C765" w:rsidR="005D5A58" w:rsidRPr="000257B1" w:rsidRDefault="005D5A58" w:rsidP="005D5A58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5D5A58" w:rsidRPr="008321EB" w14:paraId="7AA9011D" w14:textId="77777777" w:rsidTr="003A48F9">
        <w:trPr>
          <w:trHeight w:val="20"/>
        </w:trPr>
        <w:tc>
          <w:tcPr>
            <w:tcW w:w="1691" w:type="dxa"/>
            <w:shd w:val="clear" w:color="000000" w:fill="8496B0"/>
            <w:vAlign w:val="bottom"/>
          </w:tcPr>
          <w:p w14:paraId="7F2436D3" w14:textId="739C3D8D" w:rsidR="005D5A58" w:rsidRPr="005D5A58" w:rsidRDefault="005D5A58" w:rsidP="005D5A58">
            <w:pPr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</w:pPr>
            <w:r w:rsidRPr="005D5A58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Toledo</w:t>
            </w:r>
          </w:p>
        </w:tc>
        <w:tc>
          <w:tcPr>
            <w:tcW w:w="2563" w:type="dxa"/>
            <w:shd w:val="clear" w:color="auto" w:fill="D5DCE4" w:themeFill="text2" w:themeFillTint="33"/>
            <w:vAlign w:val="bottom"/>
          </w:tcPr>
          <w:p w14:paraId="41E4AE8A" w14:textId="29CA8196" w:rsidR="005D5A58" w:rsidRPr="000257B1" w:rsidRDefault="005D5A58" w:rsidP="005D5A58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Talavera de la Reina</w:t>
            </w:r>
          </w:p>
        </w:tc>
        <w:tc>
          <w:tcPr>
            <w:tcW w:w="1843" w:type="dxa"/>
            <w:shd w:val="clear" w:color="auto" w:fill="D5DCE4" w:themeFill="text2" w:themeFillTint="33"/>
            <w:noWrap/>
            <w:vAlign w:val="bottom"/>
          </w:tcPr>
          <w:p w14:paraId="2B583A62" w14:textId="35722A3C" w:rsidR="005D5A58" w:rsidRPr="000257B1" w:rsidRDefault="005D5A58" w:rsidP="005D5A58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shd w:val="clear" w:color="auto" w:fill="D5DCE4" w:themeFill="text2" w:themeFillTint="33"/>
            <w:vAlign w:val="bottom"/>
          </w:tcPr>
          <w:p w14:paraId="72C493A5" w14:textId="65334564" w:rsidR="005D5A58" w:rsidRPr="000257B1" w:rsidRDefault="005D5A58" w:rsidP="005D5A58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55,00 €</w:t>
            </w:r>
          </w:p>
        </w:tc>
        <w:tc>
          <w:tcPr>
            <w:tcW w:w="1530" w:type="dxa"/>
            <w:shd w:val="clear" w:color="auto" w:fill="D5DCE4" w:themeFill="text2" w:themeFillTint="33"/>
            <w:noWrap/>
            <w:vAlign w:val="bottom"/>
          </w:tcPr>
          <w:p w14:paraId="7A611D2B" w14:textId="74D4621F" w:rsidR="005D5A58" w:rsidRPr="000257B1" w:rsidRDefault="005D5A58" w:rsidP="005D5A58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5D5A58" w:rsidRPr="008321EB" w14:paraId="5DE43A0E" w14:textId="77777777" w:rsidTr="003A48F9">
        <w:trPr>
          <w:trHeight w:val="20"/>
        </w:trPr>
        <w:tc>
          <w:tcPr>
            <w:tcW w:w="1691" w:type="dxa"/>
            <w:shd w:val="clear" w:color="000000" w:fill="8496B0"/>
            <w:vAlign w:val="bottom"/>
          </w:tcPr>
          <w:p w14:paraId="409CB789" w14:textId="440E0DC9" w:rsidR="005D5A58" w:rsidRPr="005D5A58" w:rsidRDefault="005D5A58" w:rsidP="005D5A58">
            <w:pPr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</w:pPr>
            <w:r w:rsidRPr="005D5A58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Cuenca</w:t>
            </w:r>
          </w:p>
        </w:tc>
        <w:tc>
          <w:tcPr>
            <w:tcW w:w="2563" w:type="dxa"/>
            <w:vAlign w:val="bottom"/>
          </w:tcPr>
          <w:p w14:paraId="535E6BC6" w14:textId="5D016DAB" w:rsidR="005D5A58" w:rsidRPr="000257B1" w:rsidRDefault="005D5A58" w:rsidP="005D5A58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Cuenca Capital</w:t>
            </w:r>
          </w:p>
        </w:tc>
        <w:tc>
          <w:tcPr>
            <w:tcW w:w="1843" w:type="dxa"/>
            <w:noWrap/>
            <w:vAlign w:val="bottom"/>
          </w:tcPr>
          <w:p w14:paraId="5739E24D" w14:textId="12C53B32" w:rsidR="005D5A58" w:rsidRPr="000257B1" w:rsidRDefault="005D5A58" w:rsidP="005D5A58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vAlign w:val="bottom"/>
          </w:tcPr>
          <w:p w14:paraId="62AB9483" w14:textId="647EA7B5" w:rsidR="005D5A58" w:rsidRPr="000257B1" w:rsidRDefault="005D5A58" w:rsidP="005D5A58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64,97 €</w:t>
            </w:r>
          </w:p>
        </w:tc>
        <w:tc>
          <w:tcPr>
            <w:tcW w:w="1530" w:type="dxa"/>
            <w:noWrap/>
            <w:vAlign w:val="bottom"/>
          </w:tcPr>
          <w:p w14:paraId="6B6D5F0C" w14:textId="51406926" w:rsidR="005D5A58" w:rsidRPr="000257B1" w:rsidRDefault="005D5A58" w:rsidP="005D5A58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5D5A58" w:rsidRPr="008321EB" w14:paraId="6D625B2B" w14:textId="77777777" w:rsidTr="003A48F9">
        <w:trPr>
          <w:trHeight w:val="20"/>
        </w:trPr>
        <w:tc>
          <w:tcPr>
            <w:tcW w:w="1691" w:type="dxa"/>
            <w:shd w:val="clear" w:color="000000" w:fill="8496B0"/>
            <w:vAlign w:val="bottom"/>
          </w:tcPr>
          <w:p w14:paraId="17941E1B" w14:textId="180932E4" w:rsidR="005D5A58" w:rsidRPr="005D5A58" w:rsidRDefault="005D5A58" w:rsidP="005D5A58">
            <w:pPr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</w:pPr>
            <w:r w:rsidRPr="005D5A58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Barcelona</w:t>
            </w:r>
          </w:p>
        </w:tc>
        <w:tc>
          <w:tcPr>
            <w:tcW w:w="2563" w:type="dxa"/>
            <w:shd w:val="clear" w:color="auto" w:fill="D5DCE4" w:themeFill="text2" w:themeFillTint="33"/>
            <w:vAlign w:val="bottom"/>
          </w:tcPr>
          <w:p w14:paraId="4B83C852" w14:textId="68ED3638" w:rsidR="005D5A58" w:rsidRPr="000257B1" w:rsidRDefault="005D5A58" w:rsidP="005D5A58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Ripollet</w:t>
            </w:r>
          </w:p>
        </w:tc>
        <w:tc>
          <w:tcPr>
            <w:tcW w:w="1843" w:type="dxa"/>
            <w:shd w:val="clear" w:color="auto" w:fill="D5DCE4" w:themeFill="text2" w:themeFillTint="33"/>
            <w:noWrap/>
            <w:vAlign w:val="bottom"/>
          </w:tcPr>
          <w:p w14:paraId="28539E51" w14:textId="2F0EAC39" w:rsidR="005D5A58" w:rsidRPr="000257B1" w:rsidRDefault="005D5A58" w:rsidP="005D5A58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shd w:val="clear" w:color="auto" w:fill="D5DCE4" w:themeFill="text2" w:themeFillTint="33"/>
            <w:vAlign w:val="bottom"/>
          </w:tcPr>
          <w:p w14:paraId="2AED5F38" w14:textId="6A919EEC" w:rsidR="005D5A58" w:rsidRPr="000257B1" w:rsidRDefault="005D5A58" w:rsidP="005D5A58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56,03 €</w:t>
            </w:r>
          </w:p>
        </w:tc>
        <w:tc>
          <w:tcPr>
            <w:tcW w:w="1530" w:type="dxa"/>
            <w:shd w:val="clear" w:color="auto" w:fill="D5DCE4" w:themeFill="text2" w:themeFillTint="33"/>
            <w:noWrap/>
            <w:vAlign w:val="bottom"/>
          </w:tcPr>
          <w:p w14:paraId="6F6AC05B" w14:textId="4CE01ADC" w:rsidR="005D5A58" w:rsidRPr="000257B1" w:rsidRDefault="005D5A58" w:rsidP="005D5A58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5D5A58" w:rsidRPr="008321EB" w14:paraId="49F06599" w14:textId="77777777" w:rsidTr="003A48F9">
        <w:trPr>
          <w:trHeight w:val="20"/>
        </w:trPr>
        <w:tc>
          <w:tcPr>
            <w:tcW w:w="1691" w:type="dxa"/>
            <w:shd w:val="clear" w:color="000000" w:fill="8496B0"/>
            <w:vAlign w:val="bottom"/>
          </w:tcPr>
          <w:p w14:paraId="7150610D" w14:textId="694A4425" w:rsidR="005D5A58" w:rsidRPr="005D5A58" w:rsidRDefault="005D5A58" w:rsidP="005D5A58">
            <w:pPr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</w:pPr>
            <w:r w:rsidRPr="005D5A58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Barcelona</w:t>
            </w:r>
          </w:p>
        </w:tc>
        <w:tc>
          <w:tcPr>
            <w:tcW w:w="2563" w:type="dxa"/>
            <w:vAlign w:val="bottom"/>
          </w:tcPr>
          <w:p w14:paraId="7B81B231" w14:textId="6AABC9C5" w:rsidR="005D5A58" w:rsidRPr="000257B1" w:rsidRDefault="005D5A58" w:rsidP="005D5A58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Viladecans</w:t>
            </w:r>
          </w:p>
        </w:tc>
        <w:tc>
          <w:tcPr>
            <w:tcW w:w="1843" w:type="dxa"/>
            <w:noWrap/>
            <w:vAlign w:val="bottom"/>
          </w:tcPr>
          <w:p w14:paraId="33A8273C" w14:textId="4C7345A2" w:rsidR="005D5A58" w:rsidRPr="000257B1" w:rsidRDefault="005D5A58" w:rsidP="005D5A58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vAlign w:val="bottom"/>
          </w:tcPr>
          <w:p w14:paraId="54F5F7D8" w14:textId="36050878" w:rsidR="005D5A58" w:rsidRPr="000257B1" w:rsidRDefault="005D5A58" w:rsidP="005D5A58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70,45 €</w:t>
            </w:r>
          </w:p>
        </w:tc>
        <w:tc>
          <w:tcPr>
            <w:tcW w:w="1530" w:type="dxa"/>
            <w:noWrap/>
            <w:vAlign w:val="bottom"/>
          </w:tcPr>
          <w:p w14:paraId="7B320B82" w14:textId="318ABBA1" w:rsidR="005D5A58" w:rsidRPr="000257B1" w:rsidRDefault="005D5A58" w:rsidP="005D5A58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5D5A58" w:rsidRPr="008321EB" w14:paraId="773E4437" w14:textId="77777777" w:rsidTr="003A48F9">
        <w:trPr>
          <w:trHeight w:val="20"/>
        </w:trPr>
        <w:tc>
          <w:tcPr>
            <w:tcW w:w="1691" w:type="dxa"/>
            <w:shd w:val="clear" w:color="000000" w:fill="8496B0"/>
            <w:vAlign w:val="bottom"/>
          </w:tcPr>
          <w:p w14:paraId="267683AA" w14:textId="5205973E" w:rsidR="005D5A58" w:rsidRPr="005D5A58" w:rsidRDefault="005D5A58" w:rsidP="005D5A58">
            <w:pPr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</w:pPr>
            <w:r w:rsidRPr="005D5A58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Barcelona</w:t>
            </w:r>
          </w:p>
        </w:tc>
        <w:tc>
          <w:tcPr>
            <w:tcW w:w="2563" w:type="dxa"/>
            <w:shd w:val="clear" w:color="auto" w:fill="D5DCE4" w:themeFill="text2" w:themeFillTint="33"/>
            <w:vAlign w:val="bottom"/>
          </w:tcPr>
          <w:p w14:paraId="7CDF7C32" w14:textId="6AD82A67" w:rsidR="005D5A58" w:rsidRPr="000257B1" w:rsidRDefault="005D5A58" w:rsidP="005D5A58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Vilanova i la Geltrú</w:t>
            </w:r>
          </w:p>
        </w:tc>
        <w:tc>
          <w:tcPr>
            <w:tcW w:w="1843" w:type="dxa"/>
            <w:shd w:val="clear" w:color="auto" w:fill="D5DCE4" w:themeFill="text2" w:themeFillTint="33"/>
            <w:noWrap/>
            <w:vAlign w:val="bottom"/>
          </w:tcPr>
          <w:p w14:paraId="2BA5C582" w14:textId="324CDDDD" w:rsidR="005D5A58" w:rsidRPr="000257B1" w:rsidRDefault="005D5A58" w:rsidP="005D5A58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shd w:val="clear" w:color="auto" w:fill="D5DCE4" w:themeFill="text2" w:themeFillTint="33"/>
            <w:vAlign w:val="bottom"/>
          </w:tcPr>
          <w:p w14:paraId="1196E146" w14:textId="202C2F9F" w:rsidR="005D5A58" w:rsidRPr="000257B1" w:rsidRDefault="005D5A58" w:rsidP="005D5A58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60,83 €</w:t>
            </w:r>
          </w:p>
        </w:tc>
        <w:tc>
          <w:tcPr>
            <w:tcW w:w="1530" w:type="dxa"/>
            <w:shd w:val="clear" w:color="auto" w:fill="D5DCE4" w:themeFill="text2" w:themeFillTint="33"/>
            <w:noWrap/>
            <w:vAlign w:val="bottom"/>
          </w:tcPr>
          <w:p w14:paraId="644CF41F" w14:textId="2F977B38" w:rsidR="005D5A58" w:rsidRPr="000257B1" w:rsidRDefault="005D5A58" w:rsidP="005D5A58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5D5A58" w:rsidRPr="008321EB" w14:paraId="59EAD076" w14:textId="77777777" w:rsidTr="003A48F9">
        <w:trPr>
          <w:trHeight w:val="20"/>
        </w:trPr>
        <w:tc>
          <w:tcPr>
            <w:tcW w:w="1691" w:type="dxa"/>
            <w:shd w:val="clear" w:color="000000" w:fill="8496B0"/>
            <w:vAlign w:val="bottom"/>
          </w:tcPr>
          <w:p w14:paraId="2ACBF4F5" w14:textId="7D467729" w:rsidR="005D5A58" w:rsidRPr="005D5A58" w:rsidRDefault="005D5A58" w:rsidP="005D5A58">
            <w:pPr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</w:pPr>
            <w:r w:rsidRPr="005D5A58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Tarragona</w:t>
            </w:r>
          </w:p>
        </w:tc>
        <w:tc>
          <w:tcPr>
            <w:tcW w:w="2563" w:type="dxa"/>
            <w:vAlign w:val="bottom"/>
          </w:tcPr>
          <w:p w14:paraId="07AD07B3" w14:textId="73E8255F" w:rsidR="005D5A58" w:rsidRPr="000257B1" w:rsidRDefault="005D5A58" w:rsidP="005D5A58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Salou</w:t>
            </w:r>
          </w:p>
        </w:tc>
        <w:tc>
          <w:tcPr>
            <w:tcW w:w="1843" w:type="dxa"/>
            <w:noWrap/>
            <w:vAlign w:val="bottom"/>
          </w:tcPr>
          <w:p w14:paraId="6D8121F5" w14:textId="615EE0E5" w:rsidR="005D5A58" w:rsidRPr="000257B1" w:rsidRDefault="005D5A58" w:rsidP="005D5A58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vAlign w:val="bottom"/>
          </w:tcPr>
          <w:p w14:paraId="0E00B4BC" w14:textId="586F494F" w:rsidR="005D5A58" w:rsidRPr="000257B1" w:rsidRDefault="005D5A58" w:rsidP="005D5A58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100,00 €</w:t>
            </w:r>
          </w:p>
        </w:tc>
        <w:tc>
          <w:tcPr>
            <w:tcW w:w="1530" w:type="dxa"/>
            <w:noWrap/>
            <w:vAlign w:val="bottom"/>
          </w:tcPr>
          <w:p w14:paraId="4C22462B" w14:textId="7B2E3443" w:rsidR="005D5A58" w:rsidRPr="000257B1" w:rsidRDefault="005D5A58" w:rsidP="005D5A58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5D5A58" w:rsidRPr="008321EB" w14:paraId="52B28B86" w14:textId="77777777" w:rsidTr="003A48F9">
        <w:trPr>
          <w:trHeight w:val="20"/>
        </w:trPr>
        <w:tc>
          <w:tcPr>
            <w:tcW w:w="1691" w:type="dxa"/>
            <w:shd w:val="clear" w:color="000000" w:fill="8496B0"/>
            <w:vAlign w:val="bottom"/>
          </w:tcPr>
          <w:p w14:paraId="204C2DD7" w14:textId="7DECFE43" w:rsidR="005D5A58" w:rsidRPr="005D5A58" w:rsidRDefault="005D5A58" w:rsidP="005D5A58">
            <w:pPr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</w:pPr>
            <w:r w:rsidRPr="005D5A58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Alicante</w:t>
            </w:r>
          </w:p>
        </w:tc>
        <w:tc>
          <w:tcPr>
            <w:tcW w:w="2563" w:type="dxa"/>
            <w:shd w:val="clear" w:color="auto" w:fill="D5DCE4" w:themeFill="text2" w:themeFillTint="33"/>
            <w:vAlign w:val="bottom"/>
          </w:tcPr>
          <w:p w14:paraId="53430099" w14:textId="35FD5D2C" w:rsidR="005D5A58" w:rsidRPr="000257B1" w:rsidRDefault="005D5A58" w:rsidP="005D5A58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Benidorm</w:t>
            </w:r>
          </w:p>
        </w:tc>
        <w:tc>
          <w:tcPr>
            <w:tcW w:w="1843" w:type="dxa"/>
            <w:shd w:val="clear" w:color="auto" w:fill="D5DCE4" w:themeFill="text2" w:themeFillTint="33"/>
            <w:noWrap/>
            <w:vAlign w:val="bottom"/>
          </w:tcPr>
          <w:p w14:paraId="258744F5" w14:textId="3697E28E" w:rsidR="005D5A58" w:rsidRPr="000257B1" w:rsidRDefault="005D5A58" w:rsidP="005D5A58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shd w:val="clear" w:color="auto" w:fill="D5DCE4" w:themeFill="text2" w:themeFillTint="33"/>
            <w:vAlign w:val="bottom"/>
          </w:tcPr>
          <w:p w14:paraId="516D3927" w14:textId="3027D6A5" w:rsidR="005D5A58" w:rsidRPr="000257B1" w:rsidRDefault="005D5A58" w:rsidP="005D5A58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93,65 €</w:t>
            </w:r>
          </w:p>
        </w:tc>
        <w:tc>
          <w:tcPr>
            <w:tcW w:w="1530" w:type="dxa"/>
            <w:shd w:val="clear" w:color="auto" w:fill="D5DCE4" w:themeFill="text2" w:themeFillTint="33"/>
            <w:noWrap/>
            <w:vAlign w:val="bottom"/>
          </w:tcPr>
          <w:p w14:paraId="66367850" w14:textId="18A6C5EA" w:rsidR="005D5A58" w:rsidRPr="000257B1" w:rsidRDefault="005D5A58" w:rsidP="005D5A58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5D5A58" w:rsidRPr="008321EB" w14:paraId="06981B20" w14:textId="77777777" w:rsidTr="003A48F9">
        <w:trPr>
          <w:trHeight w:val="20"/>
        </w:trPr>
        <w:tc>
          <w:tcPr>
            <w:tcW w:w="1691" w:type="dxa"/>
            <w:shd w:val="clear" w:color="000000" w:fill="8496B0"/>
            <w:vAlign w:val="bottom"/>
          </w:tcPr>
          <w:p w14:paraId="269F7430" w14:textId="28DB9F5A" w:rsidR="005D5A58" w:rsidRPr="005D5A58" w:rsidRDefault="005D5A58" w:rsidP="005D5A58">
            <w:pPr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</w:pPr>
            <w:r w:rsidRPr="005D5A58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Alicante</w:t>
            </w:r>
          </w:p>
        </w:tc>
        <w:tc>
          <w:tcPr>
            <w:tcW w:w="2563" w:type="dxa"/>
            <w:vAlign w:val="bottom"/>
          </w:tcPr>
          <w:p w14:paraId="1C52B6A5" w14:textId="33836E63" w:rsidR="005D5A58" w:rsidRPr="000257B1" w:rsidRDefault="005D5A58" w:rsidP="005D5A58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El Campello</w:t>
            </w:r>
          </w:p>
        </w:tc>
        <w:tc>
          <w:tcPr>
            <w:tcW w:w="1843" w:type="dxa"/>
            <w:noWrap/>
            <w:vAlign w:val="bottom"/>
          </w:tcPr>
          <w:p w14:paraId="4E392D7A" w14:textId="51037015" w:rsidR="005D5A58" w:rsidRPr="000257B1" w:rsidRDefault="005D5A58" w:rsidP="005D5A58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vAlign w:val="bottom"/>
          </w:tcPr>
          <w:p w14:paraId="02928B93" w14:textId="6DBA3965" w:rsidR="005D5A58" w:rsidRPr="000257B1" w:rsidRDefault="005D5A58" w:rsidP="005D5A58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61,67 €</w:t>
            </w:r>
          </w:p>
        </w:tc>
        <w:tc>
          <w:tcPr>
            <w:tcW w:w="1530" w:type="dxa"/>
            <w:noWrap/>
            <w:vAlign w:val="bottom"/>
          </w:tcPr>
          <w:p w14:paraId="4B01293E" w14:textId="5E0DFF01" w:rsidR="005D5A58" w:rsidRPr="000257B1" w:rsidRDefault="005D5A58" w:rsidP="005D5A58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5D5A58" w:rsidRPr="008321EB" w14:paraId="12C12337" w14:textId="77777777" w:rsidTr="003A48F9">
        <w:trPr>
          <w:trHeight w:val="20"/>
        </w:trPr>
        <w:tc>
          <w:tcPr>
            <w:tcW w:w="1691" w:type="dxa"/>
            <w:shd w:val="clear" w:color="000000" w:fill="8496B0"/>
            <w:vAlign w:val="bottom"/>
          </w:tcPr>
          <w:p w14:paraId="14555ED0" w14:textId="19DB6132" w:rsidR="005D5A58" w:rsidRPr="005D5A58" w:rsidRDefault="005D5A58" w:rsidP="005D5A58">
            <w:pPr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</w:pPr>
            <w:r w:rsidRPr="005D5A58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Alicante</w:t>
            </w:r>
          </w:p>
        </w:tc>
        <w:tc>
          <w:tcPr>
            <w:tcW w:w="2563" w:type="dxa"/>
            <w:shd w:val="clear" w:color="auto" w:fill="D5DCE4" w:themeFill="text2" w:themeFillTint="33"/>
            <w:vAlign w:val="bottom"/>
          </w:tcPr>
          <w:p w14:paraId="1CA57FE2" w14:textId="1560A6F3" w:rsidR="005D5A58" w:rsidRPr="000257B1" w:rsidRDefault="005D5A58" w:rsidP="005D5A58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Sant Joan d'Alacant</w:t>
            </w:r>
          </w:p>
        </w:tc>
        <w:tc>
          <w:tcPr>
            <w:tcW w:w="1843" w:type="dxa"/>
            <w:shd w:val="clear" w:color="auto" w:fill="D5DCE4" w:themeFill="text2" w:themeFillTint="33"/>
            <w:noWrap/>
            <w:vAlign w:val="bottom"/>
          </w:tcPr>
          <w:p w14:paraId="2A231047" w14:textId="59FCA4ED" w:rsidR="005D5A58" w:rsidRPr="000257B1" w:rsidRDefault="005D5A58" w:rsidP="005D5A58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shd w:val="clear" w:color="auto" w:fill="D5DCE4" w:themeFill="text2" w:themeFillTint="33"/>
            <w:vAlign w:val="bottom"/>
          </w:tcPr>
          <w:p w14:paraId="1E344EE8" w14:textId="4A101156" w:rsidR="005D5A58" w:rsidRPr="000257B1" w:rsidRDefault="005D5A58" w:rsidP="005D5A58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56,77 €</w:t>
            </w:r>
          </w:p>
        </w:tc>
        <w:tc>
          <w:tcPr>
            <w:tcW w:w="1530" w:type="dxa"/>
            <w:shd w:val="clear" w:color="auto" w:fill="D5DCE4" w:themeFill="text2" w:themeFillTint="33"/>
            <w:noWrap/>
            <w:vAlign w:val="bottom"/>
          </w:tcPr>
          <w:p w14:paraId="57C3EF53" w14:textId="37544048" w:rsidR="005D5A58" w:rsidRPr="000257B1" w:rsidRDefault="005D5A58" w:rsidP="005D5A58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5D5A58" w:rsidRPr="008321EB" w14:paraId="373CE556" w14:textId="77777777" w:rsidTr="003A48F9">
        <w:trPr>
          <w:trHeight w:val="20"/>
        </w:trPr>
        <w:tc>
          <w:tcPr>
            <w:tcW w:w="1691" w:type="dxa"/>
            <w:shd w:val="clear" w:color="000000" w:fill="8496B0"/>
            <w:vAlign w:val="bottom"/>
          </w:tcPr>
          <w:p w14:paraId="1670A337" w14:textId="4474B4A3" w:rsidR="005D5A58" w:rsidRPr="005D5A58" w:rsidRDefault="005D5A58" w:rsidP="005D5A58">
            <w:pPr>
              <w:rPr>
                <w:rFonts w:ascii="Open Sans" w:hAnsi="Open Sans" w:cs="Open Sans"/>
                <w:color w:val="FFFFFF" w:themeColor="background1"/>
                <w:sz w:val="20"/>
                <w:szCs w:val="20"/>
              </w:rPr>
            </w:pPr>
            <w:r w:rsidRPr="005D5A58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Alicante</w:t>
            </w:r>
          </w:p>
        </w:tc>
        <w:tc>
          <w:tcPr>
            <w:tcW w:w="2563" w:type="dxa"/>
            <w:vAlign w:val="bottom"/>
          </w:tcPr>
          <w:p w14:paraId="53BA32C1" w14:textId="35EDDB25" w:rsidR="005D5A58" w:rsidRPr="000257B1" w:rsidRDefault="005D5A58" w:rsidP="005D5A58">
            <w:pPr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Torrevieja</w:t>
            </w:r>
          </w:p>
        </w:tc>
        <w:tc>
          <w:tcPr>
            <w:tcW w:w="1843" w:type="dxa"/>
            <w:noWrap/>
            <w:vAlign w:val="bottom"/>
          </w:tcPr>
          <w:p w14:paraId="7A322B3A" w14:textId="3632D1A4" w:rsidR="005D5A58" w:rsidRPr="000257B1" w:rsidRDefault="005D5A58" w:rsidP="005D5A58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1497" w:type="dxa"/>
            <w:vAlign w:val="bottom"/>
          </w:tcPr>
          <w:p w14:paraId="71B13D63" w14:textId="7942C68C" w:rsidR="005D5A58" w:rsidRPr="000257B1" w:rsidRDefault="005D5A58" w:rsidP="005D5A58">
            <w:pPr>
              <w:jc w:val="center"/>
              <w:rPr>
                <w:rFonts w:ascii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78,41 €</w:t>
            </w:r>
          </w:p>
        </w:tc>
        <w:tc>
          <w:tcPr>
            <w:tcW w:w="1530" w:type="dxa"/>
            <w:noWrap/>
            <w:vAlign w:val="bottom"/>
          </w:tcPr>
          <w:p w14:paraId="378CFFC4" w14:textId="5E6F25E7" w:rsidR="005D5A58" w:rsidRPr="000257B1" w:rsidRDefault="005D5A58" w:rsidP="005D5A58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</w:tbl>
    <w:p w14:paraId="339EBC83" w14:textId="566B060B" w:rsidR="00996074" w:rsidRDefault="00996074" w:rsidP="00996074">
      <w:pPr>
        <w:pStyle w:val="NormalWeb"/>
        <w:shd w:val="clear" w:color="auto" w:fill="FFFFFF"/>
        <w:spacing w:after="225" w:line="276" w:lineRule="auto"/>
        <w:ind w:right="-574"/>
        <w:jc w:val="both"/>
        <w:rPr>
          <w:rFonts w:ascii="National" w:eastAsiaTheme="minorHAnsi" w:hAnsi="National" w:cstheme="minorBidi"/>
          <w:b/>
          <w:bCs/>
          <w:iCs/>
          <w:color w:val="303AB2"/>
          <w:sz w:val="30"/>
          <w:szCs w:val="180"/>
          <w:lang w:eastAsia="en-US"/>
        </w:rPr>
      </w:pPr>
      <w:r w:rsidRPr="0014007A">
        <w:rPr>
          <w:rFonts w:ascii="National" w:eastAsiaTheme="minorHAnsi" w:hAnsi="National" w:cstheme="minorBidi"/>
          <w:b/>
          <w:bCs/>
          <w:iCs/>
          <w:color w:val="303AB2"/>
          <w:sz w:val="30"/>
          <w:szCs w:val="180"/>
          <w:lang w:eastAsia="en-US"/>
        </w:rPr>
        <w:t xml:space="preserve">Por </w:t>
      </w:r>
      <w:r>
        <w:rPr>
          <w:rFonts w:ascii="National" w:eastAsiaTheme="minorHAnsi" w:hAnsi="National" w:cstheme="minorBidi"/>
          <w:b/>
          <w:bCs/>
          <w:iCs/>
          <w:color w:val="303AB2"/>
          <w:sz w:val="30"/>
          <w:szCs w:val="180"/>
          <w:lang w:eastAsia="en-US"/>
        </w:rPr>
        <w:t>distritos</w:t>
      </w:r>
      <w:r w:rsidR="00204752">
        <w:rPr>
          <w:rFonts w:ascii="National" w:eastAsiaTheme="minorHAnsi" w:hAnsi="National" w:cstheme="minorBidi"/>
          <w:b/>
          <w:bCs/>
          <w:iCs/>
          <w:color w:val="303AB2"/>
          <w:sz w:val="30"/>
          <w:szCs w:val="180"/>
          <w:lang w:eastAsia="en-US"/>
        </w:rPr>
        <w:t xml:space="preserve"> de Madrid </w:t>
      </w:r>
    </w:p>
    <w:p w14:paraId="4450E274" w14:textId="65946B65" w:rsidR="00686B2E" w:rsidRDefault="00B56FA1" w:rsidP="00686B2E">
      <w:pPr>
        <w:pStyle w:val="NormalWeb"/>
        <w:shd w:val="clear" w:color="auto" w:fill="FFFFFF"/>
        <w:spacing w:after="225" w:line="276" w:lineRule="auto"/>
        <w:ind w:right="-574"/>
        <w:jc w:val="both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color w:val="000000"/>
          <w:sz w:val="22"/>
          <w:szCs w:val="22"/>
        </w:rPr>
        <w:t>En</w:t>
      </w:r>
      <w:r w:rsidR="00996074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686B2E">
        <w:rPr>
          <w:rFonts w:ascii="Open Sans" w:hAnsi="Open Sans" w:cs="Open Sans"/>
          <w:color w:val="000000"/>
          <w:sz w:val="22"/>
          <w:szCs w:val="22"/>
        </w:rPr>
        <w:t>nueve</w:t>
      </w:r>
      <w:r w:rsidR="00996074">
        <w:rPr>
          <w:rFonts w:ascii="Open Sans" w:hAnsi="Open Sans" w:cs="Open Sans"/>
          <w:color w:val="000000"/>
          <w:sz w:val="22"/>
          <w:szCs w:val="22"/>
        </w:rPr>
        <w:t xml:space="preserve"> de los </w:t>
      </w:r>
      <w:r w:rsidR="00BE6D3E">
        <w:rPr>
          <w:rFonts w:ascii="Open Sans" w:hAnsi="Open Sans" w:cs="Open Sans"/>
          <w:color w:val="000000"/>
          <w:sz w:val="22"/>
          <w:szCs w:val="22"/>
        </w:rPr>
        <w:t>1</w:t>
      </w:r>
      <w:r w:rsidR="00686B2E">
        <w:rPr>
          <w:rFonts w:ascii="Open Sans" w:hAnsi="Open Sans" w:cs="Open Sans"/>
          <w:color w:val="000000"/>
          <w:sz w:val="22"/>
          <w:szCs w:val="22"/>
        </w:rPr>
        <w:t>7</w:t>
      </w:r>
      <w:r w:rsidR="00996074">
        <w:rPr>
          <w:rFonts w:ascii="Open Sans" w:hAnsi="Open Sans" w:cs="Open Sans"/>
          <w:color w:val="000000"/>
          <w:sz w:val="22"/>
          <w:szCs w:val="22"/>
        </w:rPr>
        <w:t xml:space="preserve"> distritos analizados de </w:t>
      </w:r>
      <w:r w:rsidR="00996074" w:rsidRPr="00996074">
        <w:rPr>
          <w:rFonts w:ascii="Open Sans" w:hAnsi="Open Sans" w:cs="Open Sans"/>
          <w:b/>
          <w:bCs/>
          <w:color w:val="000000"/>
          <w:sz w:val="22"/>
          <w:szCs w:val="22"/>
        </w:rPr>
        <w:t>Madrid</w:t>
      </w:r>
      <w:r w:rsidR="00996074">
        <w:rPr>
          <w:rFonts w:ascii="Open Sans" w:hAnsi="Open Sans" w:cs="Open Sans"/>
          <w:color w:val="000000"/>
          <w:sz w:val="22"/>
          <w:szCs w:val="22"/>
        </w:rPr>
        <w:t xml:space="preserve"> el precio de los garajes </w:t>
      </w:r>
      <w:r w:rsidR="00B87DE5">
        <w:rPr>
          <w:rFonts w:ascii="Open Sans" w:hAnsi="Open Sans" w:cs="Open Sans"/>
          <w:color w:val="000000"/>
          <w:sz w:val="22"/>
          <w:szCs w:val="22"/>
        </w:rPr>
        <w:t xml:space="preserve">en alquiler ha subido </w:t>
      </w:r>
      <w:r w:rsidR="00530E3C">
        <w:rPr>
          <w:rFonts w:ascii="Open Sans" w:hAnsi="Open Sans" w:cs="Open Sans"/>
          <w:color w:val="000000"/>
          <w:sz w:val="22"/>
          <w:szCs w:val="22"/>
        </w:rPr>
        <w:t>en 202</w:t>
      </w:r>
      <w:r w:rsidR="00686B2E">
        <w:rPr>
          <w:rFonts w:ascii="Open Sans" w:hAnsi="Open Sans" w:cs="Open Sans"/>
          <w:color w:val="000000"/>
          <w:sz w:val="22"/>
          <w:szCs w:val="22"/>
        </w:rPr>
        <w:t>5</w:t>
      </w:r>
      <w:r w:rsidR="00530E3C">
        <w:rPr>
          <w:rFonts w:ascii="Open Sans" w:hAnsi="Open Sans" w:cs="Open Sans"/>
          <w:color w:val="000000"/>
          <w:sz w:val="22"/>
          <w:szCs w:val="22"/>
        </w:rPr>
        <w:t xml:space="preserve">. </w:t>
      </w:r>
      <w:r w:rsidR="00996074">
        <w:rPr>
          <w:rFonts w:ascii="Open Sans" w:hAnsi="Open Sans" w:cs="Open Sans"/>
          <w:color w:val="000000"/>
          <w:sz w:val="22"/>
          <w:szCs w:val="22"/>
        </w:rPr>
        <w:t xml:space="preserve">El distrito con mayor </w:t>
      </w:r>
      <w:r w:rsidR="000A6376">
        <w:rPr>
          <w:rFonts w:ascii="Open Sans" w:hAnsi="Open Sans" w:cs="Open Sans"/>
          <w:color w:val="000000"/>
          <w:sz w:val="22"/>
          <w:szCs w:val="22"/>
        </w:rPr>
        <w:t>subida</w:t>
      </w:r>
      <w:r w:rsidR="00996074">
        <w:rPr>
          <w:rFonts w:ascii="Open Sans" w:hAnsi="Open Sans" w:cs="Open Sans"/>
          <w:color w:val="000000"/>
          <w:sz w:val="22"/>
          <w:szCs w:val="22"/>
        </w:rPr>
        <w:t xml:space="preserve"> de precios</w:t>
      </w:r>
      <w:r w:rsidR="00530E3C">
        <w:rPr>
          <w:rFonts w:ascii="Open Sans" w:hAnsi="Open Sans" w:cs="Open Sans"/>
          <w:color w:val="000000"/>
          <w:sz w:val="22"/>
          <w:szCs w:val="22"/>
        </w:rPr>
        <w:t xml:space="preserve"> anual</w:t>
      </w:r>
      <w:r w:rsidR="00996074">
        <w:rPr>
          <w:rFonts w:ascii="Open Sans" w:hAnsi="Open Sans" w:cs="Open Sans"/>
          <w:color w:val="000000"/>
          <w:sz w:val="22"/>
          <w:szCs w:val="22"/>
        </w:rPr>
        <w:t xml:space="preserve"> es </w:t>
      </w:r>
      <w:r w:rsidR="00686B2E" w:rsidRPr="00686B2E">
        <w:rPr>
          <w:rFonts w:ascii="Open Sans" w:hAnsi="Open Sans" w:cs="Open Sans"/>
          <w:color w:val="000000"/>
          <w:sz w:val="22"/>
          <w:szCs w:val="22"/>
        </w:rPr>
        <w:t>Vicálvaro</w:t>
      </w:r>
      <w:r w:rsidR="00686B2E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686B2E" w:rsidRPr="00686B2E">
        <w:rPr>
          <w:rFonts w:ascii="Open Sans" w:hAnsi="Open Sans" w:cs="Open Sans"/>
          <w:color w:val="000000"/>
          <w:sz w:val="22"/>
          <w:szCs w:val="22"/>
        </w:rPr>
        <w:t>7,3%</w:t>
      </w:r>
      <w:r w:rsidR="00686B2E">
        <w:rPr>
          <w:rFonts w:ascii="Open Sans" w:hAnsi="Open Sans" w:cs="Open Sans"/>
          <w:color w:val="000000"/>
          <w:sz w:val="22"/>
          <w:szCs w:val="22"/>
        </w:rPr>
        <w:t xml:space="preserve">), </w:t>
      </w:r>
      <w:r w:rsidR="00686B2E" w:rsidRPr="00686B2E">
        <w:rPr>
          <w:rFonts w:ascii="Open Sans" w:hAnsi="Open Sans" w:cs="Open Sans"/>
          <w:color w:val="000000"/>
          <w:sz w:val="22"/>
          <w:szCs w:val="22"/>
        </w:rPr>
        <w:t>Carabanchel</w:t>
      </w:r>
      <w:r w:rsidR="00686B2E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686B2E" w:rsidRPr="00686B2E">
        <w:rPr>
          <w:rFonts w:ascii="Open Sans" w:hAnsi="Open Sans" w:cs="Open Sans"/>
          <w:color w:val="000000"/>
          <w:sz w:val="22"/>
          <w:szCs w:val="22"/>
        </w:rPr>
        <w:t>3,3%</w:t>
      </w:r>
      <w:r w:rsidR="00686B2E">
        <w:rPr>
          <w:rFonts w:ascii="Open Sans" w:hAnsi="Open Sans" w:cs="Open Sans"/>
          <w:color w:val="000000"/>
          <w:sz w:val="22"/>
          <w:szCs w:val="22"/>
        </w:rPr>
        <w:t xml:space="preserve">), </w:t>
      </w:r>
      <w:r w:rsidR="00686B2E" w:rsidRPr="00686B2E">
        <w:rPr>
          <w:rFonts w:ascii="Open Sans" w:hAnsi="Open Sans" w:cs="Open Sans"/>
          <w:color w:val="000000"/>
          <w:sz w:val="22"/>
          <w:szCs w:val="22"/>
        </w:rPr>
        <w:t>Ciudad Lineal</w:t>
      </w:r>
      <w:r w:rsidR="00686B2E" w:rsidRPr="00686B2E">
        <w:rPr>
          <w:rFonts w:ascii="Open Sans" w:hAnsi="Open Sans" w:cs="Open Sans"/>
          <w:color w:val="000000"/>
          <w:sz w:val="22"/>
          <w:szCs w:val="22"/>
        </w:rPr>
        <w:tab/>
      </w:r>
      <w:r w:rsidR="00686B2E">
        <w:rPr>
          <w:rFonts w:ascii="Open Sans" w:hAnsi="Open Sans" w:cs="Open Sans"/>
          <w:color w:val="000000"/>
          <w:sz w:val="22"/>
          <w:szCs w:val="22"/>
        </w:rPr>
        <w:t>(</w:t>
      </w:r>
      <w:r w:rsidR="00686B2E" w:rsidRPr="00686B2E">
        <w:rPr>
          <w:rFonts w:ascii="Open Sans" w:hAnsi="Open Sans" w:cs="Open Sans"/>
          <w:color w:val="000000"/>
          <w:sz w:val="22"/>
          <w:szCs w:val="22"/>
        </w:rPr>
        <w:t>2,3%</w:t>
      </w:r>
      <w:r w:rsidR="00686B2E">
        <w:rPr>
          <w:rFonts w:ascii="Open Sans" w:hAnsi="Open Sans" w:cs="Open Sans"/>
          <w:color w:val="000000"/>
          <w:sz w:val="22"/>
          <w:szCs w:val="22"/>
        </w:rPr>
        <w:t xml:space="preserve">), </w:t>
      </w:r>
      <w:r w:rsidR="00686B2E" w:rsidRPr="00686B2E">
        <w:rPr>
          <w:rFonts w:ascii="Open Sans" w:hAnsi="Open Sans" w:cs="Open Sans"/>
          <w:color w:val="000000"/>
          <w:sz w:val="22"/>
          <w:szCs w:val="22"/>
        </w:rPr>
        <w:t>Fuencarral - El Pardo</w:t>
      </w:r>
      <w:r w:rsidR="00686B2E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686B2E" w:rsidRPr="00686B2E">
        <w:rPr>
          <w:rFonts w:ascii="Open Sans" w:hAnsi="Open Sans" w:cs="Open Sans"/>
          <w:color w:val="000000"/>
          <w:sz w:val="22"/>
          <w:szCs w:val="22"/>
        </w:rPr>
        <w:t>2,1%</w:t>
      </w:r>
      <w:r w:rsidR="00686B2E">
        <w:rPr>
          <w:rFonts w:ascii="Open Sans" w:hAnsi="Open Sans" w:cs="Open Sans"/>
          <w:color w:val="000000"/>
          <w:sz w:val="22"/>
          <w:szCs w:val="22"/>
        </w:rPr>
        <w:t xml:space="preserve">), </w:t>
      </w:r>
      <w:r w:rsidR="00686B2E" w:rsidRPr="00686B2E">
        <w:rPr>
          <w:rFonts w:ascii="Open Sans" w:hAnsi="Open Sans" w:cs="Open Sans"/>
          <w:color w:val="000000"/>
          <w:sz w:val="22"/>
          <w:szCs w:val="22"/>
        </w:rPr>
        <w:t>Retiro</w:t>
      </w:r>
      <w:r w:rsidR="00686B2E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686B2E" w:rsidRPr="00686B2E">
        <w:rPr>
          <w:rFonts w:ascii="Open Sans" w:hAnsi="Open Sans" w:cs="Open Sans"/>
          <w:color w:val="000000"/>
          <w:sz w:val="22"/>
          <w:szCs w:val="22"/>
        </w:rPr>
        <w:t>2,0%</w:t>
      </w:r>
      <w:r w:rsidR="00686B2E">
        <w:rPr>
          <w:rFonts w:ascii="Open Sans" w:hAnsi="Open Sans" w:cs="Open Sans"/>
          <w:color w:val="000000"/>
          <w:sz w:val="22"/>
          <w:szCs w:val="22"/>
        </w:rPr>
        <w:t xml:space="preserve">), </w:t>
      </w:r>
      <w:r w:rsidR="00686B2E" w:rsidRPr="00686B2E">
        <w:rPr>
          <w:rFonts w:ascii="Open Sans" w:hAnsi="Open Sans" w:cs="Open Sans"/>
          <w:color w:val="000000"/>
          <w:sz w:val="22"/>
          <w:szCs w:val="22"/>
        </w:rPr>
        <w:t>Barrio de Salamanca</w:t>
      </w:r>
      <w:r w:rsidR="00686B2E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686B2E" w:rsidRPr="00686B2E">
        <w:rPr>
          <w:rFonts w:ascii="Open Sans" w:hAnsi="Open Sans" w:cs="Open Sans"/>
          <w:color w:val="000000"/>
          <w:sz w:val="22"/>
          <w:szCs w:val="22"/>
        </w:rPr>
        <w:t>1,9%</w:t>
      </w:r>
      <w:r w:rsidR="00686B2E">
        <w:rPr>
          <w:rFonts w:ascii="Open Sans" w:hAnsi="Open Sans" w:cs="Open Sans"/>
          <w:color w:val="000000"/>
          <w:sz w:val="22"/>
          <w:szCs w:val="22"/>
        </w:rPr>
        <w:t xml:space="preserve">), </w:t>
      </w:r>
      <w:r w:rsidR="00686B2E" w:rsidRPr="00686B2E">
        <w:rPr>
          <w:rFonts w:ascii="Open Sans" w:hAnsi="Open Sans" w:cs="Open Sans"/>
          <w:color w:val="000000"/>
          <w:sz w:val="22"/>
          <w:szCs w:val="22"/>
        </w:rPr>
        <w:t>Villa de Vallecas</w:t>
      </w:r>
      <w:r w:rsidR="00686B2E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686B2E" w:rsidRPr="00686B2E">
        <w:rPr>
          <w:rFonts w:ascii="Open Sans" w:hAnsi="Open Sans" w:cs="Open Sans"/>
          <w:color w:val="000000"/>
          <w:sz w:val="22"/>
          <w:szCs w:val="22"/>
        </w:rPr>
        <w:t>1,7%</w:t>
      </w:r>
      <w:r w:rsidR="00686B2E">
        <w:rPr>
          <w:rFonts w:ascii="Open Sans" w:hAnsi="Open Sans" w:cs="Open Sans"/>
          <w:color w:val="000000"/>
          <w:sz w:val="22"/>
          <w:szCs w:val="22"/>
        </w:rPr>
        <w:t xml:space="preserve">), </w:t>
      </w:r>
      <w:r w:rsidR="00686B2E" w:rsidRPr="00686B2E">
        <w:rPr>
          <w:rFonts w:ascii="Open Sans" w:hAnsi="Open Sans" w:cs="Open Sans"/>
          <w:color w:val="000000"/>
          <w:sz w:val="22"/>
          <w:szCs w:val="22"/>
        </w:rPr>
        <w:t>Hortaleza</w:t>
      </w:r>
      <w:r w:rsidR="00686B2E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686B2E" w:rsidRPr="00686B2E">
        <w:rPr>
          <w:rFonts w:ascii="Open Sans" w:hAnsi="Open Sans" w:cs="Open Sans"/>
          <w:color w:val="000000"/>
          <w:sz w:val="22"/>
          <w:szCs w:val="22"/>
        </w:rPr>
        <w:t>0,8%</w:t>
      </w:r>
      <w:r w:rsidR="00686B2E">
        <w:rPr>
          <w:rFonts w:ascii="Open Sans" w:hAnsi="Open Sans" w:cs="Open Sans"/>
          <w:color w:val="000000"/>
          <w:sz w:val="22"/>
          <w:szCs w:val="22"/>
        </w:rPr>
        <w:t xml:space="preserve">) y </w:t>
      </w:r>
      <w:r w:rsidR="00686B2E" w:rsidRPr="00686B2E">
        <w:rPr>
          <w:rFonts w:ascii="Open Sans" w:hAnsi="Open Sans" w:cs="Open Sans"/>
          <w:color w:val="000000"/>
          <w:sz w:val="22"/>
          <w:szCs w:val="22"/>
        </w:rPr>
        <w:t>San Blas</w:t>
      </w:r>
      <w:r w:rsidR="00686B2E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686B2E" w:rsidRPr="00686B2E">
        <w:rPr>
          <w:rFonts w:ascii="Open Sans" w:hAnsi="Open Sans" w:cs="Open Sans"/>
          <w:color w:val="000000"/>
          <w:sz w:val="22"/>
          <w:szCs w:val="22"/>
        </w:rPr>
        <w:t>0,7%</w:t>
      </w:r>
      <w:r w:rsidR="00686B2E">
        <w:rPr>
          <w:rFonts w:ascii="Open Sans" w:hAnsi="Open Sans" w:cs="Open Sans"/>
          <w:color w:val="000000"/>
          <w:sz w:val="22"/>
          <w:szCs w:val="22"/>
        </w:rPr>
        <w:t>). Por otro lado, los distritos en donde se producen descensos en los precios son:</w:t>
      </w:r>
      <w:r w:rsidR="00686B2E" w:rsidRPr="00686B2E">
        <w:t xml:space="preserve"> </w:t>
      </w:r>
      <w:r w:rsidR="00686B2E" w:rsidRPr="00686B2E">
        <w:rPr>
          <w:rFonts w:ascii="Open Sans" w:hAnsi="Open Sans" w:cs="Open Sans"/>
          <w:color w:val="000000"/>
          <w:sz w:val="22"/>
          <w:szCs w:val="22"/>
        </w:rPr>
        <w:t>Centro</w:t>
      </w:r>
      <w:r w:rsidR="00686B2E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686B2E" w:rsidRPr="00686B2E">
        <w:rPr>
          <w:rFonts w:ascii="Open Sans" w:hAnsi="Open Sans" w:cs="Open Sans"/>
          <w:color w:val="000000"/>
          <w:sz w:val="22"/>
          <w:szCs w:val="22"/>
        </w:rPr>
        <w:t>-5,3%</w:t>
      </w:r>
      <w:r w:rsidR="00686B2E">
        <w:rPr>
          <w:rFonts w:ascii="Open Sans" w:hAnsi="Open Sans" w:cs="Open Sans"/>
          <w:color w:val="000000"/>
          <w:sz w:val="22"/>
          <w:szCs w:val="22"/>
        </w:rPr>
        <w:t xml:space="preserve">), </w:t>
      </w:r>
      <w:r w:rsidR="00686B2E" w:rsidRPr="00686B2E">
        <w:rPr>
          <w:rFonts w:ascii="Open Sans" w:hAnsi="Open Sans" w:cs="Open Sans"/>
          <w:color w:val="000000"/>
          <w:sz w:val="22"/>
          <w:szCs w:val="22"/>
        </w:rPr>
        <w:t>Puente de Vallecas</w:t>
      </w:r>
      <w:r w:rsidR="00686B2E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686B2E" w:rsidRPr="00686B2E">
        <w:rPr>
          <w:rFonts w:ascii="Open Sans" w:hAnsi="Open Sans" w:cs="Open Sans"/>
          <w:color w:val="000000"/>
          <w:sz w:val="22"/>
          <w:szCs w:val="22"/>
        </w:rPr>
        <w:t>-3,2%</w:t>
      </w:r>
      <w:r w:rsidR="00686B2E">
        <w:rPr>
          <w:rFonts w:ascii="Open Sans" w:hAnsi="Open Sans" w:cs="Open Sans"/>
          <w:color w:val="000000"/>
          <w:sz w:val="22"/>
          <w:szCs w:val="22"/>
        </w:rPr>
        <w:t xml:space="preserve">), </w:t>
      </w:r>
      <w:r w:rsidR="00686B2E" w:rsidRPr="00686B2E">
        <w:rPr>
          <w:rFonts w:ascii="Open Sans" w:hAnsi="Open Sans" w:cs="Open Sans"/>
          <w:color w:val="000000"/>
          <w:sz w:val="22"/>
          <w:szCs w:val="22"/>
        </w:rPr>
        <w:t>Chamberí</w:t>
      </w:r>
      <w:r w:rsidR="00686B2E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686B2E" w:rsidRPr="00686B2E">
        <w:rPr>
          <w:rFonts w:ascii="Open Sans" w:hAnsi="Open Sans" w:cs="Open Sans"/>
          <w:color w:val="000000"/>
          <w:sz w:val="22"/>
          <w:szCs w:val="22"/>
        </w:rPr>
        <w:t>-3,0%</w:t>
      </w:r>
      <w:r w:rsidR="00686B2E">
        <w:rPr>
          <w:rFonts w:ascii="Open Sans" w:hAnsi="Open Sans" w:cs="Open Sans"/>
          <w:color w:val="000000"/>
          <w:sz w:val="22"/>
          <w:szCs w:val="22"/>
        </w:rPr>
        <w:t xml:space="preserve">), </w:t>
      </w:r>
      <w:r w:rsidR="00686B2E" w:rsidRPr="00686B2E">
        <w:rPr>
          <w:rFonts w:ascii="Open Sans" w:hAnsi="Open Sans" w:cs="Open Sans"/>
          <w:color w:val="000000"/>
          <w:sz w:val="22"/>
          <w:szCs w:val="22"/>
        </w:rPr>
        <w:t>Latina</w:t>
      </w:r>
      <w:r w:rsidR="00686B2E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686B2E" w:rsidRPr="00686B2E">
        <w:rPr>
          <w:rFonts w:ascii="Open Sans" w:hAnsi="Open Sans" w:cs="Open Sans"/>
          <w:color w:val="000000"/>
          <w:sz w:val="22"/>
          <w:szCs w:val="22"/>
        </w:rPr>
        <w:t>-2,8%</w:t>
      </w:r>
      <w:r w:rsidR="00686B2E">
        <w:rPr>
          <w:rFonts w:ascii="Open Sans" w:hAnsi="Open Sans" w:cs="Open Sans"/>
          <w:color w:val="000000"/>
          <w:sz w:val="22"/>
          <w:szCs w:val="22"/>
        </w:rPr>
        <w:t xml:space="preserve">), </w:t>
      </w:r>
      <w:r w:rsidR="00686B2E" w:rsidRPr="00686B2E">
        <w:rPr>
          <w:rFonts w:ascii="Open Sans" w:hAnsi="Open Sans" w:cs="Open Sans"/>
          <w:color w:val="000000"/>
          <w:sz w:val="22"/>
          <w:szCs w:val="22"/>
        </w:rPr>
        <w:t>Chamartín</w:t>
      </w:r>
      <w:r w:rsidR="00686B2E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686B2E" w:rsidRPr="00686B2E">
        <w:rPr>
          <w:rFonts w:ascii="Open Sans" w:hAnsi="Open Sans" w:cs="Open Sans"/>
          <w:color w:val="000000"/>
          <w:sz w:val="22"/>
          <w:szCs w:val="22"/>
        </w:rPr>
        <w:t>-2,7%</w:t>
      </w:r>
      <w:r w:rsidR="00686B2E">
        <w:rPr>
          <w:rFonts w:ascii="Open Sans" w:hAnsi="Open Sans" w:cs="Open Sans"/>
          <w:color w:val="000000"/>
          <w:sz w:val="22"/>
          <w:szCs w:val="22"/>
        </w:rPr>
        <w:t xml:space="preserve">), </w:t>
      </w:r>
      <w:r w:rsidR="00686B2E" w:rsidRPr="00686B2E">
        <w:rPr>
          <w:rFonts w:ascii="Open Sans" w:hAnsi="Open Sans" w:cs="Open Sans"/>
          <w:color w:val="000000"/>
          <w:sz w:val="22"/>
          <w:szCs w:val="22"/>
        </w:rPr>
        <w:t>Tetuán</w:t>
      </w:r>
      <w:r w:rsidR="00686B2E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686B2E" w:rsidRPr="00686B2E">
        <w:rPr>
          <w:rFonts w:ascii="Open Sans" w:hAnsi="Open Sans" w:cs="Open Sans"/>
          <w:color w:val="000000"/>
          <w:sz w:val="22"/>
          <w:szCs w:val="22"/>
        </w:rPr>
        <w:t>-1,6%</w:t>
      </w:r>
      <w:r w:rsidR="00686B2E">
        <w:rPr>
          <w:rFonts w:ascii="Open Sans" w:hAnsi="Open Sans" w:cs="Open Sans"/>
          <w:color w:val="000000"/>
          <w:sz w:val="22"/>
          <w:szCs w:val="22"/>
        </w:rPr>
        <w:t xml:space="preserve">), </w:t>
      </w:r>
      <w:r w:rsidR="00686B2E" w:rsidRPr="00686B2E">
        <w:rPr>
          <w:rFonts w:ascii="Open Sans" w:hAnsi="Open Sans" w:cs="Open Sans"/>
          <w:color w:val="000000"/>
          <w:sz w:val="22"/>
          <w:szCs w:val="22"/>
        </w:rPr>
        <w:t>Moncloa - Aravaca</w:t>
      </w:r>
      <w:r w:rsidR="00686B2E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686B2E" w:rsidRPr="00686B2E">
        <w:rPr>
          <w:rFonts w:ascii="Open Sans" w:hAnsi="Open Sans" w:cs="Open Sans"/>
          <w:color w:val="000000"/>
          <w:sz w:val="22"/>
          <w:szCs w:val="22"/>
        </w:rPr>
        <w:t>-1,6%</w:t>
      </w:r>
      <w:r w:rsidR="00686B2E">
        <w:rPr>
          <w:rFonts w:ascii="Open Sans" w:hAnsi="Open Sans" w:cs="Open Sans"/>
          <w:color w:val="000000"/>
          <w:sz w:val="22"/>
          <w:szCs w:val="22"/>
        </w:rPr>
        <w:t xml:space="preserve">) y </w:t>
      </w:r>
      <w:r w:rsidR="00686B2E" w:rsidRPr="00686B2E">
        <w:rPr>
          <w:rFonts w:ascii="Open Sans" w:hAnsi="Open Sans" w:cs="Open Sans"/>
          <w:color w:val="000000"/>
          <w:sz w:val="22"/>
          <w:szCs w:val="22"/>
        </w:rPr>
        <w:t>Arganzuela</w:t>
      </w:r>
      <w:r w:rsidR="00686B2E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686B2E" w:rsidRPr="00686B2E">
        <w:rPr>
          <w:rFonts w:ascii="Open Sans" w:hAnsi="Open Sans" w:cs="Open Sans"/>
          <w:color w:val="000000"/>
          <w:sz w:val="22"/>
          <w:szCs w:val="22"/>
        </w:rPr>
        <w:t>-0,2%</w:t>
      </w:r>
      <w:r w:rsidR="00686B2E">
        <w:rPr>
          <w:rFonts w:ascii="Open Sans" w:hAnsi="Open Sans" w:cs="Open Sans"/>
          <w:color w:val="000000"/>
          <w:sz w:val="22"/>
          <w:szCs w:val="22"/>
        </w:rPr>
        <w:t>).</w:t>
      </w:r>
    </w:p>
    <w:p w14:paraId="7D2A43A7" w14:textId="18BACA05" w:rsidR="001D5C4A" w:rsidRDefault="00996074" w:rsidP="001D5C4A">
      <w:pPr>
        <w:pStyle w:val="NormalWeb"/>
        <w:shd w:val="clear" w:color="auto" w:fill="FFFFFF"/>
        <w:spacing w:after="225" w:line="276" w:lineRule="auto"/>
        <w:ind w:right="-574"/>
        <w:jc w:val="both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color w:val="000000"/>
          <w:sz w:val="22"/>
          <w:szCs w:val="22"/>
        </w:rPr>
        <w:t xml:space="preserve">En cuanto a los precios, los garajes en </w:t>
      </w:r>
      <w:r w:rsidR="001D5C4A">
        <w:rPr>
          <w:rFonts w:ascii="Open Sans" w:hAnsi="Open Sans" w:cs="Open Sans"/>
          <w:color w:val="000000"/>
          <w:sz w:val="22"/>
          <w:szCs w:val="22"/>
        </w:rPr>
        <w:t>alquiler</w:t>
      </w:r>
      <w:r>
        <w:rPr>
          <w:rFonts w:ascii="Open Sans" w:hAnsi="Open Sans" w:cs="Open Sans"/>
          <w:color w:val="000000"/>
          <w:sz w:val="22"/>
          <w:szCs w:val="22"/>
        </w:rPr>
        <w:t xml:space="preserve"> más caros se encuentran en el distrito de </w:t>
      </w:r>
      <w:r w:rsidR="001D5C4A" w:rsidRPr="001D5C4A">
        <w:rPr>
          <w:rFonts w:ascii="Open Sans" w:hAnsi="Open Sans" w:cs="Open Sans"/>
          <w:color w:val="000000"/>
          <w:sz w:val="22"/>
          <w:szCs w:val="22"/>
        </w:rPr>
        <w:t xml:space="preserve">Chamberí </w:t>
      </w:r>
      <w:r w:rsidR="001D5C4A">
        <w:rPr>
          <w:rFonts w:ascii="Open Sans" w:hAnsi="Open Sans" w:cs="Open Sans"/>
          <w:color w:val="000000"/>
          <w:sz w:val="22"/>
          <w:szCs w:val="22"/>
        </w:rPr>
        <w:t>con</w:t>
      </w:r>
      <w:r w:rsidR="001D5C4A" w:rsidRPr="001D5C4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1E094C">
        <w:rPr>
          <w:rFonts w:ascii="Open Sans" w:hAnsi="Open Sans" w:cs="Open Sans"/>
          <w:color w:val="000000"/>
          <w:sz w:val="22"/>
          <w:szCs w:val="22"/>
        </w:rPr>
        <w:t>125,27</w:t>
      </w:r>
      <w:r w:rsidR="001D5C4A" w:rsidRPr="001D5C4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1D5C4A">
        <w:rPr>
          <w:rFonts w:ascii="Open Sans" w:hAnsi="Open Sans" w:cs="Open Sans"/>
          <w:color w:val="000000"/>
          <w:sz w:val="22"/>
          <w:szCs w:val="22"/>
        </w:rPr>
        <w:t xml:space="preserve">euros al mes, </w:t>
      </w:r>
      <w:r w:rsidR="001D5C4A" w:rsidRPr="001D5C4A">
        <w:rPr>
          <w:rFonts w:ascii="Open Sans" w:hAnsi="Open Sans" w:cs="Open Sans"/>
          <w:color w:val="000000"/>
          <w:sz w:val="22"/>
          <w:szCs w:val="22"/>
        </w:rPr>
        <w:t>Centro</w:t>
      </w:r>
      <w:r w:rsidR="001D5C4A">
        <w:rPr>
          <w:rFonts w:ascii="Open Sans" w:hAnsi="Open Sans" w:cs="Open Sans"/>
          <w:color w:val="000000"/>
          <w:sz w:val="22"/>
          <w:szCs w:val="22"/>
        </w:rPr>
        <w:t xml:space="preserve"> con </w:t>
      </w:r>
      <w:r w:rsidR="001D5C4A" w:rsidRPr="001D5C4A">
        <w:rPr>
          <w:rFonts w:ascii="Open Sans" w:hAnsi="Open Sans" w:cs="Open Sans"/>
          <w:color w:val="000000"/>
          <w:sz w:val="22"/>
          <w:szCs w:val="22"/>
        </w:rPr>
        <w:t>12</w:t>
      </w:r>
      <w:r w:rsidR="001E094C">
        <w:rPr>
          <w:rFonts w:ascii="Open Sans" w:hAnsi="Open Sans" w:cs="Open Sans"/>
          <w:color w:val="000000"/>
          <w:sz w:val="22"/>
          <w:szCs w:val="22"/>
        </w:rPr>
        <w:t>0,57</w:t>
      </w:r>
      <w:r w:rsidR="001D5C4A" w:rsidRPr="001D5C4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1D5C4A">
        <w:rPr>
          <w:rFonts w:ascii="Open Sans" w:hAnsi="Open Sans" w:cs="Open Sans"/>
          <w:color w:val="000000"/>
          <w:sz w:val="22"/>
          <w:szCs w:val="22"/>
        </w:rPr>
        <w:t xml:space="preserve">euros al mes, </w:t>
      </w:r>
      <w:r w:rsidR="001D5C4A" w:rsidRPr="001D5C4A">
        <w:rPr>
          <w:rFonts w:ascii="Open Sans" w:hAnsi="Open Sans" w:cs="Open Sans"/>
          <w:color w:val="000000"/>
          <w:sz w:val="22"/>
          <w:szCs w:val="22"/>
        </w:rPr>
        <w:t>Barrio de Salamanca</w:t>
      </w:r>
      <w:r w:rsidR="001D5C4A">
        <w:rPr>
          <w:rFonts w:ascii="Open Sans" w:hAnsi="Open Sans" w:cs="Open Sans"/>
          <w:color w:val="000000"/>
          <w:sz w:val="22"/>
          <w:szCs w:val="22"/>
        </w:rPr>
        <w:t xml:space="preserve"> con </w:t>
      </w:r>
      <w:r w:rsidR="001D5C4A" w:rsidRPr="001D5C4A">
        <w:rPr>
          <w:rFonts w:ascii="Open Sans" w:hAnsi="Open Sans" w:cs="Open Sans"/>
          <w:color w:val="000000"/>
          <w:sz w:val="22"/>
          <w:szCs w:val="22"/>
        </w:rPr>
        <w:t>11</w:t>
      </w:r>
      <w:r w:rsidR="001E094C">
        <w:rPr>
          <w:rFonts w:ascii="Open Sans" w:hAnsi="Open Sans" w:cs="Open Sans"/>
          <w:color w:val="000000"/>
          <w:sz w:val="22"/>
          <w:szCs w:val="22"/>
        </w:rPr>
        <w:t>6</w:t>
      </w:r>
      <w:r w:rsidR="001D5C4A" w:rsidRPr="001D5C4A">
        <w:rPr>
          <w:rFonts w:ascii="Open Sans" w:hAnsi="Open Sans" w:cs="Open Sans"/>
          <w:color w:val="000000"/>
          <w:sz w:val="22"/>
          <w:szCs w:val="22"/>
        </w:rPr>
        <w:t>,</w:t>
      </w:r>
      <w:r w:rsidR="001E094C">
        <w:rPr>
          <w:rFonts w:ascii="Open Sans" w:hAnsi="Open Sans" w:cs="Open Sans"/>
          <w:color w:val="000000"/>
          <w:sz w:val="22"/>
          <w:szCs w:val="22"/>
        </w:rPr>
        <w:t>87</w:t>
      </w:r>
      <w:r w:rsidR="001D5C4A" w:rsidRPr="001D5C4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1D5C4A">
        <w:rPr>
          <w:rFonts w:ascii="Open Sans" w:hAnsi="Open Sans" w:cs="Open Sans"/>
          <w:color w:val="000000"/>
          <w:sz w:val="22"/>
          <w:szCs w:val="22"/>
        </w:rPr>
        <w:t xml:space="preserve">euros al mes y </w:t>
      </w:r>
      <w:r w:rsidR="001D5C4A" w:rsidRPr="001D5C4A">
        <w:rPr>
          <w:rFonts w:ascii="Open Sans" w:hAnsi="Open Sans" w:cs="Open Sans"/>
          <w:color w:val="000000"/>
          <w:sz w:val="22"/>
          <w:szCs w:val="22"/>
        </w:rPr>
        <w:t xml:space="preserve">Chamartín </w:t>
      </w:r>
      <w:r w:rsidR="001D5C4A">
        <w:rPr>
          <w:rFonts w:ascii="Open Sans" w:hAnsi="Open Sans" w:cs="Open Sans"/>
          <w:color w:val="000000"/>
          <w:sz w:val="22"/>
          <w:szCs w:val="22"/>
        </w:rPr>
        <w:t xml:space="preserve">con </w:t>
      </w:r>
      <w:r w:rsidR="001D5C4A" w:rsidRPr="001D5C4A">
        <w:rPr>
          <w:rFonts w:ascii="Open Sans" w:hAnsi="Open Sans" w:cs="Open Sans"/>
          <w:color w:val="000000"/>
          <w:sz w:val="22"/>
          <w:szCs w:val="22"/>
        </w:rPr>
        <w:t>10</w:t>
      </w:r>
      <w:r w:rsidR="001E094C">
        <w:rPr>
          <w:rFonts w:ascii="Open Sans" w:hAnsi="Open Sans" w:cs="Open Sans"/>
          <w:color w:val="000000"/>
          <w:sz w:val="22"/>
          <w:szCs w:val="22"/>
        </w:rPr>
        <w:t>2</w:t>
      </w:r>
      <w:r w:rsidR="001D5C4A" w:rsidRPr="001D5C4A">
        <w:rPr>
          <w:rFonts w:ascii="Open Sans" w:hAnsi="Open Sans" w:cs="Open Sans"/>
          <w:color w:val="000000"/>
          <w:sz w:val="22"/>
          <w:szCs w:val="22"/>
        </w:rPr>
        <w:t>,</w:t>
      </w:r>
      <w:r w:rsidR="001E094C">
        <w:rPr>
          <w:rFonts w:ascii="Open Sans" w:hAnsi="Open Sans" w:cs="Open Sans"/>
          <w:color w:val="000000"/>
          <w:sz w:val="22"/>
          <w:szCs w:val="22"/>
        </w:rPr>
        <w:t>53</w:t>
      </w:r>
      <w:r w:rsidR="001D5C4A" w:rsidRPr="001D5C4A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1D5C4A">
        <w:rPr>
          <w:rFonts w:ascii="Open Sans" w:hAnsi="Open Sans" w:cs="Open Sans"/>
          <w:color w:val="000000"/>
          <w:sz w:val="22"/>
          <w:szCs w:val="22"/>
        </w:rPr>
        <w:t>euros al mes.</w:t>
      </w:r>
    </w:p>
    <w:p w14:paraId="010E56BD" w14:textId="04AD927F" w:rsidR="00807BC2" w:rsidRDefault="00807BC2" w:rsidP="00807BC2">
      <w:pPr>
        <w:pStyle w:val="Prrafodelista"/>
        <w:spacing w:line="276" w:lineRule="auto"/>
        <w:ind w:left="0" w:right="-574"/>
        <w:jc w:val="center"/>
        <w:rPr>
          <w:rFonts w:ascii="National" w:hAnsi="National"/>
          <w:b/>
          <w:bCs/>
          <w:iCs/>
          <w:color w:val="303AB2"/>
          <w:sz w:val="28"/>
          <w:szCs w:val="160"/>
          <w:lang w:val="es-ES"/>
        </w:rPr>
      </w:pPr>
      <w:r>
        <w:rPr>
          <w:rFonts w:ascii="National" w:hAnsi="National"/>
          <w:b/>
          <w:bCs/>
          <w:iCs/>
          <w:color w:val="303AB2"/>
          <w:sz w:val="28"/>
          <w:szCs w:val="160"/>
          <w:lang w:val="es-ES"/>
        </w:rPr>
        <w:lastRenderedPageBreak/>
        <w:t xml:space="preserve">Precio medio </w:t>
      </w:r>
      <w:r w:rsidR="00D627AA">
        <w:rPr>
          <w:rFonts w:ascii="National" w:hAnsi="National"/>
          <w:b/>
          <w:bCs/>
          <w:iCs/>
          <w:color w:val="303AB2"/>
          <w:sz w:val="28"/>
          <w:szCs w:val="160"/>
          <w:lang w:val="es-ES"/>
        </w:rPr>
        <w:t xml:space="preserve">y </w:t>
      </w:r>
      <w:r w:rsidR="009A077F">
        <w:rPr>
          <w:rFonts w:ascii="National" w:hAnsi="National"/>
          <w:b/>
          <w:bCs/>
          <w:iCs/>
          <w:color w:val="303AB2"/>
          <w:sz w:val="28"/>
          <w:szCs w:val="160"/>
          <w:lang w:val="es-ES"/>
        </w:rPr>
        <w:t>variación anual</w:t>
      </w:r>
      <w:r w:rsidR="00D627AA">
        <w:rPr>
          <w:rFonts w:ascii="National" w:hAnsi="National"/>
          <w:b/>
          <w:bCs/>
          <w:iCs/>
          <w:color w:val="303AB2"/>
          <w:sz w:val="28"/>
          <w:szCs w:val="160"/>
          <w:lang w:val="es-ES"/>
        </w:rPr>
        <w:t xml:space="preserve"> d</w:t>
      </w:r>
      <w:r>
        <w:rPr>
          <w:rFonts w:ascii="National" w:hAnsi="National"/>
          <w:b/>
          <w:bCs/>
          <w:iCs/>
          <w:color w:val="303AB2"/>
          <w:sz w:val="28"/>
          <w:szCs w:val="160"/>
          <w:lang w:val="es-ES"/>
        </w:rPr>
        <w:t>e los garajes por distritos de Madrid</w:t>
      </w:r>
    </w:p>
    <w:p w14:paraId="495ED7D2" w14:textId="77777777" w:rsidR="00807BC2" w:rsidRDefault="00807BC2" w:rsidP="00807BC2">
      <w:pPr>
        <w:pStyle w:val="Prrafodelista"/>
        <w:spacing w:line="276" w:lineRule="auto"/>
        <w:ind w:left="0" w:right="-574"/>
        <w:jc w:val="center"/>
        <w:rPr>
          <w:rFonts w:ascii="National" w:hAnsi="National"/>
          <w:b/>
          <w:bCs/>
          <w:iCs/>
          <w:color w:val="303AB2"/>
          <w:sz w:val="28"/>
          <w:szCs w:val="160"/>
          <w:lang w:val="es-ES"/>
        </w:rPr>
      </w:pPr>
    </w:p>
    <w:tbl>
      <w:tblPr>
        <w:tblW w:w="9089" w:type="dxa"/>
        <w:tbl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single" w:sz="8" w:space="0" w:color="A5A5A5" w:themeColor="accent3"/>
          <w:insideV w:val="single" w:sz="8" w:space="0" w:color="A5A5A5" w:themeColor="accent3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2268"/>
        <w:gridCol w:w="2218"/>
        <w:gridCol w:w="2203"/>
      </w:tblGrid>
      <w:tr w:rsidR="009A077F" w:rsidRPr="00842827" w14:paraId="6494B068" w14:textId="77777777" w:rsidTr="00A32658">
        <w:trPr>
          <w:trHeight w:val="772"/>
        </w:trPr>
        <w:tc>
          <w:tcPr>
            <w:tcW w:w="2400" w:type="dxa"/>
            <w:shd w:val="clear" w:color="auto" w:fill="8496B0" w:themeFill="text2" w:themeFillTint="99"/>
            <w:vAlign w:val="center"/>
          </w:tcPr>
          <w:p w14:paraId="488DE26D" w14:textId="77777777" w:rsidR="009A077F" w:rsidRPr="00842827" w:rsidRDefault="009A077F" w:rsidP="009A077F">
            <w:pPr>
              <w:rPr>
                <w:rFonts w:ascii="Open Sans" w:eastAsia="Times New Roman" w:hAnsi="Open Sans" w:cs="Open Sans"/>
                <w:color w:val="FFFFFF"/>
                <w:sz w:val="22"/>
                <w:szCs w:val="22"/>
                <w:lang w:val="es-ES" w:eastAsia="es-ES"/>
              </w:rPr>
            </w:pPr>
            <w:r w:rsidRPr="00842827">
              <w:rPr>
                <w:rFonts w:ascii="Open Sans" w:eastAsia="Times New Roman" w:hAnsi="Open Sans" w:cs="Open Sans"/>
                <w:color w:val="FFFFFF"/>
                <w:sz w:val="22"/>
                <w:szCs w:val="22"/>
                <w:lang w:val="es-ES" w:eastAsia="es-ES"/>
              </w:rPr>
              <w:t>Distrito</w:t>
            </w:r>
          </w:p>
        </w:tc>
        <w:tc>
          <w:tcPr>
            <w:tcW w:w="2268" w:type="dxa"/>
            <w:shd w:val="clear" w:color="auto" w:fill="8496B0" w:themeFill="text2" w:themeFillTint="99"/>
            <w:vAlign w:val="center"/>
          </w:tcPr>
          <w:p w14:paraId="07AD42C6" w14:textId="77777777" w:rsidR="009A077F" w:rsidRPr="00842827" w:rsidRDefault="009A077F" w:rsidP="009A077F">
            <w:pPr>
              <w:jc w:val="center"/>
              <w:rPr>
                <w:rFonts w:ascii="Open Sans" w:eastAsia="Times New Roman" w:hAnsi="Open Sans" w:cs="Open Sans"/>
                <w:color w:val="FFFFFF" w:themeColor="background1"/>
                <w:sz w:val="22"/>
                <w:szCs w:val="22"/>
                <w:lang w:eastAsia="es-ES"/>
              </w:rPr>
            </w:pPr>
            <w:r w:rsidRPr="00842827">
              <w:rPr>
                <w:rFonts w:ascii="Open Sans" w:eastAsia="Times New Roman" w:hAnsi="Open Sans" w:cs="Open Sans"/>
                <w:color w:val="FFFFFF" w:themeColor="background1"/>
                <w:sz w:val="22"/>
                <w:szCs w:val="22"/>
                <w:lang w:eastAsia="es-ES"/>
              </w:rPr>
              <w:t xml:space="preserve">Precio medio </w:t>
            </w:r>
          </w:p>
          <w:p w14:paraId="063439C8" w14:textId="51D0D0C2" w:rsidR="009A077F" w:rsidRPr="00842827" w:rsidRDefault="009A077F" w:rsidP="009A077F">
            <w:pPr>
              <w:jc w:val="center"/>
              <w:rPr>
                <w:rFonts w:ascii="Open Sans" w:eastAsia="Times New Roman" w:hAnsi="Open Sans" w:cs="Open Sans"/>
                <w:color w:val="FFFFFF" w:themeColor="background1"/>
                <w:sz w:val="22"/>
                <w:szCs w:val="22"/>
                <w:lang w:val="es-ES" w:eastAsia="es-ES"/>
              </w:rPr>
            </w:pPr>
            <w:r w:rsidRPr="00842827">
              <w:rPr>
                <w:rFonts w:ascii="Open Sans" w:eastAsia="Times New Roman" w:hAnsi="Open Sans" w:cs="Open Sans"/>
                <w:color w:val="FFFFFF" w:themeColor="background1"/>
                <w:sz w:val="22"/>
                <w:szCs w:val="22"/>
                <w:lang w:eastAsia="es-ES"/>
              </w:rPr>
              <w:t>Garaje 202</w:t>
            </w:r>
            <w:r w:rsidR="00C668A7">
              <w:rPr>
                <w:rFonts w:ascii="Open Sans" w:eastAsia="Times New Roman" w:hAnsi="Open Sans" w:cs="Open Sans"/>
                <w:color w:val="FFFFFF" w:themeColor="background1"/>
                <w:sz w:val="22"/>
                <w:szCs w:val="22"/>
                <w:lang w:eastAsia="es-ES"/>
              </w:rPr>
              <w:t>4</w:t>
            </w:r>
          </w:p>
        </w:tc>
        <w:tc>
          <w:tcPr>
            <w:tcW w:w="2218" w:type="dxa"/>
            <w:shd w:val="clear" w:color="auto" w:fill="8496B0" w:themeFill="text2" w:themeFillTint="99"/>
            <w:vAlign w:val="center"/>
            <w:hideMark/>
          </w:tcPr>
          <w:p w14:paraId="15006CC5" w14:textId="77777777" w:rsidR="009A077F" w:rsidRPr="00842827" w:rsidRDefault="009A077F" w:rsidP="009A077F">
            <w:pPr>
              <w:jc w:val="center"/>
              <w:rPr>
                <w:rFonts w:ascii="Open Sans" w:eastAsia="Times New Roman" w:hAnsi="Open Sans" w:cs="Open Sans"/>
                <w:color w:val="FFFFFF" w:themeColor="background1"/>
                <w:sz w:val="22"/>
                <w:szCs w:val="22"/>
                <w:lang w:eastAsia="es-ES"/>
              </w:rPr>
            </w:pPr>
            <w:r w:rsidRPr="00842827">
              <w:rPr>
                <w:rFonts w:ascii="Open Sans" w:eastAsia="Times New Roman" w:hAnsi="Open Sans" w:cs="Open Sans"/>
                <w:color w:val="FFFFFF" w:themeColor="background1"/>
                <w:sz w:val="22"/>
                <w:szCs w:val="22"/>
                <w:lang w:eastAsia="es-ES"/>
              </w:rPr>
              <w:t xml:space="preserve">Precio medio </w:t>
            </w:r>
          </w:p>
          <w:p w14:paraId="1C995A64" w14:textId="48F60010" w:rsidR="009A077F" w:rsidRPr="00842827" w:rsidRDefault="009A077F" w:rsidP="009A077F">
            <w:pPr>
              <w:jc w:val="center"/>
              <w:rPr>
                <w:rFonts w:ascii="Open Sans" w:eastAsia="Times New Roman" w:hAnsi="Open Sans" w:cs="Open Sans"/>
                <w:color w:val="FFFFFF" w:themeColor="background1"/>
                <w:sz w:val="22"/>
                <w:szCs w:val="22"/>
                <w:lang w:val="es-ES" w:eastAsia="es-ES"/>
              </w:rPr>
            </w:pPr>
            <w:r w:rsidRPr="00842827">
              <w:rPr>
                <w:rFonts w:ascii="Open Sans" w:eastAsia="Times New Roman" w:hAnsi="Open Sans" w:cs="Open Sans"/>
                <w:color w:val="FFFFFF" w:themeColor="background1"/>
                <w:sz w:val="22"/>
                <w:szCs w:val="22"/>
                <w:lang w:eastAsia="es-ES"/>
              </w:rPr>
              <w:t>Garaje 202</w:t>
            </w:r>
            <w:r w:rsidR="00C668A7">
              <w:rPr>
                <w:rFonts w:ascii="Open Sans" w:eastAsia="Times New Roman" w:hAnsi="Open Sans" w:cs="Open Sans"/>
                <w:color w:val="FFFFFF" w:themeColor="background1"/>
                <w:sz w:val="22"/>
                <w:szCs w:val="22"/>
                <w:lang w:eastAsia="es-ES"/>
              </w:rPr>
              <w:t>5</w:t>
            </w:r>
          </w:p>
        </w:tc>
        <w:tc>
          <w:tcPr>
            <w:tcW w:w="2203" w:type="dxa"/>
            <w:shd w:val="clear" w:color="auto" w:fill="8496B0" w:themeFill="text2" w:themeFillTint="99"/>
            <w:vAlign w:val="center"/>
          </w:tcPr>
          <w:p w14:paraId="422D72AA" w14:textId="578B54B7" w:rsidR="009A077F" w:rsidRPr="00842827" w:rsidRDefault="009A077F" w:rsidP="009A077F">
            <w:pPr>
              <w:jc w:val="center"/>
              <w:rPr>
                <w:rFonts w:ascii="Open Sans" w:hAnsi="Open Sans" w:cs="Open Sans"/>
                <w:b/>
                <w:bCs/>
                <w:color w:val="FFFFFF" w:themeColor="background1"/>
                <w:sz w:val="22"/>
                <w:szCs w:val="22"/>
              </w:rPr>
            </w:pPr>
            <w:r w:rsidRPr="00842827">
              <w:rPr>
                <w:rFonts w:ascii="Open Sans" w:eastAsia="Times New Roman" w:hAnsi="Open Sans" w:cs="Open Sans"/>
                <w:color w:val="FFFFFF" w:themeColor="background1"/>
                <w:sz w:val="22"/>
                <w:szCs w:val="22"/>
                <w:lang w:eastAsia="es-ES"/>
              </w:rPr>
              <w:t xml:space="preserve">Variación anual Garaje </w:t>
            </w:r>
            <w:r w:rsidRPr="00842827">
              <w:rPr>
                <w:rFonts w:ascii="Open Sans" w:eastAsia="Times New Roman" w:hAnsi="Open Sans" w:cs="Open Sans"/>
                <w:color w:val="FFFFFF" w:themeColor="background1"/>
                <w:sz w:val="22"/>
                <w:szCs w:val="22"/>
                <w:lang w:val="es-ES" w:eastAsia="es-ES"/>
              </w:rPr>
              <w:t>202</w:t>
            </w:r>
            <w:r w:rsidR="0036245E">
              <w:rPr>
                <w:rFonts w:ascii="Open Sans" w:eastAsia="Times New Roman" w:hAnsi="Open Sans" w:cs="Open Sans"/>
                <w:color w:val="FFFFFF" w:themeColor="background1"/>
                <w:sz w:val="22"/>
                <w:szCs w:val="22"/>
                <w:lang w:val="es-ES" w:eastAsia="es-ES"/>
              </w:rPr>
              <w:t>5</w:t>
            </w:r>
          </w:p>
        </w:tc>
      </w:tr>
      <w:tr w:rsidR="00C668A7" w:rsidRPr="00842827" w14:paraId="26FBD81E" w14:textId="77777777" w:rsidTr="00A32658">
        <w:trPr>
          <w:trHeight w:val="226"/>
        </w:trPr>
        <w:tc>
          <w:tcPr>
            <w:tcW w:w="2400" w:type="dxa"/>
            <w:shd w:val="clear" w:color="auto" w:fill="8496B0" w:themeFill="text2" w:themeFillTint="99"/>
            <w:vAlign w:val="bottom"/>
          </w:tcPr>
          <w:p w14:paraId="37407F04" w14:textId="2310D4B4" w:rsidR="00C668A7" w:rsidRPr="00C668A7" w:rsidRDefault="00C668A7" w:rsidP="00C668A7">
            <w:pPr>
              <w:rPr>
                <w:rFonts w:ascii="Open Sans" w:eastAsia="Times New Roman" w:hAnsi="Open Sans" w:cs="Open Sans"/>
                <w:color w:val="FFFFFF" w:themeColor="background1"/>
                <w:sz w:val="22"/>
                <w:szCs w:val="22"/>
                <w:lang w:val="es-ES" w:eastAsia="es-ES"/>
              </w:rPr>
            </w:pPr>
            <w:r w:rsidRPr="00C668A7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Vicálvaro</w:t>
            </w:r>
          </w:p>
        </w:tc>
        <w:tc>
          <w:tcPr>
            <w:tcW w:w="2268" w:type="dxa"/>
            <w:vAlign w:val="bottom"/>
          </w:tcPr>
          <w:p w14:paraId="4055923F" w14:textId="4DCEC810" w:rsidR="00C668A7" w:rsidRPr="00C26BB1" w:rsidRDefault="00C668A7" w:rsidP="00C668A7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68,91 €</w:t>
            </w:r>
          </w:p>
        </w:tc>
        <w:tc>
          <w:tcPr>
            <w:tcW w:w="2218" w:type="dxa"/>
            <w:vAlign w:val="bottom"/>
          </w:tcPr>
          <w:p w14:paraId="2DD853E7" w14:textId="2C0143DC" w:rsidR="00C668A7" w:rsidRPr="00C26BB1" w:rsidRDefault="00C668A7" w:rsidP="00C668A7">
            <w:pPr>
              <w:jc w:val="center"/>
              <w:rPr>
                <w:rFonts w:ascii="Open Sans" w:hAnsi="Open Sans" w:cs="Open Sans"/>
                <w:color w:val="9C0006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73,93 €</w:t>
            </w:r>
          </w:p>
        </w:tc>
        <w:tc>
          <w:tcPr>
            <w:tcW w:w="2203" w:type="dxa"/>
            <w:vAlign w:val="bottom"/>
          </w:tcPr>
          <w:p w14:paraId="5F1796AA" w14:textId="1F7BB210" w:rsidR="00C668A7" w:rsidRPr="00C668A7" w:rsidRDefault="00C668A7" w:rsidP="00C668A7">
            <w:pPr>
              <w:jc w:val="center"/>
              <w:rPr>
                <w:rFonts w:ascii="Open Sans" w:hAnsi="Open Sans" w:cs="Open Sans"/>
                <w:b/>
                <w:bCs/>
                <w:color w:val="9C0006"/>
                <w:sz w:val="22"/>
                <w:szCs w:val="22"/>
              </w:rPr>
            </w:pPr>
            <w:r w:rsidRPr="00C668A7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7,3%</w:t>
            </w:r>
          </w:p>
        </w:tc>
      </w:tr>
      <w:tr w:rsidR="00C668A7" w:rsidRPr="00842827" w14:paraId="4C281882" w14:textId="77777777" w:rsidTr="00A32658">
        <w:trPr>
          <w:trHeight w:val="226"/>
        </w:trPr>
        <w:tc>
          <w:tcPr>
            <w:tcW w:w="2400" w:type="dxa"/>
            <w:shd w:val="clear" w:color="auto" w:fill="8496B0" w:themeFill="text2" w:themeFillTint="99"/>
            <w:vAlign w:val="bottom"/>
          </w:tcPr>
          <w:p w14:paraId="269EC101" w14:textId="00609DB7" w:rsidR="00C668A7" w:rsidRPr="00C668A7" w:rsidRDefault="00C668A7" w:rsidP="00C668A7">
            <w:pPr>
              <w:rPr>
                <w:rFonts w:ascii="Open Sans" w:eastAsia="Times New Roman" w:hAnsi="Open Sans" w:cs="Open Sans"/>
                <w:color w:val="FFFFFF" w:themeColor="background1"/>
                <w:sz w:val="22"/>
                <w:szCs w:val="22"/>
                <w:lang w:val="es-ES" w:eastAsia="es-ES"/>
              </w:rPr>
            </w:pPr>
            <w:r w:rsidRPr="00C668A7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Carabanchel</w:t>
            </w:r>
          </w:p>
        </w:tc>
        <w:tc>
          <w:tcPr>
            <w:tcW w:w="2268" w:type="dxa"/>
            <w:shd w:val="clear" w:color="auto" w:fill="D5DCE4" w:themeFill="text2" w:themeFillTint="33"/>
            <w:vAlign w:val="bottom"/>
          </w:tcPr>
          <w:p w14:paraId="335F0F7E" w14:textId="3CF0F90D" w:rsidR="00C668A7" w:rsidRPr="00C26BB1" w:rsidRDefault="00C668A7" w:rsidP="00C668A7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78,85 €</w:t>
            </w:r>
          </w:p>
        </w:tc>
        <w:tc>
          <w:tcPr>
            <w:tcW w:w="2218" w:type="dxa"/>
            <w:shd w:val="clear" w:color="auto" w:fill="D5DCE4" w:themeFill="text2" w:themeFillTint="33"/>
            <w:vAlign w:val="bottom"/>
          </w:tcPr>
          <w:p w14:paraId="60E21D3A" w14:textId="29D302FC" w:rsidR="00C668A7" w:rsidRPr="00C26BB1" w:rsidRDefault="00C668A7" w:rsidP="00C668A7">
            <w:pPr>
              <w:jc w:val="center"/>
              <w:rPr>
                <w:rFonts w:ascii="Open Sans" w:hAnsi="Open Sans" w:cs="Open Sans"/>
                <w:color w:val="9C0006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81,43 €</w:t>
            </w:r>
          </w:p>
        </w:tc>
        <w:tc>
          <w:tcPr>
            <w:tcW w:w="2203" w:type="dxa"/>
            <w:shd w:val="clear" w:color="auto" w:fill="D5DCE4" w:themeFill="text2" w:themeFillTint="33"/>
            <w:vAlign w:val="bottom"/>
          </w:tcPr>
          <w:p w14:paraId="5D882CB6" w14:textId="49948BDF" w:rsidR="00C668A7" w:rsidRPr="00C668A7" w:rsidRDefault="00C668A7" w:rsidP="00C668A7">
            <w:pPr>
              <w:jc w:val="center"/>
              <w:rPr>
                <w:rFonts w:ascii="Open Sans" w:hAnsi="Open Sans" w:cs="Open Sans"/>
                <w:b/>
                <w:bCs/>
                <w:color w:val="9C0006"/>
                <w:sz w:val="22"/>
                <w:szCs w:val="22"/>
              </w:rPr>
            </w:pPr>
            <w:r w:rsidRPr="00C668A7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3,3%</w:t>
            </w:r>
          </w:p>
        </w:tc>
      </w:tr>
      <w:tr w:rsidR="00C668A7" w:rsidRPr="00842827" w14:paraId="062BBD21" w14:textId="77777777" w:rsidTr="00A32658">
        <w:trPr>
          <w:trHeight w:val="226"/>
        </w:trPr>
        <w:tc>
          <w:tcPr>
            <w:tcW w:w="2400" w:type="dxa"/>
            <w:shd w:val="clear" w:color="auto" w:fill="8496B0" w:themeFill="text2" w:themeFillTint="99"/>
            <w:vAlign w:val="bottom"/>
          </w:tcPr>
          <w:p w14:paraId="39411DA0" w14:textId="319E7F9B" w:rsidR="00C668A7" w:rsidRPr="00C668A7" w:rsidRDefault="00C668A7" w:rsidP="00C668A7">
            <w:pPr>
              <w:rPr>
                <w:rFonts w:ascii="Open Sans" w:eastAsia="Times New Roman" w:hAnsi="Open Sans" w:cs="Open Sans"/>
                <w:color w:val="FFFFFF" w:themeColor="background1"/>
                <w:sz w:val="22"/>
                <w:szCs w:val="22"/>
                <w:lang w:val="es-ES" w:eastAsia="es-ES"/>
              </w:rPr>
            </w:pPr>
            <w:r w:rsidRPr="00C668A7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Ciudad Lineal</w:t>
            </w:r>
          </w:p>
        </w:tc>
        <w:tc>
          <w:tcPr>
            <w:tcW w:w="2268" w:type="dxa"/>
            <w:vAlign w:val="bottom"/>
          </w:tcPr>
          <w:p w14:paraId="121A5A45" w14:textId="1CE2036A" w:rsidR="00C668A7" w:rsidRPr="00C26BB1" w:rsidRDefault="00C668A7" w:rsidP="00C668A7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86,42 €</w:t>
            </w:r>
          </w:p>
        </w:tc>
        <w:tc>
          <w:tcPr>
            <w:tcW w:w="2218" w:type="dxa"/>
            <w:vAlign w:val="bottom"/>
          </w:tcPr>
          <w:p w14:paraId="1805C610" w14:textId="7D016750" w:rsidR="00C668A7" w:rsidRPr="00C26BB1" w:rsidRDefault="00C668A7" w:rsidP="00C668A7">
            <w:pPr>
              <w:jc w:val="center"/>
              <w:rPr>
                <w:rFonts w:ascii="Open Sans" w:hAnsi="Open Sans" w:cs="Open Sans"/>
                <w:color w:val="9C0006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88,45 €</w:t>
            </w:r>
          </w:p>
        </w:tc>
        <w:tc>
          <w:tcPr>
            <w:tcW w:w="2203" w:type="dxa"/>
            <w:vAlign w:val="bottom"/>
          </w:tcPr>
          <w:p w14:paraId="308C01BF" w14:textId="481EC267" w:rsidR="00C668A7" w:rsidRPr="00C668A7" w:rsidRDefault="00C668A7" w:rsidP="00C668A7">
            <w:pPr>
              <w:jc w:val="center"/>
              <w:rPr>
                <w:rFonts w:ascii="Open Sans" w:hAnsi="Open Sans" w:cs="Open Sans"/>
                <w:b/>
                <w:bCs/>
                <w:color w:val="9C0006"/>
                <w:sz w:val="22"/>
                <w:szCs w:val="22"/>
              </w:rPr>
            </w:pPr>
            <w:r w:rsidRPr="00C668A7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2,3%</w:t>
            </w:r>
          </w:p>
        </w:tc>
      </w:tr>
      <w:tr w:rsidR="00C668A7" w:rsidRPr="00842827" w14:paraId="5CDE530A" w14:textId="77777777" w:rsidTr="00A32658">
        <w:trPr>
          <w:trHeight w:val="226"/>
        </w:trPr>
        <w:tc>
          <w:tcPr>
            <w:tcW w:w="2400" w:type="dxa"/>
            <w:shd w:val="clear" w:color="auto" w:fill="8496B0" w:themeFill="text2" w:themeFillTint="99"/>
            <w:vAlign w:val="bottom"/>
          </w:tcPr>
          <w:p w14:paraId="57034C11" w14:textId="0D67FA60" w:rsidR="00C668A7" w:rsidRPr="00C668A7" w:rsidRDefault="00C668A7" w:rsidP="00C668A7">
            <w:pPr>
              <w:rPr>
                <w:rFonts w:ascii="Open Sans" w:eastAsia="Times New Roman" w:hAnsi="Open Sans" w:cs="Open Sans"/>
                <w:color w:val="FFFFFF" w:themeColor="background1"/>
                <w:sz w:val="22"/>
                <w:szCs w:val="22"/>
                <w:lang w:val="es-ES" w:eastAsia="es-ES"/>
              </w:rPr>
            </w:pPr>
            <w:r w:rsidRPr="00C668A7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Fuencarral - El Pardo</w:t>
            </w:r>
          </w:p>
        </w:tc>
        <w:tc>
          <w:tcPr>
            <w:tcW w:w="2268" w:type="dxa"/>
            <w:shd w:val="clear" w:color="auto" w:fill="D5DCE4" w:themeFill="text2" w:themeFillTint="33"/>
            <w:vAlign w:val="bottom"/>
          </w:tcPr>
          <w:p w14:paraId="348A010B" w14:textId="31EBFE4B" w:rsidR="00C668A7" w:rsidRPr="00C26BB1" w:rsidRDefault="00C668A7" w:rsidP="00C668A7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76,40 €</w:t>
            </w:r>
          </w:p>
        </w:tc>
        <w:tc>
          <w:tcPr>
            <w:tcW w:w="2218" w:type="dxa"/>
            <w:shd w:val="clear" w:color="auto" w:fill="D5DCE4" w:themeFill="text2" w:themeFillTint="33"/>
            <w:vAlign w:val="bottom"/>
          </w:tcPr>
          <w:p w14:paraId="2D56C6CF" w14:textId="757541E0" w:rsidR="00C668A7" w:rsidRPr="00C26BB1" w:rsidRDefault="00C668A7" w:rsidP="00C668A7">
            <w:pPr>
              <w:jc w:val="center"/>
              <w:rPr>
                <w:rFonts w:ascii="Open Sans" w:hAnsi="Open Sans" w:cs="Open Sans"/>
                <w:color w:val="9C0006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77,98 €</w:t>
            </w:r>
          </w:p>
        </w:tc>
        <w:tc>
          <w:tcPr>
            <w:tcW w:w="2203" w:type="dxa"/>
            <w:shd w:val="clear" w:color="auto" w:fill="D5DCE4" w:themeFill="text2" w:themeFillTint="33"/>
            <w:vAlign w:val="bottom"/>
          </w:tcPr>
          <w:p w14:paraId="7515B56F" w14:textId="16A10574" w:rsidR="00C668A7" w:rsidRPr="00C668A7" w:rsidRDefault="00C668A7" w:rsidP="00C668A7">
            <w:pPr>
              <w:jc w:val="center"/>
              <w:rPr>
                <w:rFonts w:ascii="Open Sans" w:hAnsi="Open Sans" w:cs="Open Sans"/>
                <w:b/>
                <w:bCs/>
                <w:color w:val="9C0006"/>
                <w:sz w:val="22"/>
                <w:szCs w:val="22"/>
              </w:rPr>
            </w:pPr>
            <w:r w:rsidRPr="00C668A7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2,1%</w:t>
            </w:r>
          </w:p>
        </w:tc>
      </w:tr>
      <w:tr w:rsidR="00C668A7" w:rsidRPr="00842827" w14:paraId="63D694EF" w14:textId="77777777" w:rsidTr="00A32658">
        <w:trPr>
          <w:trHeight w:val="226"/>
        </w:trPr>
        <w:tc>
          <w:tcPr>
            <w:tcW w:w="2400" w:type="dxa"/>
            <w:shd w:val="clear" w:color="auto" w:fill="8496B0" w:themeFill="text2" w:themeFillTint="99"/>
            <w:vAlign w:val="bottom"/>
          </w:tcPr>
          <w:p w14:paraId="5824A03E" w14:textId="4933F8D3" w:rsidR="00C668A7" w:rsidRPr="00C668A7" w:rsidRDefault="00C668A7" w:rsidP="00C668A7">
            <w:pPr>
              <w:rPr>
                <w:rFonts w:ascii="Open Sans" w:eastAsia="Times New Roman" w:hAnsi="Open Sans" w:cs="Open Sans"/>
                <w:color w:val="FFFFFF" w:themeColor="background1"/>
                <w:sz w:val="22"/>
                <w:szCs w:val="22"/>
                <w:lang w:val="es-ES" w:eastAsia="es-ES"/>
              </w:rPr>
            </w:pPr>
            <w:r w:rsidRPr="00C668A7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Retiro</w:t>
            </w:r>
          </w:p>
        </w:tc>
        <w:tc>
          <w:tcPr>
            <w:tcW w:w="2268" w:type="dxa"/>
            <w:vAlign w:val="bottom"/>
          </w:tcPr>
          <w:p w14:paraId="10243CCC" w14:textId="2DB4D4AF" w:rsidR="00C668A7" w:rsidRPr="00C26BB1" w:rsidRDefault="00C668A7" w:rsidP="00C668A7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97,51 €</w:t>
            </w:r>
          </w:p>
        </w:tc>
        <w:tc>
          <w:tcPr>
            <w:tcW w:w="2218" w:type="dxa"/>
            <w:vAlign w:val="bottom"/>
          </w:tcPr>
          <w:p w14:paraId="593D2285" w14:textId="5251C9B1" w:rsidR="00C668A7" w:rsidRPr="00C26BB1" w:rsidRDefault="00C668A7" w:rsidP="00C668A7">
            <w:pPr>
              <w:jc w:val="center"/>
              <w:rPr>
                <w:rFonts w:ascii="Open Sans" w:hAnsi="Open Sans" w:cs="Open Sans"/>
                <w:color w:val="9C0006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99,50 €</w:t>
            </w:r>
          </w:p>
        </w:tc>
        <w:tc>
          <w:tcPr>
            <w:tcW w:w="2203" w:type="dxa"/>
            <w:vAlign w:val="bottom"/>
          </w:tcPr>
          <w:p w14:paraId="19621BF0" w14:textId="089A1165" w:rsidR="00C668A7" w:rsidRPr="00C668A7" w:rsidRDefault="00C668A7" w:rsidP="00C668A7">
            <w:pPr>
              <w:jc w:val="center"/>
              <w:rPr>
                <w:rFonts w:ascii="Open Sans" w:hAnsi="Open Sans" w:cs="Open Sans"/>
                <w:b/>
                <w:bCs/>
                <w:color w:val="9C0006"/>
                <w:sz w:val="22"/>
                <w:szCs w:val="22"/>
              </w:rPr>
            </w:pPr>
            <w:r w:rsidRPr="00C668A7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2,0%</w:t>
            </w:r>
          </w:p>
        </w:tc>
      </w:tr>
      <w:tr w:rsidR="00C668A7" w:rsidRPr="00842827" w14:paraId="19369156" w14:textId="77777777" w:rsidTr="00A32658">
        <w:trPr>
          <w:trHeight w:val="226"/>
        </w:trPr>
        <w:tc>
          <w:tcPr>
            <w:tcW w:w="2400" w:type="dxa"/>
            <w:shd w:val="clear" w:color="auto" w:fill="8496B0" w:themeFill="text2" w:themeFillTint="99"/>
            <w:vAlign w:val="bottom"/>
          </w:tcPr>
          <w:p w14:paraId="3A1C915B" w14:textId="74282181" w:rsidR="00C668A7" w:rsidRPr="00C668A7" w:rsidRDefault="00C668A7" w:rsidP="00C668A7">
            <w:pPr>
              <w:rPr>
                <w:rFonts w:ascii="Open Sans" w:eastAsia="Times New Roman" w:hAnsi="Open Sans" w:cs="Open Sans"/>
                <w:color w:val="FFFFFF" w:themeColor="background1"/>
                <w:sz w:val="22"/>
                <w:szCs w:val="22"/>
                <w:lang w:val="es-ES" w:eastAsia="es-ES"/>
              </w:rPr>
            </w:pPr>
            <w:r w:rsidRPr="00C668A7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Barrio de Salamanca</w:t>
            </w:r>
          </w:p>
        </w:tc>
        <w:tc>
          <w:tcPr>
            <w:tcW w:w="2268" w:type="dxa"/>
            <w:shd w:val="clear" w:color="auto" w:fill="D5DCE4" w:themeFill="text2" w:themeFillTint="33"/>
            <w:vAlign w:val="bottom"/>
          </w:tcPr>
          <w:p w14:paraId="7501258D" w14:textId="4B4A471A" w:rsidR="00C668A7" w:rsidRPr="00C26BB1" w:rsidRDefault="00C668A7" w:rsidP="00C668A7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114,65 €</w:t>
            </w:r>
          </w:p>
        </w:tc>
        <w:tc>
          <w:tcPr>
            <w:tcW w:w="2218" w:type="dxa"/>
            <w:shd w:val="clear" w:color="auto" w:fill="D5DCE4" w:themeFill="text2" w:themeFillTint="33"/>
            <w:vAlign w:val="bottom"/>
          </w:tcPr>
          <w:p w14:paraId="480A75BA" w14:textId="5BDBE651" w:rsidR="00C668A7" w:rsidRPr="00C26BB1" w:rsidRDefault="00C668A7" w:rsidP="00C668A7">
            <w:pPr>
              <w:jc w:val="center"/>
              <w:rPr>
                <w:rFonts w:ascii="Open Sans" w:hAnsi="Open Sans" w:cs="Open Sans"/>
                <w:color w:val="9C0006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116,87 €</w:t>
            </w:r>
          </w:p>
        </w:tc>
        <w:tc>
          <w:tcPr>
            <w:tcW w:w="2203" w:type="dxa"/>
            <w:shd w:val="clear" w:color="auto" w:fill="D5DCE4" w:themeFill="text2" w:themeFillTint="33"/>
            <w:vAlign w:val="bottom"/>
          </w:tcPr>
          <w:p w14:paraId="545342CD" w14:textId="6493716A" w:rsidR="00C668A7" w:rsidRPr="00C668A7" w:rsidRDefault="00C668A7" w:rsidP="00C668A7">
            <w:pPr>
              <w:jc w:val="center"/>
              <w:rPr>
                <w:rFonts w:ascii="Open Sans" w:hAnsi="Open Sans" w:cs="Open Sans"/>
                <w:b/>
                <w:bCs/>
                <w:color w:val="9C0006"/>
                <w:sz w:val="22"/>
                <w:szCs w:val="22"/>
              </w:rPr>
            </w:pPr>
            <w:r w:rsidRPr="00C668A7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1,9%</w:t>
            </w:r>
          </w:p>
        </w:tc>
      </w:tr>
      <w:tr w:rsidR="00C668A7" w:rsidRPr="00842827" w14:paraId="650A1DCC" w14:textId="77777777" w:rsidTr="00A32658">
        <w:trPr>
          <w:trHeight w:val="226"/>
        </w:trPr>
        <w:tc>
          <w:tcPr>
            <w:tcW w:w="2400" w:type="dxa"/>
            <w:shd w:val="clear" w:color="auto" w:fill="8496B0" w:themeFill="text2" w:themeFillTint="99"/>
            <w:vAlign w:val="bottom"/>
          </w:tcPr>
          <w:p w14:paraId="5D724211" w14:textId="31B6311B" w:rsidR="00C668A7" w:rsidRPr="00C668A7" w:rsidRDefault="00C668A7" w:rsidP="00C668A7">
            <w:pPr>
              <w:rPr>
                <w:rFonts w:ascii="Open Sans" w:eastAsia="Times New Roman" w:hAnsi="Open Sans" w:cs="Open Sans"/>
                <w:color w:val="FFFFFF" w:themeColor="background1"/>
                <w:sz w:val="22"/>
                <w:szCs w:val="22"/>
                <w:lang w:val="es-ES" w:eastAsia="es-ES"/>
              </w:rPr>
            </w:pPr>
            <w:r w:rsidRPr="00C668A7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Villa de Vallecas</w:t>
            </w:r>
          </w:p>
        </w:tc>
        <w:tc>
          <w:tcPr>
            <w:tcW w:w="2268" w:type="dxa"/>
            <w:vAlign w:val="bottom"/>
          </w:tcPr>
          <w:p w14:paraId="035D7E5D" w14:textId="3C3135BC" w:rsidR="00C668A7" w:rsidRPr="00C26BB1" w:rsidRDefault="00C668A7" w:rsidP="00C668A7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62,50 €</w:t>
            </w:r>
          </w:p>
        </w:tc>
        <w:tc>
          <w:tcPr>
            <w:tcW w:w="2218" w:type="dxa"/>
            <w:vAlign w:val="bottom"/>
          </w:tcPr>
          <w:p w14:paraId="34C576C0" w14:textId="3378462E" w:rsidR="00C668A7" w:rsidRPr="00C26BB1" w:rsidRDefault="00C668A7" w:rsidP="00C668A7">
            <w:pPr>
              <w:jc w:val="center"/>
              <w:rPr>
                <w:rFonts w:ascii="Open Sans" w:hAnsi="Open Sans" w:cs="Open Sans"/>
                <w:color w:val="9C0006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63,55 €</w:t>
            </w:r>
          </w:p>
        </w:tc>
        <w:tc>
          <w:tcPr>
            <w:tcW w:w="2203" w:type="dxa"/>
            <w:vAlign w:val="bottom"/>
          </w:tcPr>
          <w:p w14:paraId="166969BC" w14:textId="6B5A88BA" w:rsidR="00C668A7" w:rsidRPr="00C668A7" w:rsidRDefault="00C668A7" w:rsidP="00C668A7">
            <w:pPr>
              <w:jc w:val="center"/>
              <w:rPr>
                <w:rFonts w:ascii="Open Sans" w:hAnsi="Open Sans" w:cs="Open Sans"/>
                <w:b/>
                <w:bCs/>
                <w:color w:val="9C0006"/>
                <w:sz w:val="22"/>
                <w:szCs w:val="22"/>
              </w:rPr>
            </w:pPr>
            <w:r w:rsidRPr="00C668A7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1,7%</w:t>
            </w:r>
          </w:p>
        </w:tc>
      </w:tr>
      <w:tr w:rsidR="00C668A7" w:rsidRPr="00842827" w14:paraId="3D231310" w14:textId="77777777" w:rsidTr="00A32658">
        <w:trPr>
          <w:trHeight w:val="226"/>
        </w:trPr>
        <w:tc>
          <w:tcPr>
            <w:tcW w:w="2400" w:type="dxa"/>
            <w:shd w:val="clear" w:color="auto" w:fill="8496B0" w:themeFill="text2" w:themeFillTint="99"/>
            <w:vAlign w:val="bottom"/>
          </w:tcPr>
          <w:p w14:paraId="50260668" w14:textId="07392D41" w:rsidR="00C668A7" w:rsidRPr="00C668A7" w:rsidRDefault="00C668A7" w:rsidP="00C668A7">
            <w:pPr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</w:pPr>
            <w:r w:rsidRPr="00C668A7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Hortaleza</w:t>
            </w:r>
          </w:p>
        </w:tc>
        <w:tc>
          <w:tcPr>
            <w:tcW w:w="2268" w:type="dxa"/>
            <w:shd w:val="clear" w:color="auto" w:fill="D5DCE4" w:themeFill="text2" w:themeFillTint="33"/>
            <w:vAlign w:val="bottom"/>
          </w:tcPr>
          <w:p w14:paraId="5DD0A1D1" w14:textId="4B015889" w:rsidR="00C668A7" w:rsidRPr="00C26BB1" w:rsidRDefault="00C668A7" w:rsidP="00C668A7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65,19 €</w:t>
            </w:r>
          </w:p>
        </w:tc>
        <w:tc>
          <w:tcPr>
            <w:tcW w:w="2218" w:type="dxa"/>
            <w:shd w:val="clear" w:color="auto" w:fill="D5DCE4" w:themeFill="text2" w:themeFillTint="33"/>
            <w:vAlign w:val="bottom"/>
          </w:tcPr>
          <w:p w14:paraId="27DCA731" w14:textId="7803610F" w:rsidR="00C668A7" w:rsidRPr="00C26BB1" w:rsidRDefault="00C668A7" w:rsidP="00C668A7">
            <w:pPr>
              <w:jc w:val="center"/>
              <w:rPr>
                <w:rFonts w:ascii="Open Sans" w:hAnsi="Open Sans" w:cs="Open Sans"/>
                <w:color w:val="9C0006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65,69 €</w:t>
            </w:r>
          </w:p>
        </w:tc>
        <w:tc>
          <w:tcPr>
            <w:tcW w:w="2203" w:type="dxa"/>
            <w:shd w:val="clear" w:color="auto" w:fill="D5DCE4" w:themeFill="text2" w:themeFillTint="33"/>
            <w:vAlign w:val="bottom"/>
          </w:tcPr>
          <w:p w14:paraId="5706DB97" w14:textId="36E97E1B" w:rsidR="00C668A7" w:rsidRPr="00C668A7" w:rsidRDefault="00C668A7" w:rsidP="00C668A7">
            <w:pPr>
              <w:jc w:val="center"/>
              <w:rPr>
                <w:rFonts w:ascii="Open Sans" w:hAnsi="Open Sans" w:cs="Open Sans"/>
                <w:b/>
                <w:bCs/>
                <w:color w:val="9C0006"/>
                <w:sz w:val="22"/>
                <w:szCs w:val="22"/>
              </w:rPr>
            </w:pPr>
            <w:r w:rsidRPr="00C668A7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0,8%</w:t>
            </w:r>
          </w:p>
        </w:tc>
      </w:tr>
      <w:tr w:rsidR="00C668A7" w:rsidRPr="00842827" w14:paraId="54D55219" w14:textId="77777777" w:rsidTr="00A32658">
        <w:trPr>
          <w:trHeight w:val="226"/>
        </w:trPr>
        <w:tc>
          <w:tcPr>
            <w:tcW w:w="2400" w:type="dxa"/>
            <w:shd w:val="clear" w:color="auto" w:fill="8496B0" w:themeFill="text2" w:themeFillTint="99"/>
            <w:vAlign w:val="bottom"/>
          </w:tcPr>
          <w:p w14:paraId="059F132D" w14:textId="3B9F0B97" w:rsidR="00C668A7" w:rsidRPr="00C668A7" w:rsidRDefault="00C668A7" w:rsidP="00C668A7">
            <w:pPr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</w:pPr>
            <w:r w:rsidRPr="00C668A7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San Blas</w:t>
            </w:r>
          </w:p>
        </w:tc>
        <w:tc>
          <w:tcPr>
            <w:tcW w:w="2268" w:type="dxa"/>
            <w:vAlign w:val="bottom"/>
          </w:tcPr>
          <w:p w14:paraId="42AF47F7" w14:textId="4C6797BE" w:rsidR="00C668A7" w:rsidRPr="00C26BB1" w:rsidRDefault="00C668A7" w:rsidP="00C668A7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82,18 €</w:t>
            </w:r>
          </w:p>
        </w:tc>
        <w:tc>
          <w:tcPr>
            <w:tcW w:w="2218" w:type="dxa"/>
            <w:vAlign w:val="bottom"/>
          </w:tcPr>
          <w:p w14:paraId="5968A56C" w14:textId="3A1F40A0" w:rsidR="00C668A7" w:rsidRPr="00C26BB1" w:rsidRDefault="00C668A7" w:rsidP="00C668A7">
            <w:pPr>
              <w:jc w:val="center"/>
              <w:rPr>
                <w:rFonts w:ascii="Open Sans" w:hAnsi="Open Sans" w:cs="Open Sans"/>
                <w:color w:val="9C0006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82,77 €</w:t>
            </w:r>
          </w:p>
        </w:tc>
        <w:tc>
          <w:tcPr>
            <w:tcW w:w="2203" w:type="dxa"/>
            <w:vAlign w:val="bottom"/>
          </w:tcPr>
          <w:p w14:paraId="1E9F0025" w14:textId="73647E50" w:rsidR="00C668A7" w:rsidRPr="00C668A7" w:rsidRDefault="00C668A7" w:rsidP="00C668A7">
            <w:pPr>
              <w:jc w:val="center"/>
              <w:rPr>
                <w:rFonts w:ascii="Open Sans" w:hAnsi="Open Sans" w:cs="Open Sans"/>
                <w:b/>
                <w:bCs/>
                <w:color w:val="9C0006"/>
                <w:sz w:val="22"/>
                <w:szCs w:val="22"/>
              </w:rPr>
            </w:pPr>
            <w:r w:rsidRPr="00C668A7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0,7%</w:t>
            </w:r>
          </w:p>
        </w:tc>
      </w:tr>
      <w:tr w:rsidR="00C668A7" w:rsidRPr="00842827" w14:paraId="55F8B09C" w14:textId="77777777" w:rsidTr="00A32658">
        <w:trPr>
          <w:trHeight w:val="226"/>
        </w:trPr>
        <w:tc>
          <w:tcPr>
            <w:tcW w:w="2400" w:type="dxa"/>
            <w:shd w:val="clear" w:color="auto" w:fill="8496B0" w:themeFill="text2" w:themeFillTint="99"/>
            <w:vAlign w:val="bottom"/>
          </w:tcPr>
          <w:p w14:paraId="16BB6DF0" w14:textId="28E3AD55" w:rsidR="00C668A7" w:rsidRPr="00C668A7" w:rsidRDefault="00C668A7" w:rsidP="00C668A7">
            <w:pPr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</w:pPr>
            <w:r w:rsidRPr="00C668A7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Arganzuela</w:t>
            </w:r>
          </w:p>
        </w:tc>
        <w:tc>
          <w:tcPr>
            <w:tcW w:w="2268" w:type="dxa"/>
            <w:shd w:val="clear" w:color="auto" w:fill="D5DCE4" w:themeFill="text2" w:themeFillTint="33"/>
            <w:vAlign w:val="bottom"/>
          </w:tcPr>
          <w:p w14:paraId="2F755666" w14:textId="61A573CF" w:rsidR="00C668A7" w:rsidRPr="00C26BB1" w:rsidRDefault="00C668A7" w:rsidP="00C668A7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88,17 €</w:t>
            </w:r>
          </w:p>
        </w:tc>
        <w:tc>
          <w:tcPr>
            <w:tcW w:w="2218" w:type="dxa"/>
            <w:shd w:val="clear" w:color="auto" w:fill="D5DCE4" w:themeFill="text2" w:themeFillTint="33"/>
            <w:vAlign w:val="bottom"/>
          </w:tcPr>
          <w:p w14:paraId="43804219" w14:textId="1D61E2BA" w:rsidR="00C668A7" w:rsidRPr="00C26BB1" w:rsidRDefault="00C668A7" w:rsidP="00C668A7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87,95 €</w:t>
            </w:r>
          </w:p>
        </w:tc>
        <w:tc>
          <w:tcPr>
            <w:tcW w:w="2203" w:type="dxa"/>
            <w:shd w:val="clear" w:color="auto" w:fill="D5DCE4" w:themeFill="text2" w:themeFillTint="33"/>
            <w:vAlign w:val="bottom"/>
          </w:tcPr>
          <w:p w14:paraId="2A749805" w14:textId="6BCFF460" w:rsidR="00C668A7" w:rsidRPr="00C668A7" w:rsidRDefault="00C668A7" w:rsidP="00C668A7">
            <w:pPr>
              <w:jc w:val="center"/>
              <w:rPr>
                <w:rFonts w:ascii="Open Sans" w:hAnsi="Open Sans" w:cs="Open Sans"/>
                <w:b/>
                <w:bCs/>
                <w:color w:val="2E74B5" w:themeColor="accent5" w:themeShade="BF"/>
                <w:sz w:val="22"/>
                <w:szCs w:val="22"/>
              </w:rPr>
            </w:pPr>
            <w:r w:rsidRPr="00C668A7">
              <w:rPr>
                <w:rFonts w:ascii="Open Sans" w:hAnsi="Open Sans" w:cs="Open Sans"/>
                <w:b/>
                <w:bCs/>
                <w:color w:val="9C0006"/>
                <w:sz w:val="22"/>
                <w:szCs w:val="22"/>
              </w:rPr>
              <w:t>-0,2%</w:t>
            </w:r>
          </w:p>
        </w:tc>
      </w:tr>
      <w:tr w:rsidR="00C668A7" w:rsidRPr="00842827" w14:paraId="26A15B84" w14:textId="77777777" w:rsidTr="00A32658">
        <w:trPr>
          <w:trHeight w:val="226"/>
        </w:trPr>
        <w:tc>
          <w:tcPr>
            <w:tcW w:w="2400" w:type="dxa"/>
            <w:shd w:val="clear" w:color="auto" w:fill="8496B0" w:themeFill="text2" w:themeFillTint="99"/>
            <w:vAlign w:val="bottom"/>
          </w:tcPr>
          <w:p w14:paraId="7D7A3C4B" w14:textId="01C9B353" w:rsidR="00C668A7" w:rsidRPr="00C668A7" w:rsidRDefault="00C668A7" w:rsidP="00C668A7">
            <w:pPr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</w:pPr>
            <w:r w:rsidRPr="00C668A7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Moncloa - Aravaca</w:t>
            </w:r>
          </w:p>
        </w:tc>
        <w:tc>
          <w:tcPr>
            <w:tcW w:w="2268" w:type="dxa"/>
            <w:vAlign w:val="bottom"/>
          </w:tcPr>
          <w:p w14:paraId="5568112A" w14:textId="73BF869B" w:rsidR="00C668A7" w:rsidRPr="00C26BB1" w:rsidRDefault="00C668A7" w:rsidP="00C668A7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95,22 €</w:t>
            </w:r>
          </w:p>
        </w:tc>
        <w:tc>
          <w:tcPr>
            <w:tcW w:w="2218" w:type="dxa"/>
            <w:vAlign w:val="bottom"/>
          </w:tcPr>
          <w:p w14:paraId="14676548" w14:textId="1570C697" w:rsidR="00C668A7" w:rsidRPr="00C26BB1" w:rsidRDefault="00C668A7" w:rsidP="00C668A7">
            <w:pPr>
              <w:jc w:val="center"/>
              <w:rPr>
                <w:rFonts w:ascii="Open Sans" w:hAnsi="Open Sans" w:cs="Open Sans"/>
                <w:color w:val="9C0006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93,69 €</w:t>
            </w:r>
          </w:p>
        </w:tc>
        <w:tc>
          <w:tcPr>
            <w:tcW w:w="2203" w:type="dxa"/>
            <w:vAlign w:val="bottom"/>
          </w:tcPr>
          <w:p w14:paraId="5DA539A5" w14:textId="1E702DB4" w:rsidR="00C668A7" w:rsidRPr="00C668A7" w:rsidRDefault="00C668A7" w:rsidP="00C668A7">
            <w:pPr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C668A7">
              <w:rPr>
                <w:rFonts w:ascii="Open Sans" w:hAnsi="Open Sans" w:cs="Open Sans"/>
                <w:b/>
                <w:bCs/>
                <w:color w:val="9C0006"/>
                <w:sz w:val="22"/>
                <w:szCs w:val="22"/>
              </w:rPr>
              <w:t>-1,6%</w:t>
            </w:r>
          </w:p>
        </w:tc>
      </w:tr>
      <w:tr w:rsidR="00C668A7" w:rsidRPr="00842827" w14:paraId="05EC8CC6" w14:textId="77777777" w:rsidTr="00A32658">
        <w:trPr>
          <w:trHeight w:val="226"/>
        </w:trPr>
        <w:tc>
          <w:tcPr>
            <w:tcW w:w="2400" w:type="dxa"/>
            <w:shd w:val="clear" w:color="auto" w:fill="8496B0" w:themeFill="text2" w:themeFillTint="99"/>
            <w:vAlign w:val="bottom"/>
          </w:tcPr>
          <w:p w14:paraId="17409200" w14:textId="0C78CE9B" w:rsidR="00C668A7" w:rsidRPr="00C668A7" w:rsidRDefault="00C668A7" w:rsidP="00C668A7">
            <w:pPr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</w:pPr>
            <w:r w:rsidRPr="00C668A7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Tetuán</w:t>
            </w:r>
          </w:p>
        </w:tc>
        <w:tc>
          <w:tcPr>
            <w:tcW w:w="2268" w:type="dxa"/>
            <w:shd w:val="clear" w:color="auto" w:fill="D5DCE4" w:themeFill="text2" w:themeFillTint="33"/>
            <w:vAlign w:val="bottom"/>
          </w:tcPr>
          <w:p w14:paraId="232DC293" w14:textId="06FB2A3C" w:rsidR="00C668A7" w:rsidRPr="00C26BB1" w:rsidRDefault="00C668A7" w:rsidP="00C668A7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91,25 €</w:t>
            </w:r>
          </w:p>
        </w:tc>
        <w:tc>
          <w:tcPr>
            <w:tcW w:w="2218" w:type="dxa"/>
            <w:shd w:val="clear" w:color="auto" w:fill="D5DCE4" w:themeFill="text2" w:themeFillTint="33"/>
            <w:vAlign w:val="bottom"/>
          </w:tcPr>
          <w:p w14:paraId="2D8E3A33" w14:textId="6BAADC9F" w:rsidR="00C668A7" w:rsidRPr="00C26BB1" w:rsidRDefault="00C668A7" w:rsidP="00C668A7">
            <w:pPr>
              <w:jc w:val="center"/>
              <w:rPr>
                <w:rFonts w:ascii="Open Sans" w:hAnsi="Open Sans" w:cs="Open Sans"/>
                <w:color w:val="9C0006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89,78 €</w:t>
            </w:r>
          </w:p>
        </w:tc>
        <w:tc>
          <w:tcPr>
            <w:tcW w:w="2203" w:type="dxa"/>
            <w:shd w:val="clear" w:color="auto" w:fill="D5DCE4" w:themeFill="text2" w:themeFillTint="33"/>
            <w:vAlign w:val="bottom"/>
          </w:tcPr>
          <w:p w14:paraId="445B843A" w14:textId="00A54E40" w:rsidR="00C668A7" w:rsidRPr="00C668A7" w:rsidRDefault="00C668A7" w:rsidP="00C668A7">
            <w:pPr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C668A7">
              <w:rPr>
                <w:rFonts w:ascii="Open Sans" w:hAnsi="Open Sans" w:cs="Open Sans"/>
                <w:b/>
                <w:bCs/>
                <w:color w:val="9C0006"/>
                <w:sz w:val="22"/>
                <w:szCs w:val="22"/>
              </w:rPr>
              <w:t>-1,6%</w:t>
            </w:r>
          </w:p>
        </w:tc>
      </w:tr>
      <w:tr w:rsidR="00C668A7" w:rsidRPr="00842827" w14:paraId="43C4E867" w14:textId="77777777" w:rsidTr="00A32658">
        <w:trPr>
          <w:trHeight w:val="226"/>
        </w:trPr>
        <w:tc>
          <w:tcPr>
            <w:tcW w:w="2400" w:type="dxa"/>
            <w:shd w:val="clear" w:color="auto" w:fill="8496B0" w:themeFill="text2" w:themeFillTint="99"/>
            <w:vAlign w:val="bottom"/>
          </w:tcPr>
          <w:p w14:paraId="5EE14A64" w14:textId="7927C9C2" w:rsidR="00C668A7" w:rsidRPr="00C668A7" w:rsidRDefault="00C668A7" w:rsidP="00C668A7">
            <w:pPr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</w:pPr>
            <w:r w:rsidRPr="00C668A7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Chamartín</w:t>
            </w:r>
          </w:p>
        </w:tc>
        <w:tc>
          <w:tcPr>
            <w:tcW w:w="2268" w:type="dxa"/>
            <w:vAlign w:val="bottom"/>
          </w:tcPr>
          <w:p w14:paraId="03EFBC98" w14:textId="3F7A43DC" w:rsidR="00C668A7" w:rsidRPr="00C26BB1" w:rsidRDefault="00C668A7" w:rsidP="00C668A7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105,38 €</w:t>
            </w:r>
          </w:p>
        </w:tc>
        <w:tc>
          <w:tcPr>
            <w:tcW w:w="2218" w:type="dxa"/>
            <w:vAlign w:val="bottom"/>
          </w:tcPr>
          <w:p w14:paraId="1F22B3AA" w14:textId="5D1FCB78" w:rsidR="00C668A7" w:rsidRPr="00C26BB1" w:rsidRDefault="00C668A7" w:rsidP="00C668A7">
            <w:pPr>
              <w:jc w:val="center"/>
              <w:rPr>
                <w:rFonts w:ascii="Open Sans" w:hAnsi="Open Sans" w:cs="Open Sans"/>
                <w:color w:val="9C0006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102,53 €</w:t>
            </w:r>
          </w:p>
        </w:tc>
        <w:tc>
          <w:tcPr>
            <w:tcW w:w="2203" w:type="dxa"/>
            <w:vAlign w:val="bottom"/>
          </w:tcPr>
          <w:p w14:paraId="11534D30" w14:textId="0CE2BCE6" w:rsidR="00C668A7" w:rsidRPr="00C668A7" w:rsidRDefault="00C668A7" w:rsidP="00C668A7">
            <w:pPr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C668A7">
              <w:rPr>
                <w:rFonts w:ascii="Open Sans" w:hAnsi="Open Sans" w:cs="Open Sans"/>
                <w:b/>
                <w:bCs/>
                <w:color w:val="9C0006"/>
                <w:sz w:val="22"/>
                <w:szCs w:val="22"/>
              </w:rPr>
              <w:t>-2,7%</w:t>
            </w:r>
          </w:p>
        </w:tc>
      </w:tr>
      <w:tr w:rsidR="00C668A7" w:rsidRPr="00842827" w14:paraId="72D43F6D" w14:textId="77777777" w:rsidTr="00A32658">
        <w:trPr>
          <w:trHeight w:val="226"/>
        </w:trPr>
        <w:tc>
          <w:tcPr>
            <w:tcW w:w="2400" w:type="dxa"/>
            <w:shd w:val="clear" w:color="auto" w:fill="8496B0" w:themeFill="text2" w:themeFillTint="99"/>
            <w:vAlign w:val="bottom"/>
          </w:tcPr>
          <w:p w14:paraId="74149992" w14:textId="2D0E135C" w:rsidR="00C668A7" w:rsidRPr="00C668A7" w:rsidRDefault="00C668A7" w:rsidP="00C668A7">
            <w:pPr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</w:pPr>
            <w:r w:rsidRPr="00C668A7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Latina</w:t>
            </w:r>
          </w:p>
        </w:tc>
        <w:tc>
          <w:tcPr>
            <w:tcW w:w="2268" w:type="dxa"/>
            <w:shd w:val="clear" w:color="auto" w:fill="D5DCE4" w:themeFill="text2" w:themeFillTint="33"/>
            <w:vAlign w:val="bottom"/>
          </w:tcPr>
          <w:p w14:paraId="5554744B" w14:textId="18E8E847" w:rsidR="00C668A7" w:rsidRPr="00C26BB1" w:rsidRDefault="00C668A7" w:rsidP="00C668A7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75,82 €</w:t>
            </w:r>
          </w:p>
        </w:tc>
        <w:tc>
          <w:tcPr>
            <w:tcW w:w="2218" w:type="dxa"/>
            <w:shd w:val="clear" w:color="auto" w:fill="D5DCE4" w:themeFill="text2" w:themeFillTint="33"/>
            <w:vAlign w:val="bottom"/>
          </w:tcPr>
          <w:p w14:paraId="23FE3DA2" w14:textId="05A47498" w:rsidR="00C668A7" w:rsidRPr="00C26BB1" w:rsidRDefault="00C668A7" w:rsidP="00C668A7">
            <w:pPr>
              <w:jc w:val="center"/>
              <w:rPr>
                <w:rFonts w:ascii="Open Sans" w:hAnsi="Open Sans" w:cs="Open Sans"/>
                <w:color w:val="9C0006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73,68 €</w:t>
            </w:r>
          </w:p>
        </w:tc>
        <w:tc>
          <w:tcPr>
            <w:tcW w:w="2203" w:type="dxa"/>
            <w:shd w:val="clear" w:color="auto" w:fill="D5DCE4" w:themeFill="text2" w:themeFillTint="33"/>
            <w:vAlign w:val="bottom"/>
          </w:tcPr>
          <w:p w14:paraId="6B8F4844" w14:textId="493EB091" w:rsidR="00C668A7" w:rsidRPr="00C668A7" w:rsidRDefault="00C668A7" w:rsidP="00C668A7">
            <w:pPr>
              <w:jc w:val="center"/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</w:pPr>
            <w:r w:rsidRPr="00C668A7">
              <w:rPr>
                <w:rFonts w:ascii="Open Sans" w:hAnsi="Open Sans" w:cs="Open Sans"/>
                <w:b/>
                <w:bCs/>
                <w:color w:val="9C0006"/>
                <w:sz w:val="22"/>
                <w:szCs w:val="22"/>
              </w:rPr>
              <w:t>-2,8%</w:t>
            </w:r>
          </w:p>
        </w:tc>
      </w:tr>
      <w:tr w:rsidR="00C668A7" w:rsidRPr="00842827" w14:paraId="1EB42BCC" w14:textId="77777777" w:rsidTr="00A32658">
        <w:trPr>
          <w:trHeight w:val="226"/>
        </w:trPr>
        <w:tc>
          <w:tcPr>
            <w:tcW w:w="2400" w:type="dxa"/>
            <w:shd w:val="clear" w:color="auto" w:fill="8496B0" w:themeFill="text2" w:themeFillTint="99"/>
            <w:vAlign w:val="bottom"/>
          </w:tcPr>
          <w:p w14:paraId="409C44BC" w14:textId="54EB0D79" w:rsidR="00C668A7" w:rsidRPr="00C668A7" w:rsidRDefault="00C668A7" w:rsidP="00C668A7">
            <w:pPr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</w:pPr>
            <w:r w:rsidRPr="00C668A7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Chamberí</w:t>
            </w:r>
          </w:p>
        </w:tc>
        <w:tc>
          <w:tcPr>
            <w:tcW w:w="2268" w:type="dxa"/>
            <w:vAlign w:val="bottom"/>
          </w:tcPr>
          <w:p w14:paraId="4605C7FF" w14:textId="1D88543F" w:rsidR="00C668A7" w:rsidRPr="00C26BB1" w:rsidRDefault="00C668A7" w:rsidP="00C668A7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129,08 €</w:t>
            </w:r>
          </w:p>
        </w:tc>
        <w:tc>
          <w:tcPr>
            <w:tcW w:w="2218" w:type="dxa"/>
            <w:vAlign w:val="bottom"/>
          </w:tcPr>
          <w:p w14:paraId="66D66A76" w14:textId="3EB3DC23" w:rsidR="00C668A7" w:rsidRPr="00C26BB1" w:rsidRDefault="00C668A7" w:rsidP="00C668A7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125,27 €</w:t>
            </w:r>
          </w:p>
        </w:tc>
        <w:tc>
          <w:tcPr>
            <w:tcW w:w="2203" w:type="dxa"/>
            <w:vAlign w:val="bottom"/>
          </w:tcPr>
          <w:p w14:paraId="4ABF0F20" w14:textId="75342A1B" w:rsidR="00C668A7" w:rsidRPr="00C668A7" w:rsidRDefault="00C668A7" w:rsidP="00C668A7">
            <w:pPr>
              <w:jc w:val="center"/>
              <w:rPr>
                <w:rFonts w:ascii="Open Sans" w:hAnsi="Open Sans" w:cs="Open Sans"/>
                <w:b/>
                <w:bCs/>
                <w:color w:val="2E74B5" w:themeColor="accent5" w:themeShade="BF"/>
                <w:sz w:val="22"/>
                <w:szCs w:val="22"/>
              </w:rPr>
            </w:pPr>
            <w:r w:rsidRPr="00C668A7">
              <w:rPr>
                <w:rFonts w:ascii="Open Sans" w:hAnsi="Open Sans" w:cs="Open Sans"/>
                <w:b/>
                <w:bCs/>
                <w:color w:val="9C0006"/>
                <w:sz w:val="22"/>
                <w:szCs w:val="22"/>
              </w:rPr>
              <w:t>-3,0%</w:t>
            </w:r>
          </w:p>
        </w:tc>
      </w:tr>
      <w:tr w:rsidR="00C668A7" w:rsidRPr="00842827" w14:paraId="5CB8A92E" w14:textId="77777777" w:rsidTr="00A32658">
        <w:trPr>
          <w:trHeight w:val="226"/>
        </w:trPr>
        <w:tc>
          <w:tcPr>
            <w:tcW w:w="2400" w:type="dxa"/>
            <w:shd w:val="clear" w:color="auto" w:fill="8496B0" w:themeFill="text2" w:themeFillTint="99"/>
            <w:vAlign w:val="bottom"/>
          </w:tcPr>
          <w:p w14:paraId="0100FD8A" w14:textId="79334C7E" w:rsidR="00C668A7" w:rsidRPr="00C668A7" w:rsidRDefault="00C668A7" w:rsidP="00C668A7">
            <w:pPr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</w:pPr>
            <w:r w:rsidRPr="00C668A7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Puente de Vallecas</w:t>
            </w:r>
          </w:p>
        </w:tc>
        <w:tc>
          <w:tcPr>
            <w:tcW w:w="2268" w:type="dxa"/>
            <w:shd w:val="clear" w:color="auto" w:fill="D5DCE4" w:themeFill="text2" w:themeFillTint="33"/>
            <w:vAlign w:val="bottom"/>
          </w:tcPr>
          <w:p w14:paraId="1E0B551A" w14:textId="4878724D" w:rsidR="00C668A7" w:rsidRPr="00C26BB1" w:rsidRDefault="00C668A7" w:rsidP="00C668A7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74,30 €</w:t>
            </w:r>
          </w:p>
        </w:tc>
        <w:tc>
          <w:tcPr>
            <w:tcW w:w="2218" w:type="dxa"/>
            <w:shd w:val="clear" w:color="auto" w:fill="D5DCE4" w:themeFill="text2" w:themeFillTint="33"/>
            <w:vAlign w:val="bottom"/>
          </w:tcPr>
          <w:p w14:paraId="33CC823E" w14:textId="737B0A76" w:rsidR="00C668A7" w:rsidRPr="00C26BB1" w:rsidRDefault="00C668A7" w:rsidP="00C668A7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71,89 €</w:t>
            </w:r>
          </w:p>
        </w:tc>
        <w:tc>
          <w:tcPr>
            <w:tcW w:w="2203" w:type="dxa"/>
            <w:shd w:val="clear" w:color="auto" w:fill="D5DCE4" w:themeFill="text2" w:themeFillTint="33"/>
            <w:vAlign w:val="bottom"/>
          </w:tcPr>
          <w:p w14:paraId="47AD418D" w14:textId="72F0AC3A" w:rsidR="00C668A7" w:rsidRPr="00C668A7" w:rsidRDefault="00C668A7" w:rsidP="00C668A7">
            <w:pPr>
              <w:jc w:val="center"/>
              <w:rPr>
                <w:rFonts w:ascii="Open Sans" w:hAnsi="Open Sans" w:cs="Open Sans"/>
                <w:b/>
                <w:bCs/>
                <w:color w:val="2E74B5" w:themeColor="accent5" w:themeShade="BF"/>
                <w:sz w:val="22"/>
                <w:szCs w:val="22"/>
              </w:rPr>
            </w:pPr>
            <w:r w:rsidRPr="00C668A7">
              <w:rPr>
                <w:rFonts w:ascii="Open Sans" w:hAnsi="Open Sans" w:cs="Open Sans"/>
                <w:b/>
                <w:bCs/>
                <w:color w:val="9C0006"/>
                <w:sz w:val="22"/>
                <w:szCs w:val="22"/>
              </w:rPr>
              <w:t>-3,2%</w:t>
            </w:r>
          </w:p>
        </w:tc>
      </w:tr>
      <w:tr w:rsidR="00C668A7" w:rsidRPr="00842827" w14:paraId="4AC2C854" w14:textId="77777777" w:rsidTr="005C2993">
        <w:trPr>
          <w:trHeight w:val="226"/>
        </w:trPr>
        <w:tc>
          <w:tcPr>
            <w:tcW w:w="2400" w:type="dxa"/>
            <w:shd w:val="clear" w:color="auto" w:fill="8496B0" w:themeFill="text2" w:themeFillTint="99"/>
            <w:vAlign w:val="bottom"/>
          </w:tcPr>
          <w:p w14:paraId="333F41E6" w14:textId="69AA3E5E" w:rsidR="00C668A7" w:rsidRPr="00C668A7" w:rsidRDefault="00C668A7" w:rsidP="00C668A7">
            <w:pPr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</w:pPr>
            <w:r w:rsidRPr="00C668A7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Centro</w:t>
            </w:r>
          </w:p>
        </w:tc>
        <w:tc>
          <w:tcPr>
            <w:tcW w:w="2268" w:type="dxa"/>
            <w:vAlign w:val="bottom"/>
          </w:tcPr>
          <w:p w14:paraId="1CCFD585" w14:textId="7C65431C" w:rsidR="00C668A7" w:rsidRPr="00C26BB1" w:rsidRDefault="00C668A7" w:rsidP="00C668A7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127,28 €</w:t>
            </w:r>
          </w:p>
        </w:tc>
        <w:tc>
          <w:tcPr>
            <w:tcW w:w="2218" w:type="dxa"/>
            <w:vAlign w:val="bottom"/>
          </w:tcPr>
          <w:p w14:paraId="6C3F154C" w14:textId="6A5A0733" w:rsidR="00C668A7" w:rsidRPr="00C26BB1" w:rsidRDefault="00C668A7" w:rsidP="00C668A7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120,57 €</w:t>
            </w:r>
          </w:p>
        </w:tc>
        <w:tc>
          <w:tcPr>
            <w:tcW w:w="2203" w:type="dxa"/>
            <w:vAlign w:val="bottom"/>
          </w:tcPr>
          <w:p w14:paraId="4B20F779" w14:textId="0365C33A" w:rsidR="00C668A7" w:rsidRPr="00C668A7" w:rsidRDefault="00C668A7" w:rsidP="00C668A7">
            <w:pPr>
              <w:jc w:val="center"/>
              <w:rPr>
                <w:rFonts w:ascii="Open Sans" w:hAnsi="Open Sans" w:cs="Open Sans"/>
                <w:b/>
                <w:bCs/>
                <w:color w:val="2E74B5" w:themeColor="accent5" w:themeShade="BF"/>
                <w:sz w:val="22"/>
                <w:szCs w:val="22"/>
              </w:rPr>
            </w:pPr>
            <w:r w:rsidRPr="00C668A7">
              <w:rPr>
                <w:rFonts w:ascii="Open Sans" w:hAnsi="Open Sans" w:cs="Open Sans"/>
                <w:b/>
                <w:bCs/>
                <w:color w:val="9C0006"/>
                <w:sz w:val="22"/>
                <w:szCs w:val="22"/>
              </w:rPr>
              <w:t>-5,3%</w:t>
            </w:r>
          </w:p>
        </w:tc>
      </w:tr>
      <w:tr w:rsidR="00C668A7" w:rsidRPr="00842827" w14:paraId="33DB6C4E" w14:textId="77777777" w:rsidTr="00C668A7">
        <w:trPr>
          <w:trHeight w:val="226"/>
        </w:trPr>
        <w:tc>
          <w:tcPr>
            <w:tcW w:w="2400" w:type="dxa"/>
            <w:shd w:val="clear" w:color="auto" w:fill="8496B0" w:themeFill="text2" w:themeFillTint="99"/>
            <w:vAlign w:val="bottom"/>
          </w:tcPr>
          <w:p w14:paraId="562BFC32" w14:textId="4327801A" w:rsidR="00C668A7" w:rsidRPr="00C668A7" w:rsidRDefault="00C668A7" w:rsidP="00C668A7">
            <w:pPr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</w:pPr>
            <w:r w:rsidRPr="00C668A7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Villaverde</w:t>
            </w:r>
          </w:p>
        </w:tc>
        <w:tc>
          <w:tcPr>
            <w:tcW w:w="2268" w:type="dxa"/>
            <w:shd w:val="clear" w:color="auto" w:fill="D5DCE4" w:themeFill="text2" w:themeFillTint="33"/>
            <w:vAlign w:val="bottom"/>
          </w:tcPr>
          <w:p w14:paraId="7076EBA5" w14:textId="77777777" w:rsidR="00C668A7" w:rsidRDefault="00C668A7" w:rsidP="00C668A7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</w:p>
        </w:tc>
        <w:tc>
          <w:tcPr>
            <w:tcW w:w="2218" w:type="dxa"/>
            <w:shd w:val="clear" w:color="auto" w:fill="D5DCE4" w:themeFill="text2" w:themeFillTint="33"/>
            <w:vAlign w:val="bottom"/>
          </w:tcPr>
          <w:p w14:paraId="1D3AFED9" w14:textId="32CC8B41" w:rsidR="00C668A7" w:rsidRDefault="00C668A7" w:rsidP="00C668A7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67,56 €</w:t>
            </w:r>
          </w:p>
        </w:tc>
        <w:tc>
          <w:tcPr>
            <w:tcW w:w="2203" w:type="dxa"/>
            <w:shd w:val="clear" w:color="auto" w:fill="D5DCE4" w:themeFill="text2" w:themeFillTint="33"/>
            <w:vAlign w:val="bottom"/>
          </w:tcPr>
          <w:p w14:paraId="7B4F7F81" w14:textId="77777777" w:rsidR="00C668A7" w:rsidRDefault="00C668A7" w:rsidP="00C668A7">
            <w:pPr>
              <w:jc w:val="center"/>
              <w:rPr>
                <w:rFonts w:ascii="Open Sans" w:hAnsi="Open Sans" w:cs="Open Sans"/>
                <w:color w:val="9C0006"/>
                <w:sz w:val="22"/>
                <w:szCs w:val="22"/>
              </w:rPr>
            </w:pPr>
          </w:p>
        </w:tc>
      </w:tr>
    </w:tbl>
    <w:p w14:paraId="21654E1C" w14:textId="72B74006" w:rsidR="00204752" w:rsidRDefault="00204752" w:rsidP="00204752">
      <w:pPr>
        <w:pStyle w:val="NormalWeb"/>
        <w:shd w:val="clear" w:color="auto" w:fill="FFFFFF"/>
        <w:spacing w:after="225" w:line="276" w:lineRule="auto"/>
        <w:ind w:right="-574"/>
        <w:jc w:val="both"/>
        <w:rPr>
          <w:rFonts w:ascii="National" w:eastAsiaTheme="minorHAnsi" w:hAnsi="National" w:cstheme="minorBidi"/>
          <w:b/>
          <w:bCs/>
          <w:iCs/>
          <w:color w:val="303AB2"/>
          <w:sz w:val="30"/>
          <w:szCs w:val="180"/>
          <w:lang w:eastAsia="en-US"/>
        </w:rPr>
      </w:pPr>
      <w:r w:rsidRPr="0014007A">
        <w:rPr>
          <w:rFonts w:ascii="National" w:eastAsiaTheme="minorHAnsi" w:hAnsi="National" w:cstheme="minorBidi"/>
          <w:b/>
          <w:bCs/>
          <w:iCs/>
          <w:color w:val="303AB2"/>
          <w:sz w:val="30"/>
          <w:szCs w:val="180"/>
          <w:lang w:eastAsia="en-US"/>
        </w:rPr>
        <w:t xml:space="preserve">Por </w:t>
      </w:r>
      <w:r>
        <w:rPr>
          <w:rFonts w:ascii="National" w:eastAsiaTheme="minorHAnsi" w:hAnsi="National" w:cstheme="minorBidi"/>
          <w:b/>
          <w:bCs/>
          <w:iCs/>
          <w:color w:val="303AB2"/>
          <w:sz w:val="30"/>
          <w:szCs w:val="180"/>
          <w:lang w:eastAsia="en-US"/>
        </w:rPr>
        <w:t xml:space="preserve">distritos de Barcelona </w:t>
      </w:r>
    </w:p>
    <w:p w14:paraId="214D1565" w14:textId="2ADF7456" w:rsidR="00E418C1" w:rsidRDefault="005E7236" w:rsidP="004B2233">
      <w:pPr>
        <w:pStyle w:val="NormalWeb"/>
        <w:shd w:val="clear" w:color="auto" w:fill="FFFFFF"/>
        <w:spacing w:after="225" w:line="276" w:lineRule="auto"/>
        <w:ind w:right="-574"/>
        <w:jc w:val="both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color w:val="000000"/>
          <w:sz w:val="22"/>
          <w:szCs w:val="22"/>
        </w:rPr>
        <w:t>En</w:t>
      </w:r>
      <w:r w:rsidR="00666200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E418C1">
        <w:rPr>
          <w:rFonts w:ascii="Open Sans" w:hAnsi="Open Sans" w:cs="Open Sans"/>
          <w:color w:val="000000"/>
          <w:sz w:val="22"/>
          <w:szCs w:val="22"/>
        </w:rPr>
        <w:t>ocho</w:t>
      </w:r>
      <w:r w:rsidR="00666200">
        <w:rPr>
          <w:rFonts w:ascii="Open Sans" w:hAnsi="Open Sans" w:cs="Open Sans"/>
          <w:color w:val="000000"/>
          <w:sz w:val="22"/>
          <w:szCs w:val="22"/>
        </w:rPr>
        <w:t xml:space="preserve"> de los </w:t>
      </w:r>
      <w:r>
        <w:rPr>
          <w:rFonts w:ascii="Open Sans" w:hAnsi="Open Sans" w:cs="Open Sans"/>
          <w:color w:val="000000"/>
          <w:sz w:val="22"/>
          <w:szCs w:val="22"/>
        </w:rPr>
        <w:t>diez</w:t>
      </w:r>
      <w:r w:rsidR="00666200">
        <w:rPr>
          <w:rFonts w:ascii="Open Sans" w:hAnsi="Open Sans" w:cs="Open Sans"/>
          <w:color w:val="000000"/>
          <w:sz w:val="22"/>
          <w:szCs w:val="22"/>
        </w:rPr>
        <w:t xml:space="preserve"> distritos analizados de </w:t>
      </w:r>
      <w:r w:rsidR="00204752">
        <w:rPr>
          <w:rFonts w:ascii="Open Sans" w:hAnsi="Open Sans" w:cs="Open Sans"/>
          <w:b/>
          <w:bCs/>
          <w:color w:val="000000"/>
          <w:sz w:val="22"/>
          <w:szCs w:val="22"/>
        </w:rPr>
        <w:t>Barcelona</w:t>
      </w:r>
      <w:r w:rsidR="00666200">
        <w:rPr>
          <w:rFonts w:ascii="Open Sans" w:hAnsi="Open Sans" w:cs="Open Sans"/>
          <w:color w:val="000000"/>
          <w:sz w:val="22"/>
          <w:szCs w:val="22"/>
        </w:rPr>
        <w:t xml:space="preserve"> el precio de los garajes </w:t>
      </w:r>
      <w:r w:rsidR="00E418C1">
        <w:rPr>
          <w:rFonts w:ascii="Open Sans" w:hAnsi="Open Sans" w:cs="Open Sans"/>
          <w:color w:val="000000"/>
          <w:sz w:val="22"/>
          <w:szCs w:val="22"/>
        </w:rPr>
        <w:t>cae</w:t>
      </w:r>
      <w:r w:rsidR="00666200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81678C">
        <w:rPr>
          <w:rFonts w:ascii="Open Sans" w:hAnsi="Open Sans" w:cs="Open Sans"/>
          <w:color w:val="000000"/>
          <w:sz w:val="22"/>
          <w:szCs w:val="22"/>
        </w:rPr>
        <w:t>en 202</w:t>
      </w:r>
      <w:r w:rsidR="00E418C1">
        <w:rPr>
          <w:rFonts w:ascii="Open Sans" w:hAnsi="Open Sans" w:cs="Open Sans"/>
          <w:color w:val="000000"/>
          <w:sz w:val="22"/>
          <w:szCs w:val="22"/>
        </w:rPr>
        <w:t>5</w:t>
      </w:r>
      <w:r w:rsidR="00666200">
        <w:rPr>
          <w:rFonts w:ascii="Open Sans" w:hAnsi="Open Sans" w:cs="Open Sans"/>
          <w:color w:val="000000"/>
          <w:sz w:val="22"/>
          <w:szCs w:val="22"/>
        </w:rPr>
        <w:t xml:space="preserve">. </w:t>
      </w:r>
      <w:r>
        <w:rPr>
          <w:rFonts w:ascii="Open Sans" w:hAnsi="Open Sans" w:cs="Open Sans"/>
          <w:color w:val="000000"/>
          <w:sz w:val="22"/>
          <w:szCs w:val="22"/>
        </w:rPr>
        <w:t xml:space="preserve">Los </w:t>
      </w:r>
      <w:r w:rsidR="00666200">
        <w:rPr>
          <w:rFonts w:ascii="Open Sans" w:hAnsi="Open Sans" w:cs="Open Sans"/>
          <w:color w:val="000000"/>
          <w:sz w:val="22"/>
          <w:szCs w:val="22"/>
        </w:rPr>
        <w:t>distrito</w:t>
      </w:r>
      <w:r>
        <w:rPr>
          <w:rFonts w:ascii="Open Sans" w:hAnsi="Open Sans" w:cs="Open Sans"/>
          <w:color w:val="000000"/>
          <w:sz w:val="22"/>
          <w:szCs w:val="22"/>
        </w:rPr>
        <w:t>s</w:t>
      </w:r>
      <w:r w:rsidR="00666200">
        <w:rPr>
          <w:rFonts w:ascii="Open Sans" w:hAnsi="Open Sans" w:cs="Open Sans"/>
          <w:color w:val="000000"/>
          <w:sz w:val="22"/>
          <w:szCs w:val="22"/>
        </w:rPr>
        <w:t xml:space="preserve"> con mayor </w:t>
      </w:r>
      <w:r>
        <w:rPr>
          <w:rFonts w:ascii="Open Sans" w:hAnsi="Open Sans" w:cs="Open Sans"/>
          <w:color w:val="000000"/>
          <w:sz w:val="22"/>
          <w:szCs w:val="22"/>
        </w:rPr>
        <w:t>incremento</w:t>
      </w:r>
      <w:r w:rsidR="00666200">
        <w:rPr>
          <w:rFonts w:ascii="Open Sans" w:hAnsi="Open Sans" w:cs="Open Sans"/>
          <w:color w:val="000000"/>
          <w:sz w:val="22"/>
          <w:szCs w:val="22"/>
        </w:rPr>
        <w:t xml:space="preserve"> de precios </w:t>
      </w:r>
      <w:r>
        <w:rPr>
          <w:rFonts w:ascii="Open Sans" w:hAnsi="Open Sans" w:cs="Open Sans"/>
          <w:color w:val="000000"/>
          <w:sz w:val="22"/>
          <w:szCs w:val="22"/>
        </w:rPr>
        <w:t xml:space="preserve">son </w:t>
      </w:r>
      <w:r w:rsidR="00E418C1" w:rsidRPr="00E418C1">
        <w:rPr>
          <w:rFonts w:ascii="Open Sans" w:hAnsi="Open Sans" w:cs="Open Sans"/>
          <w:color w:val="000000"/>
          <w:sz w:val="22"/>
          <w:szCs w:val="22"/>
        </w:rPr>
        <w:t>Nou Barris</w:t>
      </w:r>
      <w:r w:rsidR="00E418C1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E418C1" w:rsidRPr="00E418C1">
        <w:rPr>
          <w:rFonts w:ascii="Open Sans" w:hAnsi="Open Sans" w:cs="Open Sans"/>
          <w:color w:val="000000"/>
          <w:sz w:val="22"/>
          <w:szCs w:val="22"/>
        </w:rPr>
        <w:t>-19,5%</w:t>
      </w:r>
      <w:r w:rsidR="00E418C1">
        <w:rPr>
          <w:rFonts w:ascii="Open Sans" w:hAnsi="Open Sans" w:cs="Open Sans"/>
          <w:color w:val="000000"/>
          <w:sz w:val="22"/>
          <w:szCs w:val="22"/>
        </w:rPr>
        <w:t xml:space="preserve">), </w:t>
      </w:r>
      <w:r w:rsidR="00E418C1" w:rsidRPr="00E418C1">
        <w:rPr>
          <w:rFonts w:ascii="Open Sans" w:hAnsi="Open Sans" w:cs="Open Sans"/>
          <w:color w:val="000000"/>
          <w:sz w:val="22"/>
          <w:szCs w:val="22"/>
        </w:rPr>
        <w:t>Horta - Guinardó</w:t>
      </w:r>
      <w:r w:rsidR="00E418C1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E418C1" w:rsidRPr="00E418C1">
        <w:rPr>
          <w:rFonts w:ascii="Open Sans" w:hAnsi="Open Sans" w:cs="Open Sans"/>
          <w:color w:val="000000"/>
          <w:sz w:val="22"/>
          <w:szCs w:val="22"/>
        </w:rPr>
        <w:t>-6,8%</w:t>
      </w:r>
      <w:r w:rsidR="00E418C1">
        <w:rPr>
          <w:rFonts w:ascii="Open Sans" w:hAnsi="Open Sans" w:cs="Open Sans"/>
          <w:color w:val="000000"/>
          <w:sz w:val="22"/>
          <w:szCs w:val="22"/>
        </w:rPr>
        <w:t xml:space="preserve">), </w:t>
      </w:r>
      <w:r w:rsidR="00E418C1" w:rsidRPr="00E418C1">
        <w:rPr>
          <w:rFonts w:ascii="Open Sans" w:hAnsi="Open Sans" w:cs="Open Sans"/>
          <w:color w:val="000000"/>
          <w:sz w:val="22"/>
          <w:szCs w:val="22"/>
        </w:rPr>
        <w:t>Sants - Montjuïc</w:t>
      </w:r>
      <w:r w:rsidR="00E418C1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E418C1" w:rsidRPr="00E418C1">
        <w:rPr>
          <w:rFonts w:ascii="Open Sans" w:hAnsi="Open Sans" w:cs="Open Sans"/>
          <w:color w:val="000000"/>
          <w:sz w:val="22"/>
          <w:szCs w:val="22"/>
        </w:rPr>
        <w:t>-4,5%</w:t>
      </w:r>
      <w:r w:rsidR="00E418C1">
        <w:rPr>
          <w:rFonts w:ascii="Open Sans" w:hAnsi="Open Sans" w:cs="Open Sans"/>
          <w:color w:val="000000"/>
          <w:sz w:val="22"/>
          <w:szCs w:val="22"/>
        </w:rPr>
        <w:t xml:space="preserve">), </w:t>
      </w:r>
      <w:r w:rsidR="00E418C1" w:rsidRPr="00E418C1">
        <w:rPr>
          <w:rFonts w:ascii="Open Sans" w:hAnsi="Open Sans" w:cs="Open Sans"/>
          <w:color w:val="000000"/>
          <w:sz w:val="22"/>
          <w:szCs w:val="22"/>
        </w:rPr>
        <w:t>Ciutat Vella</w:t>
      </w:r>
      <w:r w:rsidR="00E418C1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E418C1" w:rsidRPr="00E418C1">
        <w:rPr>
          <w:rFonts w:ascii="Open Sans" w:hAnsi="Open Sans" w:cs="Open Sans"/>
          <w:color w:val="000000"/>
          <w:sz w:val="22"/>
          <w:szCs w:val="22"/>
        </w:rPr>
        <w:t>-2,2%</w:t>
      </w:r>
      <w:r w:rsidR="00E418C1">
        <w:rPr>
          <w:rFonts w:ascii="Open Sans" w:hAnsi="Open Sans" w:cs="Open Sans"/>
          <w:color w:val="000000"/>
          <w:sz w:val="22"/>
          <w:szCs w:val="22"/>
        </w:rPr>
        <w:t xml:space="preserve">), </w:t>
      </w:r>
      <w:r w:rsidR="00E418C1" w:rsidRPr="00E418C1">
        <w:rPr>
          <w:rFonts w:ascii="Open Sans" w:hAnsi="Open Sans" w:cs="Open Sans"/>
          <w:color w:val="000000"/>
          <w:sz w:val="22"/>
          <w:szCs w:val="22"/>
        </w:rPr>
        <w:t>Sarrià - Sant Gervasi</w:t>
      </w:r>
      <w:r w:rsidR="00E418C1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E418C1" w:rsidRPr="00E418C1">
        <w:rPr>
          <w:rFonts w:ascii="Open Sans" w:hAnsi="Open Sans" w:cs="Open Sans"/>
          <w:color w:val="000000"/>
          <w:sz w:val="22"/>
          <w:szCs w:val="22"/>
        </w:rPr>
        <w:t>-1,6%</w:t>
      </w:r>
      <w:r w:rsidR="00E418C1">
        <w:rPr>
          <w:rFonts w:ascii="Open Sans" w:hAnsi="Open Sans" w:cs="Open Sans"/>
          <w:color w:val="000000"/>
          <w:sz w:val="22"/>
          <w:szCs w:val="22"/>
        </w:rPr>
        <w:t xml:space="preserve">), </w:t>
      </w:r>
      <w:r w:rsidR="00E418C1" w:rsidRPr="00E418C1">
        <w:rPr>
          <w:rFonts w:ascii="Open Sans" w:hAnsi="Open Sans" w:cs="Open Sans"/>
          <w:color w:val="000000"/>
          <w:sz w:val="22"/>
          <w:szCs w:val="22"/>
        </w:rPr>
        <w:t>Sant Martí</w:t>
      </w:r>
      <w:r w:rsidR="00E418C1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E418C1" w:rsidRPr="00E418C1">
        <w:rPr>
          <w:rFonts w:ascii="Open Sans" w:hAnsi="Open Sans" w:cs="Open Sans"/>
          <w:color w:val="000000"/>
          <w:sz w:val="22"/>
          <w:szCs w:val="22"/>
        </w:rPr>
        <w:t>-1,6%</w:t>
      </w:r>
      <w:r w:rsidR="00E418C1">
        <w:rPr>
          <w:rFonts w:ascii="Open Sans" w:hAnsi="Open Sans" w:cs="Open Sans"/>
          <w:color w:val="000000"/>
          <w:sz w:val="22"/>
          <w:szCs w:val="22"/>
        </w:rPr>
        <w:t xml:space="preserve">), </w:t>
      </w:r>
      <w:r w:rsidR="00E418C1" w:rsidRPr="00E418C1">
        <w:rPr>
          <w:rFonts w:ascii="Open Sans" w:hAnsi="Open Sans" w:cs="Open Sans"/>
          <w:color w:val="000000"/>
          <w:sz w:val="22"/>
          <w:szCs w:val="22"/>
        </w:rPr>
        <w:t>Sant Andreu</w:t>
      </w:r>
      <w:r w:rsidR="00E418C1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E418C1" w:rsidRPr="00E418C1">
        <w:rPr>
          <w:rFonts w:ascii="Open Sans" w:hAnsi="Open Sans" w:cs="Open Sans"/>
          <w:color w:val="000000"/>
          <w:sz w:val="22"/>
          <w:szCs w:val="22"/>
        </w:rPr>
        <w:t>-0,8%</w:t>
      </w:r>
      <w:r w:rsidR="00E418C1">
        <w:rPr>
          <w:rFonts w:ascii="Open Sans" w:hAnsi="Open Sans" w:cs="Open Sans"/>
          <w:color w:val="000000"/>
          <w:sz w:val="22"/>
          <w:szCs w:val="22"/>
        </w:rPr>
        <w:t xml:space="preserve">) y </w:t>
      </w:r>
      <w:r w:rsidR="00E418C1" w:rsidRPr="00E418C1">
        <w:rPr>
          <w:rFonts w:ascii="Open Sans" w:hAnsi="Open Sans" w:cs="Open Sans"/>
          <w:color w:val="000000"/>
          <w:sz w:val="22"/>
          <w:szCs w:val="22"/>
        </w:rPr>
        <w:t>Eixample</w:t>
      </w:r>
      <w:r w:rsidR="00E418C1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E418C1" w:rsidRPr="00E418C1">
        <w:rPr>
          <w:rFonts w:ascii="Open Sans" w:hAnsi="Open Sans" w:cs="Open Sans"/>
          <w:color w:val="000000"/>
          <w:sz w:val="22"/>
          <w:szCs w:val="22"/>
        </w:rPr>
        <w:t>-0,5%</w:t>
      </w:r>
      <w:r w:rsidR="00E418C1">
        <w:rPr>
          <w:rFonts w:ascii="Open Sans" w:hAnsi="Open Sans" w:cs="Open Sans"/>
          <w:color w:val="000000"/>
          <w:sz w:val="22"/>
          <w:szCs w:val="22"/>
        </w:rPr>
        <w:t>).</w:t>
      </w:r>
      <w:r w:rsidR="004B2233">
        <w:rPr>
          <w:rFonts w:ascii="Open Sans" w:hAnsi="Open Sans" w:cs="Open Sans"/>
          <w:color w:val="000000"/>
          <w:sz w:val="22"/>
          <w:szCs w:val="22"/>
        </w:rPr>
        <w:t xml:space="preserve"> Por otro lado, los dos distritos con incrementos anuales son </w:t>
      </w:r>
      <w:r w:rsidR="004B2233" w:rsidRPr="004B2233">
        <w:rPr>
          <w:rFonts w:ascii="Open Sans" w:hAnsi="Open Sans" w:cs="Open Sans"/>
          <w:color w:val="000000"/>
          <w:sz w:val="22"/>
          <w:szCs w:val="22"/>
        </w:rPr>
        <w:t>Les Corts</w:t>
      </w:r>
      <w:r w:rsidR="004B2233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4B2233" w:rsidRPr="004B2233">
        <w:rPr>
          <w:rFonts w:ascii="Open Sans" w:hAnsi="Open Sans" w:cs="Open Sans"/>
          <w:color w:val="000000"/>
          <w:sz w:val="22"/>
          <w:szCs w:val="22"/>
        </w:rPr>
        <w:t>5,6%</w:t>
      </w:r>
      <w:r w:rsidR="004B2233">
        <w:rPr>
          <w:rFonts w:ascii="Open Sans" w:hAnsi="Open Sans" w:cs="Open Sans"/>
          <w:color w:val="000000"/>
          <w:sz w:val="22"/>
          <w:szCs w:val="22"/>
        </w:rPr>
        <w:t xml:space="preserve">) y </w:t>
      </w:r>
      <w:r w:rsidR="004B2233" w:rsidRPr="004B2233">
        <w:rPr>
          <w:rFonts w:ascii="Open Sans" w:hAnsi="Open Sans" w:cs="Open Sans"/>
          <w:color w:val="000000"/>
          <w:sz w:val="22"/>
          <w:szCs w:val="22"/>
        </w:rPr>
        <w:t>Gràcia</w:t>
      </w:r>
      <w:r w:rsidR="004B2233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4B2233" w:rsidRPr="004B2233">
        <w:rPr>
          <w:rFonts w:ascii="Open Sans" w:hAnsi="Open Sans" w:cs="Open Sans"/>
          <w:color w:val="000000"/>
          <w:sz w:val="22"/>
          <w:szCs w:val="22"/>
        </w:rPr>
        <w:t>3,3%</w:t>
      </w:r>
      <w:r w:rsidR="004B2233">
        <w:rPr>
          <w:rFonts w:ascii="Open Sans" w:hAnsi="Open Sans" w:cs="Open Sans"/>
          <w:color w:val="000000"/>
          <w:sz w:val="22"/>
          <w:szCs w:val="22"/>
        </w:rPr>
        <w:t>).</w:t>
      </w:r>
    </w:p>
    <w:p w14:paraId="36A9271A" w14:textId="647BCBCA" w:rsidR="00E418C1" w:rsidRDefault="00666200" w:rsidP="00E418C1">
      <w:pPr>
        <w:pStyle w:val="NormalWeb"/>
        <w:shd w:val="clear" w:color="auto" w:fill="FFFFFF"/>
        <w:spacing w:after="225" w:line="276" w:lineRule="auto"/>
        <w:ind w:right="-574"/>
        <w:jc w:val="both"/>
        <w:rPr>
          <w:rFonts w:ascii="Open Sans" w:hAnsi="Open Sans" w:cs="Open Sans"/>
          <w:color w:val="000000"/>
          <w:sz w:val="22"/>
          <w:szCs w:val="22"/>
        </w:rPr>
      </w:pPr>
      <w:r>
        <w:rPr>
          <w:rFonts w:ascii="Open Sans" w:hAnsi="Open Sans" w:cs="Open Sans"/>
          <w:color w:val="000000"/>
          <w:sz w:val="22"/>
          <w:szCs w:val="22"/>
        </w:rPr>
        <w:t>En cuanto a los precios,</w:t>
      </w:r>
      <w:r w:rsidR="00E418C1">
        <w:rPr>
          <w:rFonts w:ascii="Open Sans" w:hAnsi="Open Sans" w:cs="Open Sans"/>
          <w:color w:val="000000"/>
          <w:sz w:val="22"/>
          <w:szCs w:val="22"/>
        </w:rPr>
        <w:t xml:space="preserve"> el orden de</w:t>
      </w:r>
      <w:r>
        <w:rPr>
          <w:rFonts w:ascii="Open Sans" w:hAnsi="Open Sans" w:cs="Open Sans"/>
          <w:color w:val="000000"/>
          <w:sz w:val="22"/>
          <w:szCs w:val="22"/>
        </w:rPr>
        <w:t xml:space="preserve"> los garajes en </w:t>
      </w:r>
      <w:r w:rsidR="00C10EC7">
        <w:rPr>
          <w:rFonts w:ascii="Open Sans" w:hAnsi="Open Sans" w:cs="Open Sans"/>
          <w:color w:val="000000"/>
          <w:sz w:val="22"/>
          <w:szCs w:val="22"/>
        </w:rPr>
        <w:t>alquiler</w:t>
      </w:r>
      <w:r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E418C1">
        <w:rPr>
          <w:rFonts w:ascii="Open Sans" w:hAnsi="Open Sans" w:cs="Open Sans"/>
          <w:color w:val="000000"/>
          <w:sz w:val="22"/>
          <w:szCs w:val="22"/>
        </w:rPr>
        <w:t xml:space="preserve">de mayor a menor precio es </w:t>
      </w:r>
      <w:r w:rsidR="00E418C1" w:rsidRPr="00E418C1">
        <w:rPr>
          <w:rFonts w:ascii="Open Sans" w:hAnsi="Open Sans" w:cs="Open Sans"/>
          <w:color w:val="000000"/>
          <w:sz w:val="22"/>
          <w:szCs w:val="22"/>
        </w:rPr>
        <w:t xml:space="preserve">Sarrià - Sant Gervasi </w:t>
      </w:r>
      <w:r w:rsidR="00E418C1">
        <w:rPr>
          <w:rFonts w:ascii="Open Sans" w:hAnsi="Open Sans" w:cs="Open Sans"/>
          <w:color w:val="000000"/>
          <w:sz w:val="22"/>
          <w:szCs w:val="22"/>
        </w:rPr>
        <w:t>con</w:t>
      </w:r>
      <w:r w:rsidR="00E418C1" w:rsidRPr="00E418C1">
        <w:rPr>
          <w:rFonts w:ascii="Open Sans" w:hAnsi="Open Sans" w:cs="Open Sans"/>
          <w:color w:val="000000"/>
          <w:sz w:val="22"/>
          <w:szCs w:val="22"/>
        </w:rPr>
        <w:t xml:space="preserve"> 103,52 </w:t>
      </w:r>
      <w:r w:rsidR="00E418C1">
        <w:rPr>
          <w:rFonts w:ascii="Open Sans" w:hAnsi="Open Sans" w:cs="Open Sans"/>
          <w:color w:val="000000"/>
          <w:sz w:val="22"/>
          <w:szCs w:val="22"/>
        </w:rPr>
        <w:t xml:space="preserve">euros al mes, </w:t>
      </w:r>
      <w:r w:rsidR="00E418C1" w:rsidRPr="00E418C1">
        <w:rPr>
          <w:rFonts w:ascii="Open Sans" w:hAnsi="Open Sans" w:cs="Open Sans"/>
          <w:color w:val="000000"/>
          <w:sz w:val="22"/>
          <w:szCs w:val="22"/>
        </w:rPr>
        <w:t xml:space="preserve">Les Corts </w:t>
      </w:r>
      <w:r w:rsidR="00E418C1">
        <w:rPr>
          <w:rFonts w:ascii="Open Sans" w:hAnsi="Open Sans" w:cs="Open Sans"/>
          <w:color w:val="000000"/>
          <w:sz w:val="22"/>
          <w:szCs w:val="22"/>
        </w:rPr>
        <w:t>con</w:t>
      </w:r>
      <w:r w:rsidR="00E418C1" w:rsidRPr="00E418C1">
        <w:rPr>
          <w:rFonts w:ascii="Open Sans" w:hAnsi="Open Sans" w:cs="Open Sans"/>
          <w:color w:val="000000"/>
          <w:sz w:val="22"/>
          <w:szCs w:val="22"/>
        </w:rPr>
        <w:t xml:space="preserve"> 102,15 </w:t>
      </w:r>
      <w:r w:rsidR="00E418C1">
        <w:rPr>
          <w:rFonts w:ascii="Open Sans" w:hAnsi="Open Sans" w:cs="Open Sans"/>
          <w:color w:val="000000"/>
          <w:sz w:val="22"/>
          <w:szCs w:val="22"/>
        </w:rPr>
        <w:t xml:space="preserve">euros al mes, </w:t>
      </w:r>
      <w:r w:rsidR="00E418C1" w:rsidRPr="00E418C1">
        <w:rPr>
          <w:rFonts w:ascii="Open Sans" w:hAnsi="Open Sans" w:cs="Open Sans"/>
          <w:color w:val="000000"/>
          <w:sz w:val="22"/>
          <w:szCs w:val="22"/>
        </w:rPr>
        <w:t xml:space="preserve">Ciutat Vella </w:t>
      </w:r>
      <w:r w:rsidR="00E418C1">
        <w:rPr>
          <w:rFonts w:ascii="Open Sans" w:hAnsi="Open Sans" w:cs="Open Sans"/>
          <w:color w:val="000000"/>
          <w:sz w:val="22"/>
          <w:szCs w:val="22"/>
        </w:rPr>
        <w:t>con</w:t>
      </w:r>
      <w:r w:rsidR="00E418C1" w:rsidRPr="00E418C1">
        <w:rPr>
          <w:rFonts w:ascii="Open Sans" w:hAnsi="Open Sans" w:cs="Open Sans"/>
          <w:color w:val="000000"/>
          <w:sz w:val="22"/>
          <w:szCs w:val="22"/>
        </w:rPr>
        <w:t xml:space="preserve"> 101,12 </w:t>
      </w:r>
      <w:r w:rsidR="00E418C1">
        <w:rPr>
          <w:rFonts w:ascii="Open Sans" w:hAnsi="Open Sans" w:cs="Open Sans"/>
          <w:color w:val="000000"/>
          <w:sz w:val="22"/>
          <w:szCs w:val="22"/>
        </w:rPr>
        <w:t xml:space="preserve">euros al mes, </w:t>
      </w:r>
      <w:r w:rsidR="00E418C1" w:rsidRPr="00E418C1">
        <w:rPr>
          <w:rFonts w:ascii="Open Sans" w:hAnsi="Open Sans" w:cs="Open Sans"/>
          <w:color w:val="000000"/>
          <w:sz w:val="22"/>
          <w:szCs w:val="22"/>
        </w:rPr>
        <w:t xml:space="preserve">Gràcia </w:t>
      </w:r>
      <w:r w:rsidR="00E418C1">
        <w:rPr>
          <w:rFonts w:ascii="Open Sans" w:hAnsi="Open Sans" w:cs="Open Sans"/>
          <w:color w:val="000000"/>
          <w:sz w:val="22"/>
          <w:szCs w:val="22"/>
        </w:rPr>
        <w:t>con</w:t>
      </w:r>
      <w:r w:rsidR="00E418C1" w:rsidRPr="000A637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E418C1" w:rsidRPr="00E418C1">
        <w:rPr>
          <w:rFonts w:ascii="Open Sans" w:hAnsi="Open Sans" w:cs="Open Sans"/>
          <w:color w:val="000000"/>
          <w:sz w:val="22"/>
          <w:szCs w:val="22"/>
        </w:rPr>
        <w:t xml:space="preserve">99,92 </w:t>
      </w:r>
      <w:r w:rsidR="00E418C1">
        <w:rPr>
          <w:rFonts w:ascii="Open Sans" w:hAnsi="Open Sans" w:cs="Open Sans"/>
          <w:color w:val="000000"/>
          <w:sz w:val="22"/>
          <w:szCs w:val="22"/>
        </w:rPr>
        <w:t xml:space="preserve">euros al mes, </w:t>
      </w:r>
      <w:r w:rsidR="00E418C1" w:rsidRPr="00E418C1">
        <w:rPr>
          <w:rFonts w:ascii="Open Sans" w:hAnsi="Open Sans" w:cs="Open Sans"/>
          <w:color w:val="000000"/>
          <w:sz w:val="22"/>
          <w:szCs w:val="22"/>
        </w:rPr>
        <w:t xml:space="preserve">Eixample </w:t>
      </w:r>
      <w:r w:rsidR="00E418C1">
        <w:rPr>
          <w:rFonts w:ascii="Open Sans" w:hAnsi="Open Sans" w:cs="Open Sans"/>
          <w:color w:val="000000"/>
          <w:sz w:val="22"/>
          <w:szCs w:val="22"/>
        </w:rPr>
        <w:t>con</w:t>
      </w:r>
      <w:r w:rsidR="00E418C1" w:rsidRPr="00E418C1">
        <w:rPr>
          <w:rFonts w:ascii="Open Sans" w:hAnsi="Open Sans" w:cs="Open Sans"/>
          <w:color w:val="000000"/>
          <w:sz w:val="22"/>
          <w:szCs w:val="22"/>
        </w:rPr>
        <w:t xml:space="preserve"> 95,72 </w:t>
      </w:r>
      <w:r w:rsidR="00E418C1">
        <w:rPr>
          <w:rFonts w:ascii="Open Sans" w:hAnsi="Open Sans" w:cs="Open Sans"/>
          <w:color w:val="000000"/>
          <w:sz w:val="22"/>
          <w:szCs w:val="22"/>
        </w:rPr>
        <w:t xml:space="preserve">euros al mes, </w:t>
      </w:r>
      <w:r w:rsidR="00E418C1" w:rsidRPr="00E418C1">
        <w:rPr>
          <w:rFonts w:ascii="Open Sans" w:hAnsi="Open Sans" w:cs="Open Sans"/>
          <w:color w:val="000000"/>
          <w:sz w:val="22"/>
          <w:szCs w:val="22"/>
        </w:rPr>
        <w:t xml:space="preserve">Sant Martí </w:t>
      </w:r>
      <w:r w:rsidR="00E418C1">
        <w:rPr>
          <w:rFonts w:ascii="Open Sans" w:hAnsi="Open Sans" w:cs="Open Sans"/>
          <w:color w:val="000000"/>
          <w:sz w:val="22"/>
          <w:szCs w:val="22"/>
        </w:rPr>
        <w:t>con</w:t>
      </w:r>
      <w:r w:rsidR="00E418C1" w:rsidRPr="00E418C1">
        <w:rPr>
          <w:rFonts w:ascii="Open Sans" w:hAnsi="Open Sans" w:cs="Open Sans"/>
          <w:color w:val="000000"/>
          <w:sz w:val="22"/>
          <w:szCs w:val="22"/>
        </w:rPr>
        <w:t xml:space="preserve"> 88,15 </w:t>
      </w:r>
      <w:r w:rsidR="00E418C1">
        <w:rPr>
          <w:rFonts w:ascii="Open Sans" w:hAnsi="Open Sans" w:cs="Open Sans"/>
          <w:color w:val="000000"/>
          <w:sz w:val="22"/>
          <w:szCs w:val="22"/>
        </w:rPr>
        <w:t xml:space="preserve">euros al mes, </w:t>
      </w:r>
      <w:r w:rsidR="00E418C1" w:rsidRPr="00E418C1">
        <w:rPr>
          <w:rFonts w:ascii="Open Sans" w:hAnsi="Open Sans" w:cs="Open Sans"/>
          <w:color w:val="000000"/>
          <w:sz w:val="22"/>
          <w:szCs w:val="22"/>
        </w:rPr>
        <w:t xml:space="preserve">Horta - Guinardó </w:t>
      </w:r>
      <w:r w:rsidR="00E418C1">
        <w:rPr>
          <w:rFonts w:ascii="Open Sans" w:hAnsi="Open Sans" w:cs="Open Sans"/>
          <w:color w:val="000000"/>
          <w:sz w:val="22"/>
          <w:szCs w:val="22"/>
        </w:rPr>
        <w:t>con</w:t>
      </w:r>
      <w:r w:rsidR="00E418C1" w:rsidRPr="00E418C1">
        <w:rPr>
          <w:rFonts w:ascii="Open Sans" w:hAnsi="Open Sans" w:cs="Open Sans"/>
          <w:color w:val="000000"/>
          <w:sz w:val="22"/>
          <w:szCs w:val="22"/>
        </w:rPr>
        <w:t xml:space="preserve"> 84,34 </w:t>
      </w:r>
      <w:r w:rsidR="00E418C1">
        <w:rPr>
          <w:rFonts w:ascii="Open Sans" w:hAnsi="Open Sans" w:cs="Open Sans"/>
          <w:color w:val="000000"/>
          <w:sz w:val="22"/>
          <w:szCs w:val="22"/>
        </w:rPr>
        <w:t xml:space="preserve">euros al mes, </w:t>
      </w:r>
      <w:r w:rsidR="00E418C1" w:rsidRPr="00E418C1">
        <w:rPr>
          <w:rFonts w:ascii="Open Sans" w:hAnsi="Open Sans" w:cs="Open Sans"/>
          <w:color w:val="000000"/>
          <w:sz w:val="22"/>
          <w:szCs w:val="22"/>
        </w:rPr>
        <w:t xml:space="preserve">Sant Andreu </w:t>
      </w:r>
      <w:r w:rsidR="00E418C1">
        <w:rPr>
          <w:rFonts w:ascii="Open Sans" w:hAnsi="Open Sans" w:cs="Open Sans"/>
          <w:color w:val="000000"/>
          <w:sz w:val="22"/>
          <w:szCs w:val="22"/>
        </w:rPr>
        <w:t>con</w:t>
      </w:r>
      <w:r w:rsidR="00E418C1" w:rsidRPr="00E418C1">
        <w:rPr>
          <w:rFonts w:ascii="Open Sans" w:hAnsi="Open Sans" w:cs="Open Sans"/>
          <w:color w:val="000000"/>
          <w:sz w:val="22"/>
          <w:szCs w:val="22"/>
        </w:rPr>
        <w:t xml:space="preserve"> 81,92 </w:t>
      </w:r>
      <w:r w:rsidR="00E418C1">
        <w:rPr>
          <w:rFonts w:ascii="Open Sans" w:hAnsi="Open Sans" w:cs="Open Sans"/>
          <w:color w:val="000000"/>
          <w:sz w:val="22"/>
          <w:szCs w:val="22"/>
        </w:rPr>
        <w:t xml:space="preserve">euros al mes, </w:t>
      </w:r>
      <w:r w:rsidR="00E418C1" w:rsidRPr="00E418C1">
        <w:rPr>
          <w:rFonts w:ascii="Open Sans" w:hAnsi="Open Sans" w:cs="Open Sans"/>
          <w:color w:val="000000"/>
          <w:sz w:val="22"/>
          <w:szCs w:val="22"/>
        </w:rPr>
        <w:t xml:space="preserve">Sants - Montjuïc </w:t>
      </w:r>
      <w:r w:rsidR="00E418C1">
        <w:rPr>
          <w:rFonts w:ascii="Open Sans" w:hAnsi="Open Sans" w:cs="Open Sans"/>
          <w:color w:val="000000"/>
          <w:sz w:val="22"/>
          <w:szCs w:val="22"/>
        </w:rPr>
        <w:t>con</w:t>
      </w:r>
      <w:r w:rsidR="00E418C1" w:rsidRPr="00E418C1">
        <w:rPr>
          <w:rFonts w:ascii="Open Sans" w:hAnsi="Open Sans" w:cs="Open Sans"/>
          <w:color w:val="000000"/>
          <w:sz w:val="22"/>
          <w:szCs w:val="22"/>
        </w:rPr>
        <w:t xml:space="preserve"> 80,86 </w:t>
      </w:r>
      <w:r w:rsidR="00E418C1">
        <w:rPr>
          <w:rFonts w:ascii="Open Sans" w:hAnsi="Open Sans" w:cs="Open Sans"/>
          <w:color w:val="000000"/>
          <w:sz w:val="22"/>
          <w:szCs w:val="22"/>
        </w:rPr>
        <w:t xml:space="preserve">euros al mes y </w:t>
      </w:r>
      <w:r w:rsidR="00E418C1" w:rsidRPr="00E418C1">
        <w:rPr>
          <w:rFonts w:ascii="Open Sans" w:hAnsi="Open Sans" w:cs="Open Sans"/>
          <w:color w:val="000000"/>
          <w:sz w:val="22"/>
          <w:szCs w:val="22"/>
        </w:rPr>
        <w:t xml:space="preserve">Nou Barris </w:t>
      </w:r>
      <w:r w:rsidR="00E418C1">
        <w:rPr>
          <w:rFonts w:ascii="Open Sans" w:hAnsi="Open Sans" w:cs="Open Sans"/>
          <w:color w:val="000000"/>
          <w:sz w:val="22"/>
          <w:szCs w:val="22"/>
        </w:rPr>
        <w:t>con</w:t>
      </w:r>
      <w:r w:rsidR="00E418C1" w:rsidRPr="00E418C1">
        <w:rPr>
          <w:rFonts w:ascii="Open Sans" w:hAnsi="Open Sans" w:cs="Open Sans"/>
          <w:color w:val="000000"/>
          <w:sz w:val="22"/>
          <w:szCs w:val="22"/>
        </w:rPr>
        <w:t xml:space="preserve"> 66,96 </w:t>
      </w:r>
      <w:r w:rsidR="00E418C1">
        <w:rPr>
          <w:rFonts w:ascii="Open Sans" w:hAnsi="Open Sans" w:cs="Open Sans"/>
          <w:color w:val="000000"/>
          <w:sz w:val="22"/>
          <w:szCs w:val="22"/>
        </w:rPr>
        <w:t>euros al mes.</w:t>
      </w:r>
    </w:p>
    <w:p w14:paraId="18AA49EA" w14:textId="77777777" w:rsidR="00206298" w:rsidRDefault="00206298" w:rsidP="00E418C1">
      <w:pPr>
        <w:pStyle w:val="NormalWeb"/>
        <w:shd w:val="clear" w:color="auto" w:fill="FFFFFF"/>
        <w:spacing w:after="225" w:line="276" w:lineRule="auto"/>
        <w:ind w:right="-574"/>
        <w:jc w:val="both"/>
        <w:rPr>
          <w:rFonts w:ascii="Open Sans" w:hAnsi="Open Sans" w:cs="Open Sans"/>
          <w:color w:val="000000"/>
          <w:sz w:val="22"/>
          <w:szCs w:val="22"/>
        </w:rPr>
      </w:pPr>
    </w:p>
    <w:p w14:paraId="2168D1DB" w14:textId="77777777" w:rsidR="00206298" w:rsidRDefault="00206298" w:rsidP="00E418C1">
      <w:pPr>
        <w:pStyle w:val="NormalWeb"/>
        <w:shd w:val="clear" w:color="auto" w:fill="FFFFFF"/>
        <w:spacing w:after="225" w:line="276" w:lineRule="auto"/>
        <w:ind w:right="-574"/>
        <w:jc w:val="both"/>
        <w:rPr>
          <w:rFonts w:ascii="Open Sans" w:hAnsi="Open Sans" w:cs="Open Sans"/>
          <w:color w:val="000000"/>
          <w:sz w:val="22"/>
          <w:szCs w:val="22"/>
        </w:rPr>
      </w:pPr>
    </w:p>
    <w:p w14:paraId="5DC12873" w14:textId="375BA2E5" w:rsidR="00D627AA" w:rsidRDefault="00F8449B" w:rsidP="00D627AA">
      <w:pPr>
        <w:pStyle w:val="Prrafodelista"/>
        <w:spacing w:line="276" w:lineRule="auto"/>
        <w:ind w:left="0" w:right="-574"/>
        <w:jc w:val="center"/>
        <w:rPr>
          <w:rFonts w:ascii="National" w:hAnsi="National"/>
          <w:b/>
          <w:bCs/>
          <w:iCs/>
          <w:color w:val="303AB2"/>
          <w:sz w:val="28"/>
          <w:szCs w:val="160"/>
          <w:lang w:val="es-ES"/>
        </w:rPr>
      </w:pPr>
      <w:r>
        <w:rPr>
          <w:rFonts w:ascii="National" w:hAnsi="National"/>
          <w:b/>
          <w:bCs/>
          <w:iCs/>
          <w:color w:val="303AB2"/>
          <w:sz w:val="28"/>
          <w:szCs w:val="160"/>
          <w:lang w:val="es-ES"/>
        </w:rPr>
        <w:lastRenderedPageBreak/>
        <w:t xml:space="preserve">Precio medio y variación anual de los garajes por distritos de </w:t>
      </w:r>
      <w:r w:rsidR="00D627AA">
        <w:rPr>
          <w:rFonts w:ascii="National" w:hAnsi="National"/>
          <w:b/>
          <w:bCs/>
          <w:iCs/>
          <w:color w:val="303AB2"/>
          <w:sz w:val="28"/>
          <w:szCs w:val="160"/>
          <w:lang w:val="es-ES"/>
        </w:rPr>
        <w:t>Barcelona</w:t>
      </w:r>
    </w:p>
    <w:p w14:paraId="0EED1D21" w14:textId="77777777" w:rsidR="00D627AA" w:rsidRPr="007D5CF4" w:rsidRDefault="00D627AA" w:rsidP="00D627AA">
      <w:pPr>
        <w:pStyle w:val="Prrafodelista"/>
        <w:spacing w:line="276" w:lineRule="auto"/>
        <w:ind w:left="0" w:right="-574"/>
        <w:jc w:val="center"/>
        <w:rPr>
          <w:rFonts w:ascii="National" w:hAnsi="National"/>
          <w:b/>
          <w:bCs/>
          <w:iCs/>
          <w:color w:val="303AB2"/>
          <w:sz w:val="16"/>
          <w:szCs w:val="16"/>
          <w:lang w:val="es-ES"/>
        </w:rPr>
      </w:pPr>
    </w:p>
    <w:tbl>
      <w:tblPr>
        <w:tblW w:w="9089" w:type="dxa"/>
        <w:tbl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single" w:sz="8" w:space="0" w:color="A5A5A5" w:themeColor="accent3"/>
          <w:insideV w:val="single" w:sz="8" w:space="0" w:color="A5A5A5" w:themeColor="accent3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2126"/>
        <w:gridCol w:w="2360"/>
        <w:gridCol w:w="2203"/>
      </w:tblGrid>
      <w:tr w:rsidR="00F8449B" w:rsidRPr="005C6DDB" w14:paraId="78B99FB9" w14:textId="77777777" w:rsidTr="00DD2905">
        <w:trPr>
          <w:trHeight w:val="772"/>
        </w:trPr>
        <w:tc>
          <w:tcPr>
            <w:tcW w:w="2400" w:type="dxa"/>
            <w:shd w:val="clear" w:color="auto" w:fill="8496B0" w:themeFill="text2" w:themeFillTint="99"/>
            <w:vAlign w:val="center"/>
          </w:tcPr>
          <w:p w14:paraId="079C37AF" w14:textId="77777777" w:rsidR="00F8449B" w:rsidRPr="00DD2905" w:rsidRDefault="00F8449B" w:rsidP="00F8449B">
            <w:pPr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</w:pPr>
            <w:r w:rsidRPr="00DD2905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Distrito</w:t>
            </w:r>
          </w:p>
        </w:tc>
        <w:tc>
          <w:tcPr>
            <w:tcW w:w="2126" w:type="dxa"/>
            <w:shd w:val="clear" w:color="auto" w:fill="8496B0" w:themeFill="text2" w:themeFillTint="99"/>
            <w:vAlign w:val="center"/>
          </w:tcPr>
          <w:p w14:paraId="748E18B8" w14:textId="77777777" w:rsidR="00F8449B" w:rsidRDefault="00F8449B" w:rsidP="00F8449B">
            <w:pPr>
              <w:jc w:val="center"/>
              <w:rPr>
                <w:rFonts w:ascii="Open Sans" w:eastAsia="Times New Roman" w:hAnsi="Open Sans" w:cs="Open Sans"/>
                <w:color w:val="FFFFFF" w:themeColor="background1"/>
                <w:sz w:val="20"/>
                <w:szCs w:val="20"/>
                <w:lang w:eastAsia="es-ES"/>
              </w:rPr>
            </w:pPr>
            <w:r w:rsidRPr="007401BA">
              <w:rPr>
                <w:rFonts w:ascii="Open Sans" w:eastAsia="Times New Roman" w:hAnsi="Open Sans" w:cs="Open Sans"/>
                <w:color w:val="FFFFFF" w:themeColor="background1"/>
                <w:sz w:val="20"/>
                <w:szCs w:val="20"/>
                <w:lang w:eastAsia="es-ES"/>
              </w:rPr>
              <w:t xml:space="preserve">Precio medio </w:t>
            </w:r>
          </w:p>
          <w:p w14:paraId="0F10EF65" w14:textId="6DF9A8DB" w:rsidR="00F8449B" w:rsidRPr="00DD2905" w:rsidRDefault="00F8449B" w:rsidP="00F8449B">
            <w:pPr>
              <w:jc w:val="center"/>
              <w:rPr>
                <w:rFonts w:ascii="Open Sans" w:eastAsia="Times New Roman" w:hAnsi="Open Sans" w:cs="Open Sans"/>
                <w:color w:val="FFFFFF" w:themeColor="background1"/>
                <w:sz w:val="22"/>
                <w:szCs w:val="22"/>
                <w:lang w:val="es-ES" w:eastAsia="es-ES"/>
              </w:rPr>
            </w:pPr>
            <w:r w:rsidRPr="007401BA">
              <w:rPr>
                <w:rFonts w:ascii="Open Sans" w:eastAsia="Times New Roman" w:hAnsi="Open Sans" w:cs="Open Sans"/>
                <w:color w:val="FFFFFF" w:themeColor="background1"/>
                <w:sz w:val="20"/>
                <w:szCs w:val="20"/>
                <w:lang w:eastAsia="es-ES"/>
              </w:rPr>
              <w:t>Garaje 202</w:t>
            </w:r>
            <w:r w:rsidR="00C668A7">
              <w:rPr>
                <w:rFonts w:ascii="Open Sans" w:eastAsia="Times New Roman" w:hAnsi="Open Sans" w:cs="Open Sans"/>
                <w:color w:val="FFFFFF" w:themeColor="background1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2360" w:type="dxa"/>
            <w:shd w:val="clear" w:color="auto" w:fill="8496B0" w:themeFill="text2" w:themeFillTint="99"/>
            <w:vAlign w:val="center"/>
            <w:hideMark/>
          </w:tcPr>
          <w:p w14:paraId="2177E3CF" w14:textId="77777777" w:rsidR="00F8449B" w:rsidRDefault="00F8449B" w:rsidP="00F8449B">
            <w:pPr>
              <w:jc w:val="center"/>
              <w:rPr>
                <w:rFonts w:ascii="Open Sans" w:eastAsia="Times New Roman" w:hAnsi="Open Sans" w:cs="Open Sans"/>
                <w:color w:val="FFFFFF" w:themeColor="background1"/>
                <w:sz w:val="20"/>
                <w:szCs w:val="20"/>
                <w:lang w:eastAsia="es-ES"/>
              </w:rPr>
            </w:pPr>
            <w:r w:rsidRPr="007401BA">
              <w:rPr>
                <w:rFonts w:ascii="Open Sans" w:eastAsia="Times New Roman" w:hAnsi="Open Sans" w:cs="Open Sans"/>
                <w:color w:val="FFFFFF" w:themeColor="background1"/>
                <w:sz w:val="20"/>
                <w:szCs w:val="20"/>
                <w:lang w:eastAsia="es-ES"/>
              </w:rPr>
              <w:t xml:space="preserve">Precio medio </w:t>
            </w:r>
          </w:p>
          <w:p w14:paraId="17BCBFB9" w14:textId="48B40D3E" w:rsidR="00F8449B" w:rsidRPr="00DD2905" w:rsidRDefault="00F8449B" w:rsidP="00F8449B">
            <w:pPr>
              <w:jc w:val="center"/>
              <w:rPr>
                <w:rFonts w:ascii="Open Sans" w:eastAsia="Times New Roman" w:hAnsi="Open Sans" w:cs="Open Sans"/>
                <w:color w:val="FFFFFF" w:themeColor="background1"/>
                <w:sz w:val="22"/>
                <w:szCs w:val="22"/>
                <w:lang w:val="es-ES" w:eastAsia="es-ES"/>
              </w:rPr>
            </w:pPr>
            <w:r w:rsidRPr="007401BA">
              <w:rPr>
                <w:rFonts w:ascii="Open Sans" w:eastAsia="Times New Roman" w:hAnsi="Open Sans" w:cs="Open Sans"/>
                <w:color w:val="FFFFFF" w:themeColor="background1"/>
                <w:sz w:val="20"/>
                <w:szCs w:val="20"/>
                <w:lang w:eastAsia="es-ES"/>
              </w:rPr>
              <w:t>Garaje 202</w:t>
            </w:r>
            <w:r w:rsidR="00C668A7">
              <w:rPr>
                <w:rFonts w:ascii="Open Sans" w:eastAsia="Times New Roman" w:hAnsi="Open Sans" w:cs="Open Sans"/>
                <w:color w:val="FFFFFF" w:themeColor="background1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2203" w:type="dxa"/>
            <w:shd w:val="clear" w:color="auto" w:fill="8496B0" w:themeFill="text2" w:themeFillTint="99"/>
            <w:vAlign w:val="center"/>
          </w:tcPr>
          <w:p w14:paraId="3F13E15E" w14:textId="6F55C2E6" w:rsidR="00F8449B" w:rsidRPr="00E549D0" w:rsidRDefault="00F8449B" w:rsidP="00F8449B">
            <w:pPr>
              <w:jc w:val="center"/>
              <w:rPr>
                <w:rFonts w:ascii="Open Sans" w:hAnsi="Open Sans" w:cs="Open Sans"/>
                <w:b/>
                <w:bCs/>
                <w:color w:val="FFFFFF" w:themeColor="background1"/>
                <w:sz w:val="22"/>
                <w:szCs w:val="22"/>
              </w:rPr>
            </w:pPr>
            <w:r w:rsidRPr="00E1037E">
              <w:rPr>
                <w:rFonts w:ascii="Open Sans" w:eastAsia="Times New Roman" w:hAnsi="Open Sans" w:cs="Open Sans"/>
                <w:color w:val="FFFFFF" w:themeColor="background1"/>
                <w:sz w:val="20"/>
                <w:szCs w:val="20"/>
                <w:lang w:eastAsia="es-ES"/>
              </w:rPr>
              <w:t xml:space="preserve">Variación anual Garaje </w:t>
            </w:r>
            <w:r w:rsidRPr="00E1037E">
              <w:rPr>
                <w:rFonts w:ascii="Open Sans" w:eastAsia="Times New Roman" w:hAnsi="Open Sans" w:cs="Open Sans"/>
                <w:color w:val="FFFFFF" w:themeColor="background1"/>
                <w:sz w:val="20"/>
                <w:szCs w:val="20"/>
                <w:lang w:val="es-ES" w:eastAsia="es-ES"/>
              </w:rPr>
              <w:t>202</w:t>
            </w:r>
            <w:r w:rsidR="00C668A7">
              <w:rPr>
                <w:rFonts w:ascii="Open Sans" w:eastAsia="Times New Roman" w:hAnsi="Open Sans" w:cs="Open Sans"/>
                <w:color w:val="FFFFFF" w:themeColor="background1"/>
                <w:sz w:val="20"/>
                <w:szCs w:val="20"/>
                <w:lang w:val="es-ES" w:eastAsia="es-ES"/>
              </w:rPr>
              <w:t>5</w:t>
            </w:r>
          </w:p>
        </w:tc>
      </w:tr>
      <w:tr w:rsidR="00C668A7" w:rsidRPr="005C6DDB" w14:paraId="41D8F4FE" w14:textId="77777777" w:rsidTr="00C67732">
        <w:trPr>
          <w:trHeight w:val="226"/>
        </w:trPr>
        <w:tc>
          <w:tcPr>
            <w:tcW w:w="2400" w:type="dxa"/>
            <w:shd w:val="clear" w:color="auto" w:fill="8496B0" w:themeFill="text2" w:themeFillTint="99"/>
            <w:vAlign w:val="bottom"/>
          </w:tcPr>
          <w:p w14:paraId="04316E7A" w14:textId="77BF8796" w:rsidR="00C668A7" w:rsidRPr="00C668A7" w:rsidRDefault="00C668A7" w:rsidP="00C668A7">
            <w:pPr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</w:pPr>
            <w:r w:rsidRPr="00C668A7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Nou Barris</w:t>
            </w:r>
          </w:p>
        </w:tc>
        <w:tc>
          <w:tcPr>
            <w:tcW w:w="2126" w:type="dxa"/>
            <w:vAlign w:val="bottom"/>
          </w:tcPr>
          <w:p w14:paraId="7767F1F1" w14:textId="4A48C877" w:rsidR="00C668A7" w:rsidRPr="008E5BC8" w:rsidRDefault="00C668A7" w:rsidP="00C668A7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83,14 €</w:t>
            </w:r>
          </w:p>
        </w:tc>
        <w:tc>
          <w:tcPr>
            <w:tcW w:w="2360" w:type="dxa"/>
            <w:vAlign w:val="bottom"/>
          </w:tcPr>
          <w:p w14:paraId="69B9B085" w14:textId="48BA2DB2" w:rsidR="00C668A7" w:rsidRPr="008E5BC8" w:rsidRDefault="00C668A7" w:rsidP="00C668A7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66,96 €</w:t>
            </w:r>
          </w:p>
        </w:tc>
        <w:tc>
          <w:tcPr>
            <w:tcW w:w="2203" w:type="dxa"/>
            <w:vAlign w:val="bottom"/>
          </w:tcPr>
          <w:p w14:paraId="13B5D5D4" w14:textId="1F356B24" w:rsidR="00C668A7" w:rsidRPr="00C668A7" w:rsidRDefault="00C668A7" w:rsidP="00C668A7">
            <w:pPr>
              <w:jc w:val="center"/>
              <w:rPr>
                <w:rFonts w:ascii="Open Sans" w:hAnsi="Open Sans" w:cs="Open Sans"/>
                <w:b/>
                <w:bCs/>
                <w:color w:val="2E74B5" w:themeColor="accent5" w:themeShade="BF"/>
                <w:sz w:val="22"/>
                <w:szCs w:val="22"/>
              </w:rPr>
            </w:pPr>
            <w:r w:rsidRPr="00C668A7">
              <w:rPr>
                <w:rFonts w:ascii="Open Sans" w:hAnsi="Open Sans" w:cs="Open Sans"/>
                <w:b/>
                <w:bCs/>
                <w:color w:val="9C0006"/>
                <w:sz w:val="22"/>
                <w:szCs w:val="22"/>
              </w:rPr>
              <w:t>-19,5%</w:t>
            </w:r>
          </w:p>
        </w:tc>
      </w:tr>
      <w:tr w:rsidR="00C668A7" w:rsidRPr="005C6DDB" w14:paraId="2F16A144" w14:textId="77777777" w:rsidTr="00C67732">
        <w:trPr>
          <w:trHeight w:val="226"/>
        </w:trPr>
        <w:tc>
          <w:tcPr>
            <w:tcW w:w="2400" w:type="dxa"/>
            <w:shd w:val="clear" w:color="auto" w:fill="8496B0" w:themeFill="text2" w:themeFillTint="99"/>
            <w:vAlign w:val="bottom"/>
          </w:tcPr>
          <w:p w14:paraId="3B3B78FC" w14:textId="5EB7607B" w:rsidR="00C668A7" w:rsidRPr="00C668A7" w:rsidRDefault="00C668A7" w:rsidP="00C668A7">
            <w:pPr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</w:pPr>
            <w:r w:rsidRPr="00C668A7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Horta - Guinardó</w:t>
            </w:r>
          </w:p>
        </w:tc>
        <w:tc>
          <w:tcPr>
            <w:tcW w:w="2126" w:type="dxa"/>
            <w:shd w:val="clear" w:color="auto" w:fill="D5DCE4" w:themeFill="text2" w:themeFillTint="33"/>
            <w:vAlign w:val="bottom"/>
          </w:tcPr>
          <w:p w14:paraId="739D24AD" w14:textId="76E2E83D" w:rsidR="00C668A7" w:rsidRPr="008E5BC8" w:rsidRDefault="00C668A7" w:rsidP="00C668A7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90,46 €</w:t>
            </w:r>
          </w:p>
        </w:tc>
        <w:tc>
          <w:tcPr>
            <w:tcW w:w="2360" w:type="dxa"/>
            <w:shd w:val="clear" w:color="auto" w:fill="D5DCE4" w:themeFill="text2" w:themeFillTint="33"/>
            <w:vAlign w:val="bottom"/>
          </w:tcPr>
          <w:p w14:paraId="6E94E579" w14:textId="306F8339" w:rsidR="00C668A7" w:rsidRPr="008E5BC8" w:rsidRDefault="00C668A7" w:rsidP="00C668A7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84,34 €</w:t>
            </w:r>
          </w:p>
        </w:tc>
        <w:tc>
          <w:tcPr>
            <w:tcW w:w="2203" w:type="dxa"/>
            <w:shd w:val="clear" w:color="auto" w:fill="D5DCE4" w:themeFill="text2" w:themeFillTint="33"/>
            <w:vAlign w:val="bottom"/>
          </w:tcPr>
          <w:p w14:paraId="6134510F" w14:textId="27A147A8" w:rsidR="00C668A7" w:rsidRPr="00C668A7" w:rsidRDefault="00C668A7" w:rsidP="00C668A7">
            <w:pPr>
              <w:jc w:val="center"/>
              <w:rPr>
                <w:rFonts w:ascii="Open Sans" w:hAnsi="Open Sans" w:cs="Open Sans"/>
                <w:b/>
                <w:bCs/>
                <w:color w:val="2E74B5" w:themeColor="accent5" w:themeShade="BF"/>
                <w:sz w:val="22"/>
                <w:szCs w:val="22"/>
              </w:rPr>
            </w:pPr>
            <w:r w:rsidRPr="00C668A7">
              <w:rPr>
                <w:rFonts w:ascii="Open Sans" w:hAnsi="Open Sans" w:cs="Open Sans"/>
                <w:b/>
                <w:bCs/>
                <w:color w:val="9C0006"/>
                <w:sz w:val="22"/>
                <w:szCs w:val="22"/>
              </w:rPr>
              <w:t>-6,8%</w:t>
            </w:r>
          </w:p>
        </w:tc>
      </w:tr>
      <w:tr w:rsidR="00C668A7" w:rsidRPr="005C6DDB" w14:paraId="5FEEB5D4" w14:textId="77777777" w:rsidTr="00C67732">
        <w:trPr>
          <w:trHeight w:val="226"/>
        </w:trPr>
        <w:tc>
          <w:tcPr>
            <w:tcW w:w="2400" w:type="dxa"/>
            <w:shd w:val="clear" w:color="auto" w:fill="8496B0" w:themeFill="text2" w:themeFillTint="99"/>
            <w:vAlign w:val="bottom"/>
          </w:tcPr>
          <w:p w14:paraId="12356800" w14:textId="7C0AF733" w:rsidR="00C668A7" w:rsidRPr="00C668A7" w:rsidRDefault="00C668A7" w:rsidP="00C668A7">
            <w:pPr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</w:pPr>
            <w:r w:rsidRPr="00C668A7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Sants - Montjuïc</w:t>
            </w:r>
          </w:p>
        </w:tc>
        <w:tc>
          <w:tcPr>
            <w:tcW w:w="2126" w:type="dxa"/>
            <w:vAlign w:val="bottom"/>
          </w:tcPr>
          <w:p w14:paraId="25E3879E" w14:textId="366E8242" w:rsidR="00C668A7" w:rsidRPr="008E5BC8" w:rsidRDefault="00C668A7" w:rsidP="00C668A7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84,63 €</w:t>
            </w:r>
          </w:p>
        </w:tc>
        <w:tc>
          <w:tcPr>
            <w:tcW w:w="2360" w:type="dxa"/>
            <w:vAlign w:val="bottom"/>
          </w:tcPr>
          <w:p w14:paraId="24D6740B" w14:textId="20C83ACB" w:rsidR="00C668A7" w:rsidRPr="008E5BC8" w:rsidRDefault="00C668A7" w:rsidP="00C668A7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80,86 €</w:t>
            </w:r>
          </w:p>
        </w:tc>
        <w:tc>
          <w:tcPr>
            <w:tcW w:w="2203" w:type="dxa"/>
            <w:vAlign w:val="bottom"/>
          </w:tcPr>
          <w:p w14:paraId="522E93F3" w14:textId="66AD44BE" w:rsidR="00C668A7" w:rsidRPr="00C668A7" w:rsidRDefault="00C668A7" w:rsidP="00C668A7">
            <w:pPr>
              <w:jc w:val="center"/>
              <w:rPr>
                <w:rFonts w:ascii="Open Sans" w:hAnsi="Open Sans" w:cs="Open Sans"/>
                <w:b/>
                <w:bCs/>
                <w:color w:val="2E74B5" w:themeColor="accent5" w:themeShade="BF"/>
                <w:sz w:val="22"/>
                <w:szCs w:val="22"/>
              </w:rPr>
            </w:pPr>
            <w:r w:rsidRPr="00C668A7">
              <w:rPr>
                <w:rFonts w:ascii="Open Sans" w:hAnsi="Open Sans" w:cs="Open Sans"/>
                <w:b/>
                <w:bCs/>
                <w:color w:val="9C0006"/>
                <w:sz w:val="22"/>
                <w:szCs w:val="22"/>
              </w:rPr>
              <w:t>-4,5%</w:t>
            </w:r>
          </w:p>
        </w:tc>
      </w:tr>
      <w:tr w:rsidR="00C668A7" w:rsidRPr="005C6DDB" w14:paraId="507DC78C" w14:textId="77777777" w:rsidTr="00C67732">
        <w:trPr>
          <w:trHeight w:val="226"/>
        </w:trPr>
        <w:tc>
          <w:tcPr>
            <w:tcW w:w="2400" w:type="dxa"/>
            <w:shd w:val="clear" w:color="auto" w:fill="8496B0" w:themeFill="text2" w:themeFillTint="99"/>
            <w:vAlign w:val="bottom"/>
          </w:tcPr>
          <w:p w14:paraId="63C27D13" w14:textId="4695CA83" w:rsidR="00C668A7" w:rsidRPr="00C668A7" w:rsidRDefault="00C668A7" w:rsidP="00C668A7">
            <w:pPr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</w:pPr>
            <w:r w:rsidRPr="00C668A7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Ciutat Vella</w:t>
            </w:r>
          </w:p>
        </w:tc>
        <w:tc>
          <w:tcPr>
            <w:tcW w:w="2126" w:type="dxa"/>
            <w:shd w:val="clear" w:color="auto" w:fill="D5DCE4" w:themeFill="text2" w:themeFillTint="33"/>
            <w:vAlign w:val="bottom"/>
          </w:tcPr>
          <w:p w14:paraId="374533CB" w14:textId="38B70E7B" w:rsidR="00C668A7" w:rsidRPr="008E5BC8" w:rsidRDefault="00C668A7" w:rsidP="00C668A7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103,36 €</w:t>
            </w:r>
          </w:p>
        </w:tc>
        <w:tc>
          <w:tcPr>
            <w:tcW w:w="2360" w:type="dxa"/>
            <w:shd w:val="clear" w:color="auto" w:fill="D5DCE4" w:themeFill="text2" w:themeFillTint="33"/>
            <w:vAlign w:val="bottom"/>
          </w:tcPr>
          <w:p w14:paraId="74E0D02E" w14:textId="3732E3E4" w:rsidR="00C668A7" w:rsidRPr="008E5BC8" w:rsidRDefault="00C668A7" w:rsidP="00C668A7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101,12 €</w:t>
            </w:r>
          </w:p>
        </w:tc>
        <w:tc>
          <w:tcPr>
            <w:tcW w:w="2203" w:type="dxa"/>
            <w:shd w:val="clear" w:color="auto" w:fill="D5DCE4" w:themeFill="text2" w:themeFillTint="33"/>
            <w:vAlign w:val="bottom"/>
          </w:tcPr>
          <w:p w14:paraId="6F9F61F4" w14:textId="130654AF" w:rsidR="00C668A7" w:rsidRPr="00C668A7" w:rsidRDefault="00C668A7" w:rsidP="00C668A7">
            <w:pPr>
              <w:jc w:val="center"/>
              <w:rPr>
                <w:rFonts w:ascii="Open Sans" w:hAnsi="Open Sans" w:cs="Open Sans"/>
                <w:b/>
                <w:bCs/>
                <w:color w:val="2E74B5" w:themeColor="accent5" w:themeShade="BF"/>
                <w:sz w:val="22"/>
                <w:szCs w:val="22"/>
              </w:rPr>
            </w:pPr>
            <w:r w:rsidRPr="00C668A7">
              <w:rPr>
                <w:rFonts w:ascii="Open Sans" w:hAnsi="Open Sans" w:cs="Open Sans"/>
                <w:b/>
                <w:bCs/>
                <w:color w:val="9C0006"/>
                <w:sz w:val="22"/>
                <w:szCs w:val="22"/>
              </w:rPr>
              <w:t>-2,2%</w:t>
            </w:r>
          </w:p>
        </w:tc>
      </w:tr>
      <w:tr w:rsidR="00C668A7" w:rsidRPr="005C6DDB" w14:paraId="4AE10933" w14:textId="77777777" w:rsidTr="00C67732">
        <w:trPr>
          <w:trHeight w:val="226"/>
        </w:trPr>
        <w:tc>
          <w:tcPr>
            <w:tcW w:w="2400" w:type="dxa"/>
            <w:shd w:val="clear" w:color="auto" w:fill="8496B0" w:themeFill="text2" w:themeFillTint="99"/>
            <w:vAlign w:val="bottom"/>
          </w:tcPr>
          <w:p w14:paraId="045D3415" w14:textId="0111A951" w:rsidR="00C668A7" w:rsidRPr="00C668A7" w:rsidRDefault="00C668A7" w:rsidP="00C668A7">
            <w:pPr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</w:pPr>
            <w:r w:rsidRPr="00C668A7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Sarrià - Sant Gervasi</w:t>
            </w:r>
          </w:p>
        </w:tc>
        <w:tc>
          <w:tcPr>
            <w:tcW w:w="2126" w:type="dxa"/>
            <w:vAlign w:val="bottom"/>
          </w:tcPr>
          <w:p w14:paraId="06A3C487" w14:textId="38B7BF51" w:rsidR="00C668A7" w:rsidRPr="008E5BC8" w:rsidRDefault="00C668A7" w:rsidP="00C668A7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105,22 €</w:t>
            </w:r>
          </w:p>
        </w:tc>
        <w:tc>
          <w:tcPr>
            <w:tcW w:w="2360" w:type="dxa"/>
            <w:vAlign w:val="bottom"/>
          </w:tcPr>
          <w:p w14:paraId="53B719AD" w14:textId="56354E16" w:rsidR="00C668A7" w:rsidRPr="008E5BC8" w:rsidRDefault="00C668A7" w:rsidP="00C668A7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103,52 €</w:t>
            </w:r>
          </w:p>
        </w:tc>
        <w:tc>
          <w:tcPr>
            <w:tcW w:w="2203" w:type="dxa"/>
            <w:vAlign w:val="bottom"/>
          </w:tcPr>
          <w:p w14:paraId="3260E940" w14:textId="7BAB4C04" w:rsidR="00C668A7" w:rsidRPr="00C668A7" w:rsidRDefault="00C668A7" w:rsidP="00C668A7">
            <w:pPr>
              <w:jc w:val="center"/>
              <w:rPr>
                <w:rFonts w:ascii="Open Sans" w:hAnsi="Open Sans" w:cs="Open Sans"/>
                <w:b/>
                <w:bCs/>
                <w:color w:val="2E74B5" w:themeColor="accent5" w:themeShade="BF"/>
                <w:sz w:val="22"/>
                <w:szCs w:val="22"/>
              </w:rPr>
            </w:pPr>
            <w:r w:rsidRPr="00C668A7">
              <w:rPr>
                <w:rFonts w:ascii="Open Sans" w:hAnsi="Open Sans" w:cs="Open Sans"/>
                <w:b/>
                <w:bCs/>
                <w:color w:val="9C0006"/>
                <w:sz w:val="22"/>
                <w:szCs w:val="22"/>
              </w:rPr>
              <w:t>-1,6%</w:t>
            </w:r>
          </w:p>
        </w:tc>
      </w:tr>
      <w:tr w:rsidR="00C668A7" w:rsidRPr="005C6DDB" w14:paraId="31E35864" w14:textId="77777777" w:rsidTr="00C67732">
        <w:trPr>
          <w:trHeight w:val="226"/>
        </w:trPr>
        <w:tc>
          <w:tcPr>
            <w:tcW w:w="2400" w:type="dxa"/>
            <w:shd w:val="clear" w:color="auto" w:fill="8496B0" w:themeFill="text2" w:themeFillTint="99"/>
            <w:vAlign w:val="bottom"/>
          </w:tcPr>
          <w:p w14:paraId="362AD846" w14:textId="1A2EA382" w:rsidR="00C668A7" w:rsidRPr="00C668A7" w:rsidRDefault="00C668A7" w:rsidP="00C668A7">
            <w:pPr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</w:pPr>
            <w:r w:rsidRPr="00C668A7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Sant Martí</w:t>
            </w:r>
          </w:p>
        </w:tc>
        <w:tc>
          <w:tcPr>
            <w:tcW w:w="2126" w:type="dxa"/>
            <w:shd w:val="clear" w:color="auto" w:fill="D5DCE4" w:themeFill="text2" w:themeFillTint="33"/>
            <w:vAlign w:val="bottom"/>
          </w:tcPr>
          <w:p w14:paraId="24B7BABE" w14:textId="13AD5865" w:rsidR="00C668A7" w:rsidRPr="008E5BC8" w:rsidRDefault="00C668A7" w:rsidP="00C668A7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89,56 €</w:t>
            </w:r>
          </w:p>
        </w:tc>
        <w:tc>
          <w:tcPr>
            <w:tcW w:w="2360" w:type="dxa"/>
            <w:shd w:val="clear" w:color="auto" w:fill="D5DCE4" w:themeFill="text2" w:themeFillTint="33"/>
            <w:vAlign w:val="bottom"/>
          </w:tcPr>
          <w:p w14:paraId="3783BF2D" w14:textId="2ED1AD95" w:rsidR="00C668A7" w:rsidRPr="008E5BC8" w:rsidRDefault="00C668A7" w:rsidP="00C668A7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88,15 €</w:t>
            </w:r>
          </w:p>
        </w:tc>
        <w:tc>
          <w:tcPr>
            <w:tcW w:w="2203" w:type="dxa"/>
            <w:shd w:val="clear" w:color="auto" w:fill="D5DCE4" w:themeFill="text2" w:themeFillTint="33"/>
            <w:vAlign w:val="bottom"/>
          </w:tcPr>
          <w:p w14:paraId="5449E502" w14:textId="34C2013C" w:rsidR="00C668A7" w:rsidRPr="00C668A7" w:rsidRDefault="00C668A7" w:rsidP="00C668A7">
            <w:pPr>
              <w:jc w:val="center"/>
              <w:rPr>
                <w:rFonts w:ascii="Open Sans" w:hAnsi="Open Sans" w:cs="Open Sans"/>
                <w:b/>
                <w:bCs/>
                <w:color w:val="2E74B5" w:themeColor="accent5" w:themeShade="BF"/>
                <w:sz w:val="22"/>
                <w:szCs w:val="22"/>
              </w:rPr>
            </w:pPr>
            <w:r w:rsidRPr="00C668A7">
              <w:rPr>
                <w:rFonts w:ascii="Open Sans" w:hAnsi="Open Sans" w:cs="Open Sans"/>
                <w:b/>
                <w:bCs/>
                <w:color w:val="9C0006"/>
                <w:sz w:val="22"/>
                <w:szCs w:val="22"/>
              </w:rPr>
              <w:t>-1,6%</w:t>
            </w:r>
          </w:p>
        </w:tc>
      </w:tr>
      <w:tr w:rsidR="00C668A7" w:rsidRPr="005C6DDB" w14:paraId="73156236" w14:textId="77777777" w:rsidTr="00C67732">
        <w:trPr>
          <w:trHeight w:val="226"/>
        </w:trPr>
        <w:tc>
          <w:tcPr>
            <w:tcW w:w="2400" w:type="dxa"/>
            <w:shd w:val="clear" w:color="auto" w:fill="8496B0" w:themeFill="text2" w:themeFillTint="99"/>
            <w:vAlign w:val="bottom"/>
          </w:tcPr>
          <w:p w14:paraId="79C2C5EC" w14:textId="58C2338E" w:rsidR="00C668A7" w:rsidRPr="00C668A7" w:rsidRDefault="00C668A7" w:rsidP="00C668A7">
            <w:pPr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</w:pPr>
            <w:r w:rsidRPr="00C668A7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Sant Andreu</w:t>
            </w:r>
          </w:p>
        </w:tc>
        <w:tc>
          <w:tcPr>
            <w:tcW w:w="2126" w:type="dxa"/>
            <w:vAlign w:val="bottom"/>
          </w:tcPr>
          <w:p w14:paraId="402FE785" w14:textId="5029BEF9" w:rsidR="00C668A7" w:rsidRPr="008E5BC8" w:rsidRDefault="00C668A7" w:rsidP="00C668A7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82,61 €</w:t>
            </w:r>
          </w:p>
        </w:tc>
        <w:tc>
          <w:tcPr>
            <w:tcW w:w="2360" w:type="dxa"/>
            <w:vAlign w:val="bottom"/>
          </w:tcPr>
          <w:p w14:paraId="08D1ABAB" w14:textId="7614BD30" w:rsidR="00C668A7" w:rsidRPr="008E5BC8" w:rsidRDefault="00C668A7" w:rsidP="00C668A7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81,92 €</w:t>
            </w:r>
          </w:p>
        </w:tc>
        <w:tc>
          <w:tcPr>
            <w:tcW w:w="2203" w:type="dxa"/>
            <w:vAlign w:val="bottom"/>
          </w:tcPr>
          <w:p w14:paraId="6EB36422" w14:textId="6921EA07" w:rsidR="00C668A7" w:rsidRPr="00C668A7" w:rsidRDefault="00C668A7" w:rsidP="00C668A7">
            <w:pPr>
              <w:jc w:val="center"/>
              <w:rPr>
                <w:rFonts w:ascii="Open Sans" w:hAnsi="Open Sans" w:cs="Open Sans"/>
                <w:b/>
                <w:bCs/>
                <w:color w:val="2E74B5" w:themeColor="accent5" w:themeShade="BF"/>
                <w:sz w:val="22"/>
                <w:szCs w:val="22"/>
              </w:rPr>
            </w:pPr>
            <w:r w:rsidRPr="00C668A7">
              <w:rPr>
                <w:rFonts w:ascii="Open Sans" w:hAnsi="Open Sans" w:cs="Open Sans"/>
                <w:b/>
                <w:bCs/>
                <w:color w:val="9C0006"/>
                <w:sz w:val="22"/>
                <w:szCs w:val="22"/>
              </w:rPr>
              <w:t>-0,8%</w:t>
            </w:r>
          </w:p>
        </w:tc>
      </w:tr>
      <w:tr w:rsidR="00C668A7" w:rsidRPr="005C6DDB" w14:paraId="7D3AD2F2" w14:textId="77777777" w:rsidTr="00C67732">
        <w:trPr>
          <w:trHeight w:val="226"/>
        </w:trPr>
        <w:tc>
          <w:tcPr>
            <w:tcW w:w="2400" w:type="dxa"/>
            <w:shd w:val="clear" w:color="auto" w:fill="8496B0" w:themeFill="text2" w:themeFillTint="99"/>
            <w:vAlign w:val="bottom"/>
          </w:tcPr>
          <w:p w14:paraId="1665A72F" w14:textId="254C3694" w:rsidR="00C668A7" w:rsidRPr="00C668A7" w:rsidRDefault="00C668A7" w:rsidP="00C668A7">
            <w:pPr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</w:pPr>
            <w:r w:rsidRPr="00C668A7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Eixample</w:t>
            </w:r>
          </w:p>
        </w:tc>
        <w:tc>
          <w:tcPr>
            <w:tcW w:w="2126" w:type="dxa"/>
            <w:shd w:val="clear" w:color="auto" w:fill="D5DCE4" w:themeFill="text2" w:themeFillTint="33"/>
            <w:vAlign w:val="bottom"/>
          </w:tcPr>
          <w:p w14:paraId="54CB6966" w14:textId="77C6AC04" w:rsidR="00C668A7" w:rsidRPr="008E5BC8" w:rsidRDefault="00C668A7" w:rsidP="00C668A7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96,20 €</w:t>
            </w:r>
          </w:p>
        </w:tc>
        <w:tc>
          <w:tcPr>
            <w:tcW w:w="2360" w:type="dxa"/>
            <w:shd w:val="clear" w:color="auto" w:fill="D5DCE4" w:themeFill="text2" w:themeFillTint="33"/>
            <w:vAlign w:val="bottom"/>
          </w:tcPr>
          <w:p w14:paraId="1A975828" w14:textId="7C13EA66" w:rsidR="00C668A7" w:rsidRPr="008E5BC8" w:rsidRDefault="00C668A7" w:rsidP="00C668A7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95,72 €</w:t>
            </w:r>
          </w:p>
        </w:tc>
        <w:tc>
          <w:tcPr>
            <w:tcW w:w="2203" w:type="dxa"/>
            <w:shd w:val="clear" w:color="auto" w:fill="D5DCE4" w:themeFill="text2" w:themeFillTint="33"/>
            <w:vAlign w:val="bottom"/>
          </w:tcPr>
          <w:p w14:paraId="3B1DB1CD" w14:textId="056A46C8" w:rsidR="00C668A7" w:rsidRPr="00C668A7" w:rsidRDefault="00C668A7" w:rsidP="00C668A7">
            <w:pPr>
              <w:jc w:val="center"/>
              <w:rPr>
                <w:rFonts w:ascii="Open Sans" w:hAnsi="Open Sans" w:cs="Open Sans"/>
                <w:b/>
                <w:bCs/>
                <w:color w:val="2E74B5" w:themeColor="accent5" w:themeShade="BF"/>
                <w:sz w:val="22"/>
                <w:szCs w:val="22"/>
              </w:rPr>
            </w:pPr>
            <w:r w:rsidRPr="00C668A7">
              <w:rPr>
                <w:rFonts w:ascii="Open Sans" w:hAnsi="Open Sans" w:cs="Open Sans"/>
                <w:b/>
                <w:bCs/>
                <w:color w:val="9C0006"/>
                <w:sz w:val="22"/>
                <w:szCs w:val="22"/>
              </w:rPr>
              <w:t>-0,5%</w:t>
            </w:r>
          </w:p>
        </w:tc>
      </w:tr>
      <w:tr w:rsidR="00C668A7" w:rsidRPr="005C6DDB" w14:paraId="7A9EA2C7" w14:textId="77777777" w:rsidTr="00C67732">
        <w:trPr>
          <w:trHeight w:val="226"/>
        </w:trPr>
        <w:tc>
          <w:tcPr>
            <w:tcW w:w="2400" w:type="dxa"/>
            <w:shd w:val="clear" w:color="auto" w:fill="8496B0" w:themeFill="text2" w:themeFillTint="99"/>
            <w:vAlign w:val="bottom"/>
          </w:tcPr>
          <w:p w14:paraId="54BB8712" w14:textId="7F9F085C" w:rsidR="00C668A7" w:rsidRPr="00C668A7" w:rsidRDefault="00C668A7" w:rsidP="00C668A7">
            <w:pPr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</w:pPr>
            <w:r w:rsidRPr="00C668A7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Gràcia</w:t>
            </w:r>
          </w:p>
        </w:tc>
        <w:tc>
          <w:tcPr>
            <w:tcW w:w="2126" w:type="dxa"/>
            <w:vAlign w:val="bottom"/>
          </w:tcPr>
          <w:p w14:paraId="3939B2CD" w14:textId="5AD4A91A" w:rsidR="00C668A7" w:rsidRPr="008E5BC8" w:rsidRDefault="00C668A7" w:rsidP="00C668A7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96,74 €</w:t>
            </w:r>
          </w:p>
        </w:tc>
        <w:tc>
          <w:tcPr>
            <w:tcW w:w="2360" w:type="dxa"/>
            <w:vAlign w:val="bottom"/>
          </w:tcPr>
          <w:p w14:paraId="758D4693" w14:textId="5683E7D6" w:rsidR="00C668A7" w:rsidRPr="008E5BC8" w:rsidRDefault="00C668A7" w:rsidP="00C668A7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99,92 €</w:t>
            </w:r>
          </w:p>
        </w:tc>
        <w:tc>
          <w:tcPr>
            <w:tcW w:w="2203" w:type="dxa"/>
            <w:vAlign w:val="bottom"/>
          </w:tcPr>
          <w:p w14:paraId="47D96904" w14:textId="5E581263" w:rsidR="00C668A7" w:rsidRPr="00C668A7" w:rsidRDefault="00C668A7" w:rsidP="00C668A7">
            <w:pPr>
              <w:jc w:val="center"/>
              <w:rPr>
                <w:rFonts w:ascii="Open Sans" w:hAnsi="Open Sans" w:cs="Open Sans"/>
                <w:b/>
                <w:bCs/>
                <w:color w:val="2E74B5" w:themeColor="accent5" w:themeShade="BF"/>
                <w:sz w:val="22"/>
                <w:szCs w:val="22"/>
              </w:rPr>
            </w:pPr>
            <w:r w:rsidRPr="00C668A7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3,3%</w:t>
            </w:r>
          </w:p>
        </w:tc>
      </w:tr>
      <w:tr w:rsidR="00C668A7" w:rsidRPr="005C6DDB" w14:paraId="06853DD3" w14:textId="77777777" w:rsidTr="00C67732">
        <w:trPr>
          <w:trHeight w:val="226"/>
        </w:trPr>
        <w:tc>
          <w:tcPr>
            <w:tcW w:w="2400" w:type="dxa"/>
            <w:shd w:val="clear" w:color="auto" w:fill="8496B0" w:themeFill="text2" w:themeFillTint="99"/>
            <w:vAlign w:val="bottom"/>
          </w:tcPr>
          <w:p w14:paraId="32D7B4D0" w14:textId="7F4ABD99" w:rsidR="00C668A7" w:rsidRPr="00C668A7" w:rsidRDefault="00C668A7" w:rsidP="00C668A7">
            <w:pPr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</w:pPr>
            <w:r w:rsidRPr="00C668A7">
              <w:rPr>
                <w:rFonts w:ascii="Open Sans" w:hAnsi="Open Sans" w:cs="Open Sans"/>
                <w:color w:val="FFFFFF" w:themeColor="background1"/>
                <w:sz w:val="22"/>
                <w:szCs w:val="22"/>
              </w:rPr>
              <w:t>Les Corts</w:t>
            </w:r>
          </w:p>
        </w:tc>
        <w:tc>
          <w:tcPr>
            <w:tcW w:w="2126" w:type="dxa"/>
            <w:shd w:val="clear" w:color="auto" w:fill="D5DCE4" w:themeFill="text2" w:themeFillTint="33"/>
            <w:vAlign w:val="bottom"/>
          </w:tcPr>
          <w:p w14:paraId="1840679B" w14:textId="4DD0BF88" w:rsidR="00C668A7" w:rsidRPr="008E5BC8" w:rsidRDefault="00C668A7" w:rsidP="00C668A7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96,74 €</w:t>
            </w:r>
          </w:p>
        </w:tc>
        <w:tc>
          <w:tcPr>
            <w:tcW w:w="2360" w:type="dxa"/>
            <w:shd w:val="clear" w:color="auto" w:fill="D5DCE4" w:themeFill="text2" w:themeFillTint="33"/>
            <w:vAlign w:val="bottom"/>
          </w:tcPr>
          <w:p w14:paraId="79D36931" w14:textId="1E602B34" w:rsidR="00C668A7" w:rsidRPr="008E5BC8" w:rsidRDefault="00C668A7" w:rsidP="00C668A7">
            <w:pPr>
              <w:jc w:val="center"/>
              <w:rPr>
                <w:rFonts w:ascii="Open Sans" w:hAnsi="Open Sans" w:cs="Open Sans"/>
                <w:color w:val="000000"/>
                <w:sz w:val="22"/>
                <w:szCs w:val="22"/>
              </w:rPr>
            </w:pPr>
            <w:r>
              <w:rPr>
                <w:rFonts w:ascii="Open Sans" w:hAnsi="Open Sans" w:cs="Open Sans"/>
                <w:color w:val="000000"/>
                <w:sz w:val="22"/>
                <w:szCs w:val="22"/>
              </w:rPr>
              <w:t>102,15 €</w:t>
            </w:r>
          </w:p>
        </w:tc>
        <w:tc>
          <w:tcPr>
            <w:tcW w:w="2203" w:type="dxa"/>
            <w:shd w:val="clear" w:color="auto" w:fill="D5DCE4" w:themeFill="text2" w:themeFillTint="33"/>
            <w:vAlign w:val="bottom"/>
          </w:tcPr>
          <w:p w14:paraId="3E776C5F" w14:textId="7D60A2D5" w:rsidR="00C668A7" w:rsidRPr="00C668A7" w:rsidRDefault="00C668A7" w:rsidP="00C668A7">
            <w:pPr>
              <w:jc w:val="center"/>
              <w:rPr>
                <w:rFonts w:ascii="Open Sans" w:hAnsi="Open Sans" w:cs="Open Sans"/>
                <w:b/>
                <w:bCs/>
                <w:color w:val="2E74B5" w:themeColor="accent5" w:themeShade="BF"/>
                <w:sz w:val="22"/>
                <w:szCs w:val="22"/>
              </w:rPr>
            </w:pPr>
            <w:r w:rsidRPr="00C668A7">
              <w:rPr>
                <w:rFonts w:ascii="Open Sans" w:hAnsi="Open Sans" w:cs="Open Sans"/>
                <w:b/>
                <w:bCs/>
                <w:color w:val="000000"/>
                <w:sz w:val="22"/>
                <w:szCs w:val="22"/>
              </w:rPr>
              <w:t>5,6%</w:t>
            </w:r>
          </w:p>
        </w:tc>
      </w:tr>
    </w:tbl>
    <w:p w14:paraId="4BD43393" w14:textId="77777777" w:rsidR="00206298" w:rsidRDefault="00206298" w:rsidP="0089141F">
      <w:pPr>
        <w:spacing w:line="276" w:lineRule="auto"/>
        <w:ind w:right="-716"/>
        <w:jc w:val="right"/>
        <w:rPr>
          <w:rFonts w:ascii="Open Sans Light" w:eastAsia="Open Sans Light" w:hAnsi="Open Sans Light" w:cs="Open Sans Light"/>
          <w:b/>
          <w:color w:val="303AB2"/>
        </w:rPr>
      </w:pPr>
    </w:p>
    <w:p w14:paraId="65FD5216" w14:textId="77777777" w:rsidR="00206298" w:rsidRDefault="00206298" w:rsidP="0089141F">
      <w:pPr>
        <w:spacing w:line="276" w:lineRule="auto"/>
        <w:ind w:right="-716"/>
        <w:jc w:val="right"/>
        <w:rPr>
          <w:rFonts w:ascii="Open Sans Light" w:eastAsia="Open Sans Light" w:hAnsi="Open Sans Light" w:cs="Open Sans Light"/>
          <w:b/>
          <w:color w:val="303AB2"/>
        </w:rPr>
      </w:pPr>
    </w:p>
    <w:p w14:paraId="70FA4EAE" w14:textId="77777777" w:rsidR="00206298" w:rsidRDefault="00206298" w:rsidP="00206298">
      <w:pPr>
        <w:spacing w:line="276" w:lineRule="auto"/>
        <w:ind w:right="-574"/>
        <w:jc w:val="right"/>
        <w:rPr>
          <w:rFonts w:ascii="Open Sans Light" w:eastAsia="Open Sans Light" w:hAnsi="Open Sans Light" w:cs="Open Sans Light"/>
          <w:b/>
          <w:bCs/>
          <w:color w:val="303AB2"/>
        </w:rPr>
      </w:pPr>
      <w:r>
        <w:rPr>
          <w:rFonts w:ascii="Open Sans Light" w:eastAsia="Open Sans Light" w:hAnsi="Open Sans Light" w:cs="Open Sans Light"/>
          <w:b/>
          <w:bCs/>
          <w:color w:val="303AB2"/>
        </w:rPr>
        <w:t>Sobre Fotocasa</w:t>
      </w:r>
    </w:p>
    <w:p w14:paraId="4DA96837" w14:textId="77777777" w:rsidR="00206298" w:rsidRDefault="00206298" w:rsidP="00206298">
      <w:pPr>
        <w:shd w:val="clear" w:color="auto" w:fill="FFFFFF"/>
        <w:spacing w:before="280" w:after="280" w:line="276" w:lineRule="auto"/>
        <w:ind w:right="-574"/>
        <w:jc w:val="both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 xml:space="preserve">Fotocasa es uno de los principales portales inmobiliarios de España, con una amplia oferta de viviendas de segunda mano, promociones de obra nueva y alquileres que pertenece a </w:t>
      </w:r>
      <w:r>
        <w:rPr>
          <w:rFonts w:ascii="Open Sans" w:eastAsia="Open Sans" w:hAnsi="Open Sans" w:cs="Open Sans"/>
          <w:b/>
          <w:bCs/>
          <w:sz w:val="22"/>
          <w:szCs w:val="22"/>
        </w:rPr>
        <w:t>Fotocasa Group</w:t>
      </w:r>
      <w:r>
        <w:rPr>
          <w:rFonts w:ascii="Open Sans" w:eastAsia="Open Sans" w:hAnsi="Open Sans" w:cs="Open Sans"/>
          <w:sz w:val="22"/>
          <w:szCs w:val="22"/>
        </w:rPr>
        <w:t xml:space="preserve">. </w:t>
      </w:r>
    </w:p>
    <w:p w14:paraId="770FDB52" w14:textId="77777777" w:rsidR="00206298" w:rsidRDefault="00206298" w:rsidP="00206298">
      <w:pPr>
        <w:shd w:val="clear" w:color="auto" w:fill="FFFFFF"/>
        <w:spacing w:before="280" w:after="280" w:line="276" w:lineRule="auto"/>
        <w:ind w:right="-574"/>
        <w:jc w:val="both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 xml:space="preserve">Mensualmente, elabora el </w:t>
      </w:r>
      <w:hyperlink r:id="rId15">
        <w:r>
          <w:rPr>
            <w:rFonts w:ascii="Open Sans" w:eastAsia="Open Sans" w:hAnsi="Open Sans" w:cs="Open Sans"/>
            <w:b/>
            <w:bCs/>
            <w:color w:val="0000FF"/>
            <w:sz w:val="22"/>
            <w:szCs w:val="22"/>
            <w:u w:val="single"/>
          </w:rPr>
          <w:t>Índice inmobiliario Fotocasa</w:t>
        </w:r>
      </w:hyperlink>
      <w:r>
        <w:rPr>
          <w:rFonts w:ascii="Open Sans" w:eastAsia="Open Sans" w:hAnsi="Open Sans" w:cs="Open Sans"/>
          <w:sz w:val="22"/>
          <w:szCs w:val="22"/>
        </w:rPr>
        <w:t>, un informe de referencia que analiza la evolución del precio medio de la vivienda en España, tanto en venta como en alquiler.</w:t>
      </w:r>
    </w:p>
    <w:p w14:paraId="365DD4B9" w14:textId="77777777" w:rsidR="00206298" w:rsidRDefault="00206298" w:rsidP="00206298">
      <w:pPr>
        <w:shd w:val="clear" w:color="auto" w:fill="FFFFFF"/>
        <w:spacing w:before="280" w:after="280" w:line="276" w:lineRule="auto"/>
        <w:ind w:right="-574"/>
        <w:jc w:val="both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 xml:space="preserve">Desde 2017, desarrolla además estudios sociológicos bajo el sello </w:t>
      </w:r>
      <w:hyperlink r:id="rId16">
        <w:r>
          <w:rPr>
            <w:rFonts w:ascii="Open Sans" w:eastAsia="Open Sans" w:hAnsi="Open Sans" w:cs="Open Sans"/>
            <w:b/>
            <w:bCs/>
            <w:color w:val="0000FF"/>
            <w:sz w:val="22"/>
            <w:szCs w:val="22"/>
            <w:u w:val="single"/>
          </w:rPr>
          <w:t>Fotocasa Research</w:t>
        </w:r>
      </w:hyperlink>
      <w:r>
        <w:rPr>
          <w:rFonts w:ascii="Open Sans" w:eastAsia="Open Sans" w:hAnsi="Open Sans" w:cs="Open Sans"/>
          <w:sz w:val="22"/>
          <w:szCs w:val="22"/>
        </w:rPr>
        <w:t>, con el objetivo de aportar conocimiento y análisis en profundidad sobre las tendencias del mercado y el comportamiento de los ciudadanos en relación con la vivienda.</w:t>
      </w:r>
    </w:p>
    <w:p w14:paraId="48B68177" w14:textId="77777777" w:rsidR="00206298" w:rsidRDefault="00206298" w:rsidP="00206298">
      <w:pPr>
        <w:shd w:val="clear" w:color="auto" w:fill="FFFFFF"/>
        <w:spacing w:before="280" w:after="280" w:line="276" w:lineRule="auto"/>
        <w:ind w:right="-574"/>
        <w:jc w:val="both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 xml:space="preserve">Toda la información y los últimos comunicados están disponibles en su </w:t>
      </w:r>
      <w:hyperlink r:id="rId17">
        <w:r>
          <w:rPr>
            <w:rFonts w:ascii="Open Sans" w:eastAsia="Open Sans" w:hAnsi="Open Sans" w:cs="Open Sans"/>
            <w:b/>
            <w:bCs/>
            <w:color w:val="0000FF"/>
            <w:sz w:val="22"/>
            <w:szCs w:val="22"/>
            <w:u w:val="single"/>
          </w:rPr>
          <w:t>Sala de Prensa</w:t>
        </w:r>
      </w:hyperlink>
    </w:p>
    <w:p w14:paraId="1C919E48" w14:textId="77777777" w:rsidR="00206298" w:rsidRDefault="00206298" w:rsidP="00206298">
      <w:pPr>
        <w:spacing w:line="276" w:lineRule="auto"/>
        <w:ind w:right="-574"/>
        <w:rPr>
          <w:rFonts w:ascii="Open Sans Light" w:eastAsia="Open Sans Light" w:hAnsi="Open Sans Light" w:cs="Open Sans Light"/>
          <w:b/>
          <w:bCs/>
          <w:color w:val="303AB2"/>
        </w:rPr>
      </w:pPr>
    </w:p>
    <w:p w14:paraId="40C95470" w14:textId="77777777" w:rsidR="00206298" w:rsidRDefault="00206298" w:rsidP="00206298">
      <w:pPr>
        <w:spacing w:line="276" w:lineRule="auto"/>
        <w:ind w:right="-574"/>
        <w:jc w:val="right"/>
        <w:rPr>
          <w:rFonts w:ascii="Open Sans Light" w:eastAsia="Open Sans Light" w:hAnsi="Open Sans Light" w:cs="Open Sans Light"/>
          <w:b/>
          <w:bCs/>
          <w:color w:val="303AB2"/>
        </w:rPr>
      </w:pPr>
      <w:r>
        <w:rPr>
          <w:rFonts w:ascii="Open Sans Light" w:eastAsia="Open Sans Light" w:hAnsi="Open Sans Light" w:cs="Open Sans Light"/>
          <w:b/>
          <w:bCs/>
          <w:color w:val="303AB2"/>
        </w:rPr>
        <w:t>Sobre Fotocasa Group</w:t>
      </w:r>
    </w:p>
    <w:p w14:paraId="06B9293A" w14:textId="77777777" w:rsidR="00206298" w:rsidRDefault="00206298" w:rsidP="00206298">
      <w:pPr>
        <w:shd w:val="clear" w:color="auto" w:fill="FFFFFF"/>
        <w:spacing w:before="280" w:after="280" w:line="276" w:lineRule="auto"/>
        <w:ind w:right="-574"/>
        <w:jc w:val="both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b/>
          <w:bCs/>
          <w:sz w:val="22"/>
          <w:szCs w:val="22"/>
        </w:rPr>
        <w:t>Fotocasa Group</w:t>
      </w:r>
      <w:r>
        <w:rPr>
          <w:rFonts w:ascii="Open Sans" w:eastAsia="Open Sans" w:hAnsi="Open Sans" w:cs="Open Sans"/>
          <w:sz w:val="22"/>
          <w:szCs w:val="22"/>
        </w:rPr>
        <w:t xml:space="preserve"> es un referente del sector inmobiliario en España, </w:t>
      </w:r>
      <w:r>
        <w:rPr>
          <w:rFonts w:ascii="Open Sans" w:eastAsia="Open Sans" w:hAnsi="Open Sans" w:cs="Open Sans"/>
          <w:b/>
          <w:bCs/>
          <w:sz w:val="22"/>
          <w:szCs w:val="22"/>
        </w:rPr>
        <w:t>con más de 25 años de experiencia</w:t>
      </w:r>
      <w:r>
        <w:rPr>
          <w:rFonts w:ascii="Open Sans" w:eastAsia="Open Sans" w:hAnsi="Open Sans" w:cs="Open Sans"/>
          <w:sz w:val="22"/>
          <w:szCs w:val="22"/>
        </w:rPr>
        <w:t> liderando la transformación del real estate a través de la innovación, los datos y la tecnología.</w:t>
      </w:r>
    </w:p>
    <w:p w14:paraId="086F5610" w14:textId="77777777" w:rsidR="00206298" w:rsidRDefault="00206298" w:rsidP="00206298">
      <w:pPr>
        <w:shd w:val="clear" w:color="auto" w:fill="FFFFFF"/>
        <w:spacing w:before="280" w:after="280" w:line="276" w:lineRule="auto"/>
        <w:ind w:right="-574"/>
        <w:jc w:val="both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Bajo su marca paraguas, Fotocasa Group impulsa y da visibilidad a un ecosistema de marcas líderes —</w:t>
      </w:r>
      <w:hyperlink r:id="rId18">
        <w:r>
          <w:rPr>
            <w:rFonts w:ascii="Open Sans" w:eastAsia="Open Sans" w:hAnsi="Open Sans" w:cs="Open Sans"/>
            <w:b/>
            <w:bCs/>
            <w:color w:val="0000FF"/>
            <w:sz w:val="22"/>
            <w:szCs w:val="22"/>
            <w:u w:val="single"/>
          </w:rPr>
          <w:t>Fotocasa</w:t>
        </w:r>
      </w:hyperlink>
      <w:r>
        <w:rPr>
          <w:rFonts w:ascii="Open Sans" w:eastAsia="Open Sans" w:hAnsi="Open Sans" w:cs="Open Sans"/>
          <w:sz w:val="22"/>
          <w:szCs w:val="22"/>
        </w:rPr>
        <w:t xml:space="preserve">, </w:t>
      </w:r>
      <w:hyperlink r:id="rId19">
        <w:r>
          <w:rPr>
            <w:rFonts w:ascii="Open Sans" w:eastAsia="Open Sans" w:hAnsi="Open Sans" w:cs="Open Sans"/>
            <w:b/>
            <w:bCs/>
            <w:color w:val="0000FF"/>
            <w:sz w:val="22"/>
            <w:szCs w:val="22"/>
            <w:u w:val="single"/>
          </w:rPr>
          <w:t>habitaclia</w:t>
        </w:r>
      </w:hyperlink>
      <w:r>
        <w:rPr>
          <w:rFonts w:ascii="Open Sans" w:eastAsia="Open Sans" w:hAnsi="Open Sans" w:cs="Open Sans"/>
          <w:sz w:val="22"/>
          <w:szCs w:val="22"/>
        </w:rPr>
        <w:t xml:space="preserve">, </w:t>
      </w:r>
      <w:hyperlink r:id="rId20">
        <w:r>
          <w:rPr>
            <w:rFonts w:ascii="Open Sans" w:eastAsia="Open Sans" w:hAnsi="Open Sans" w:cs="Open Sans"/>
            <w:b/>
            <w:bCs/>
            <w:color w:val="0000FF"/>
            <w:sz w:val="22"/>
            <w:szCs w:val="22"/>
            <w:u w:val="single"/>
          </w:rPr>
          <w:t>Fotocasa Pro</w:t>
        </w:r>
      </w:hyperlink>
      <w:r>
        <w:rPr>
          <w:rFonts w:ascii="Open Sans" w:eastAsia="Open Sans" w:hAnsi="Open Sans" w:cs="Open Sans"/>
          <w:sz w:val="22"/>
          <w:szCs w:val="22"/>
        </w:rPr>
        <w:t xml:space="preserve">, </w:t>
      </w:r>
      <w:hyperlink r:id="rId21">
        <w:r>
          <w:rPr>
            <w:rFonts w:ascii="Open Sans" w:eastAsia="Open Sans" w:hAnsi="Open Sans" w:cs="Open Sans"/>
            <w:b/>
            <w:bCs/>
            <w:color w:val="0000FF"/>
            <w:sz w:val="22"/>
            <w:szCs w:val="22"/>
            <w:u w:val="single"/>
          </w:rPr>
          <w:t>Datavenues</w:t>
        </w:r>
      </w:hyperlink>
      <w:r>
        <w:rPr>
          <w:rFonts w:ascii="Open Sans" w:eastAsia="Open Sans" w:hAnsi="Open Sans" w:cs="Open Sans"/>
          <w:sz w:val="22"/>
          <w:szCs w:val="22"/>
        </w:rPr>
        <w:t xml:space="preserve">, </w:t>
      </w:r>
      <w:hyperlink r:id="rId22">
        <w:r>
          <w:rPr>
            <w:rFonts w:ascii="Open Sans" w:eastAsia="Open Sans" w:hAnsi="Open Sans" w:cs="Open Sans"/>
            <w:b/>
            <w:bCs/>
            <w:color w:val="0000FF"/>
            <w:sz w:val="22"/>
            <w:szCs w:val="22"/>
            <w:u w:val="single"/>
          </w:rPr>
          <w:t>Witei</w:t>
        </w:r>
      </w:hyperlink>
      <w:r>
        <w:rPr>
          <w:rFonts w:ascii="Open Sans" w:eastAsia="Open Sans" w:hAnsi="Open Sans" w:cs="Open Sans"/>
          <w:sz w:val="22"/>
          <w:szCs w:val="22"/>
        </w:rPr>
        <w:t xml:space="preserve"> e </w:t>
      </w:r>
      <w:hyperlink r:id="rId23">
        <w:r>
          <w:rPr>
            <w:rFonts w:ascii="Open Sans" w:eastAsia="Open Sans" w:hAnsi="Open Sans" w:cs="Open Sans"/>
            <w:b/>
            <w:bCs/>
            <w:color w:val="0000FF"/>
            <w:sz w:val="22"/>
            <w:szCs w:val="22"/>
          </w:rPr>
          <w:t>Inmoweb</w:t>
        </w:r>
      </w:hyperlink>
      <w:r>
        <w:rPr>
          <w:rFonts w:ascii="Open Sans" w:eastAsia="Open Sans" w:hAnsi="Open Sans" w:cs="Open Sans"/>
          <w:sz w:val="22"/>
          <w:szCs w:val="22"/>
        </w:rPr>
        <w:t xml:space="preserve">— </w:t>
      </w:r>
      <w:r>
        <w:rPr>
          <w:rFonts w:ascii="Open Sans" w:eastAsia="Open Sans" w:hAnsi="Open Sans" w:cs="Open Sans"/>
          <w:sz w:val="22"/>
          <w:szCs w:val="22"/>
        </w:rPr>
        <w:lastRenderedPageBreak/>
        <w:t xml:space="preserve">que ofrecen soluciones integrales tanto </w:t>
      </w:r>
      <w:r>
        <w:rPr>
          <w:rFonts w:ascii="Open Sans" w:eastAsia="Open Sans" w:hAnsi="Open Sans" w:cs="Open Sans"/>
          <w:b/>
          <w:bCs/>
          <w:sz w:val="22"/>
          <w:szCs w:val="22"/>
        </w:rPr>
        <w:t>para particulares como para profesionales del sector</w:t>
      </w:r>
      <w:r>
        <w:rPr>
          <w:rFonts w:ascii="Open Sans" w:eastAsia="Open Sans" w:hAnsi="Open Sans" w:cs="Open Sans"/>
          <w:sz w:val="22"/>
          <w:szCs w:val="22"/>
        </w:rPr>
        <w:t>.</w:t>
      </w:r>
    </w:p>
    <w:p w14:paraId="32455BEF" w14:textId="77777777" w:rsidR="00206298" w:rsidRDefault="00206298" w:rsidP="00206298">
      <w:pPr>
        <w:shd w:val="clear" w:color="auto" w:fill="FFFFFF"/>
        <w:spacing w:before="280" w:after="280" w:line="276" w:lineRule="auto"/>
        <w:ind w:right="-574"/>
        <w:jc w:val="both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b/>
          <w:bCs/>
          <w:sz w:val="22"/>
          <w:szCs w:val="22"/>
        </w:rPr>
        <w:t>Fotocasa</w:t>
      </w:r>
      <w:r>
        <w:rPr>
          <w:rFonts w:ascii="Open Sans" w:eastAsia="Open Sans" w:hAnsi="Open Sans" w:cs="Open Sans"/>
          <w:sz w:val="22"/>
          <w:szCs w:val="22"/>
        </w:rPr>
        <w:t>, la marca insignia del grupo, conecta cada día a </w:t>
      </w:r>
      <w:r>
        <w:rPr>
          <w:rFonts w:ascii="Open Sans" w:eastAsia="Open Sans" w:hAnsi="Open Sans" w:cs="Open Sans"/>
          <w:b/>
          <w:bCs/>
          <w:sz w:val="22"/>
          <w:szCs w:val="22"/>
        </w:rPr>
        <w:t>millones de personas con su próximo hogar</w:t>
      </w:r>
      <w:r>
        <w:rPr>
          <w:rFonts w:ascii="Open Sans" w:eastAsia="Open Sans" w:hAnsi="Open Sans" w:cs="Open Sans"/>
          <w:sz w:val="22"/>
          <w:szCs w:val="22"/>
        </w:rPr>
        <w:t>, ofreciendo la mayor oferta de viviendas de segunda mano, obra nueva, alquiler y compraventa, junto con análisis y contenidos que la consolidan como un auténtico </w:t>
      </w:r>
      <w:r>
        <w:rPr>
          <w:rFonts w:ascii="Open Sans" w:eastAsia="Open Sans" w:hAnsi="Open Sans" w:cs="Open Sans"/>
          <w:b/>
          <w:bCs/>
          <w:sz w:val="22"/>
          <w:szCs w:val="22"/>
        </w:rPr>
        <w:t>referente del mercado inmobiliario</w:t>
      </w:r>
      <w:r>
        <w:rPr>
          <w:rFonts w:ascii="Open Sans" w:eastAsia="Open Sans" w:hAnsi="Open Sans" w:cs="Open Sans"/>
          <w:sz w:val="22"/>
          <w:szCs w:val="22"/>
        </w:rPr>
        <w:t>.</w:t>
      </w:r>
    </w:p>
    <w:p w14:paraId="29E4BB8A" w14:textId="77777777" w:rsidR="00206298" w:rsidRDefault="00206298" w:rsidP="00206298">
      <w:pPr>
        <w:shd w:val="clear" w:color="auto" w:fill="FFFFFF"/>
        <w:spacing w:before="280" w:after="280" w:line="276" w:lineRule="auto"/>
        <w:ind w:right="-574"/>
        <w:jc w:val="both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En Fotocasa Group, </w:t>
      </w:r>
      <w:r>
        <w:rPr>
          <w:rFonts w:ascii="Open Sans" w:eastAsia="Open Sans" w:hAnsi="Open Sans" w:cs="Open Sans"/>
          <w:b/>
          <w:bCs/>
          <w:sz w:val="22"/>
          <w:szCs w:val="22"/>
        </w:rPr>
        <w:t>unimos personas y propiedades</w:t>
      </w:r>
      <w:r>
        <w:rPr>
          <w:rFonts w:ascii="Open Sans" w:eastAsia="Open Sans" w:hAnsi="Open Sans" w:cs="Open Sans"/>
          <w:sz w:val="22"/>
          <w:szCs w:val="22"/>
        </w:rPr>
        <w:t> a través de una plataforma inteligente, diseñada para hacer que </w:t>
      </w:r>
      <w:r>
        <w:rPr>
          <w:rFonts w:ascii="Open Sans" w:eastAsia="Open Sans" w:hAnsi="Open Sans" w:cs="Open Sans"/>
          <w:b/>
          <w:bCs/>
          <w:sz w:val="22"/>
          <w:szCs w:val="22"/>
        </w:rPr>
        <w:t>buscar, comprar o alquilar vivienda</w:t>
      </w:r>
      <w:r>
        <w:rPr>
          <w:rFonts w:ascii="Open Sans" w:eastAsia="Open Sans" w:hAnsi="Open Sans" w:cs="Open Sans"/>
          <w:sz w:val="22"/>
          <w:szCs w:val="22"/>
        </w:rPr>
        <w:t> sea una experiencia más fácil, transparente y eficiente.</w:t>
      </w:r>
    </w:p>
    <w:p w14:paraId="46FB5D32" w14:textId="77777777" w:rsidR="00206298" w:rsidRDefault="00206298" w:rsidP="00206298">
      <w:pPr>
        <w:shd w:val="clear" w:color="auto" w:fill="FFFFFF"/>
        <w:spacing w:before="280" w:after="280" w:line="276" w:lineRule="auto"/>
        <w:ind w:right="-574"/>
        <w:jc w:val="both"/>
        <w:rPr>
          <w:rFonts w:ascii="Open Sans" w:eastAsia="Open Sans" w:hAnsi="Open Sans" w:cs="Open Sans"/>
          <w:sz w:val="22"/>
          <w:szCs w:val="22"/>
        </w:rPr>
      </w:pPr>
      <w:r>
        <w:rPr>
          <w:rFonts w:ascii="Open Sans" w:eastAsia="Open Sans" w:hAnsi="Open Sans" w:cs="Open Sans"/>
          <w:sz w:val="22"/>
          <w:szCs w:val="22"/>
        </w:rPr>
        <w:t>Nuestra visión es clara</w:t>
      </w:r>
      <w:r>
        <w:rPr>
          <w:rFonts w:ascii="Open Sans" w:eastAsia="Open Sans" w:hAnsi="Open Sans" w:cs="Open Sans"/>
          <w:b/>
          <w:bCs/>
          <w:sz w:val="22"/>
          <w:szCs w:val="22"/>
        </w:rPr>
        <w:t>: ser el lugar donde tu nuevo hogar te encuentra</w:t>
      </w:r>
      <w:r>
        <w:rPr>
          <w:rFonts w:ascii="Open Sans" w:eastAsia="Open Sans" w:hAnsi="Open Sans" w:cs="Open Sans"/>
          <w:sz w:val="22"/>
          <w:szCs w:val="22"/>
        </w:rPr>
        <w:t>.</w:t>
      </w:r>
    </w:p>
    <w:p w14:paraId="0589619A" w14:textId="77777777" w:rsidR="00206298" w:rsidRDefault="00206298" w:rsidP="00206298">
      <w:pPr>
        <w:spacing w:line="276" w:lineRule="auto"/>
        <w:ind w:right="-574"/>
        <w:rPr>
          <w:rFonts w:ascii="Open Sans Light" w:eastAsia="Open Sans Light" w:hAnsi="Open Sans Light" w:cs="Open Sans Light"/>
          <w:b/>
          <w:bCs/>
          <w:color w:val="303AB2"/>
          <w:sz w:val="22"/>
          <w:szCs w:val="22"/>
        </w:rPr>
      </w:pPr>
    </w:p>
    <w:p w14:paraId="2A4380FE" w14:textId="4EB80AF6" w:rsidR="00206298" w:rsidRDefault="00206298" w:rsidP="00206298">
      <w:pPr>
        <w:spacing w:line="276" w:lineRule="auto"/>
        <w:ind w:right="-574"/>
        <w:rPr>
          <w:rFonts w:ascii="Open Sans Light" w:eastAsia="Open Sans Light" w:hAnsi="Open Sans Light" w:cs="Open Sans Light"/>
          <w:b/>
          <w:bCs/>
          <w:color w:val="303AB2"/>
          <w:sz w:val="22"/>
          <w:szCs w:val="22"/>
        </w:rPr>
      </w:pPr>
      <w:r>
        <w:rPr>
          <w:rFonts w:ascii="Open Sans Light" w:eastAsia="Open Sans Light" w:hAnsi="Open Sans Light" w:cs="Open Sans Light"/>
          <w:b/>
          <w:bCs/>
          <w:color w:val="303AB2"/>
          <w:sz w:val="22"/>
          <w:szCs w:val="22"/>
        </w:rPr>
        <w:t>Departamento Comunicación Fotocasa</w:t>
      </w:r>
    </w:p>
    <w:p w14:paraId="7AB850B5" w14:textId="77777777" w:rsidR="00206298" w:rsidRDefault="00206298" w:rsidP="00206298">
      <w:pPr>
        <w:shd w:val="clear" w:color="auto" w:fill="FFFFFF"/>
        <w:spacing w:line="276" w:lineRule="auto"/>
        <w:ind w:right="-574"/>
        <w:rPr>
          <w:rFonts w:ascii="Open Sans" w:eastAsia="Open Sans" w:hAnsi="Open Sans" w:cs="Open Sans"/>
          <w:b/>
          <w:bCs/>
          <w:color w:val="000000"/>
          <w:sz w:val="22"/>
          <w:szCs w:val="22"/>
        </w:rPr>
      </w:pPr>
      <w:r>
        <w:rPr>
          <w:rFonts w:ascii="Open Sans" w:eastAsia="Open Sans" w:hAnsi="Open Sans" w:cs="Open Sans"/>
          <w:b/>
          <w:bCs/>
          <w:color w:val="000000"/>
          <w:sz w:val="22"/>
          <w:szCs w:val="22"/>
        </w:rPr>
        <w:t>Anaïs García</w:t>
      </w:r>
    </w:p>
    <w:p w14:paraId="0BFD380D" w14:textId="77777777" w:rsidR="00206298" w:rsidRDefault="00206298" w:rsidP="00206298">
      <w:pPr>
        <w:shd w:val="clear" w:color="auto" w:fill="FFFFFF"/>
        <w:spacing w:line="276" w:lineRule="auto"/>
        <w:ind w:right="-574"/>
        <w:rPr>
          <w:rFonts w:ascii="Open Sans" w:eastAsia="Open Sans" w:hAnsi="Open Sans" w:cs="Open Sans"/>
          <w:color w:val="0000FF"/>
          <w:sz w:val="22"/>
          <w:szCs w:val="22"/>
          <w:u w:val="single"/>
        </w:rPr>
      </w:pPr>
      <w:hyperlink r:id="rId24">
        <w:r>
          <w:rPr>
            <w:rFonts w:ascii="Open Sans" w:eastAsia="Open Sans" w:hAnsi="Open Sans" w:cs="Open Sans"/>
            <w:color w:val="0000FF"/>
            <w:sz w:val="22"/>
            <w:szCs w:val="22"/>
            <w:u w:val="single"/>
          </w:rPr>
          <w:t>comunicacion@fotocasa.es</w:t>
        </w:r>
      </w:hyperlink>
    </w:p>
    <w:p w14:paraId="0C5C0DC9" w14:textId="77777777" w:rsidR="00206298" w:rsidRDefault="00206298" w:rsidP="00206298">
      <w:pPr>
        <w:shd w:val="clear" w:color="auto" w:fill="FFFFFF"/>
        <w:spacing w:line="276" w:lineRule="auto"/>
        <w:ind w:right="-574"/>
        <w:rPr>
          <w:rFonts w:ascii="Open Sans" w:eastAsia="Open Sans" w:hAnsi="Open Sans" w:cs="Open Sans"/>
          <w:color w:val="000000"/>
          <w:sz w:val="22"/>
          <w:szCs w:val="22"/>
        </w:rPr>
      </w:pPr>
      <w:r>
        <w:rPr>
          <w:rFonts w:ascii="Open Sans" w:eastAsia="Open Sans" w:hAnsi="Open Sans" w:cs="Open Sans"/>
          <w:color w:val="000000"/>
          <w:sz w:val="22"/>
          <w:szCs w:val="22"/>
        </w:rPr>
        <w:t>620 66 29 26</w:t>
      </w:r>
    </w:p>
    <w:p w14:paraId="2978FFE0" w14:textId="77777777" w:rsidR="0089141F" w:rsidRPr="002572D7" w:rsidRDefault="0089141F" w:rsidP="00206298">
      <w:pPr>
        <w:spacing w:line="276" w:lineRule="auto"/>
        <w:ind w:right="-716"/>
        <w:jc w:val="right"/>
        <w:rPr>
          <w:rFonts w:ascii="Open Sans" w:hAnsi="Open Sans" w:cs="Open Sans"/>
          <w:color w:val="000000"/>
          <w:sz w:val="22"/>
          <w:szCs w:val="22"/>
        </w:rPr>
      </w:pPr>
    </w:p>
    <w:sectPr w:rsidR="0089141F" w:rsidRPr="002572D7" w:rsidSect="007478BD">
      <w:footerReference w:type="default" r:id="rId25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91E26" w14:textId="77777777" w:rsidR="009F2043" w:rsidRDefault="009F2043" w:rsidP="00DD4CA4">
      <w:r>
        <w:separator/>
      </w:r>
    </w:p>
  </w:endnote>
  <w:endnote w:type="continuationSeparator" w:id="0">
    <w:p w14:paraId="2C76ED9F" w14:textId="77777777" w:rsidR="009F2043" w:rsidRDefault="009F2043" w:rsidP="00DD4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ational">
    <w:altName w:val="Calibri"/>
    <w:charset w:val="00"/>
    <w:family w:val="auto"/>
    <w:pitch w:val="default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6A755" w14:textId="77777777" w:rsidR="00206126" w:rsidRDefault="00206126">
    <w:pPr>
      <w:pStyle w:val="Piedepgina"/>
    </w:pPr>
    <w:r>
      <w:rPr>
        <w:rFonts w:ascii="Open Sans" w:hAnsi="Open Sans" w:cs="Open Sans"/>
        <w:noProof/>
        <w:color w:val="000000"/>
        <w:sz w:val="21"/>
        <w:szCs w:val="21"/>
        <w:lang w:val="es-ES" w:eastAsia="es-ES" w:bidi="ks-Deva"/>
      </w:rPr>
      <w:drawing>
        <wp:anchor distT="0" distB="0" distL="114300" distR="114300" simplePos="0" relativeHeight="251658752" behindDoc="1" locked="0" layoutInCell="1" allowOverlap="1" wp14:anchorId="4FA99DDF" wp14:editId="391A5857">
          <wp:simplePos x="0" y="0"/>
          <wp:positionH relativeFrom="column">
            <wp:posOffset>-1068070</wp:posOffset>
          </wp:positionH>
          <wp:positionV relativeFrom="paragraph">
            <wp:posOffset>174608</wp:posOffset>
          </wp:positionV>
          <wp:extent cx="7670550" cy="451315"/>
          <wp:effectExtent l="0" t="0" r="0" b="6350"/>
          <wp:wrapNone/>
          <wp:docPr id="592376761" name="Imagen 592376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_Nd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0550" cy="451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0D7D3" w14:textId="77777777" w:rsidR="009F2043" w:rsidRDefault="009F2043" w:rsidP="00DD4CA4">
      <w:r>
        <w:separator/>
      </w:r>
    </w:p>
  </w:footnote>
  <w:footnote w:type="continuationSeparator" w:id="0">
    <w:p w14:paraId="07E5D0EF" w14:textId="77777777" w:rsidR="009F2043" w:rsidRDefault="009F2043" w:rsidP="00DD4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06974"/>
    <w:multiLevelType w:val="hybridMultilevel"/>
    <w:tmpl w:val="3D8450D8"/>
    <w:lvl w:ilvl="0" w:tplc="C9EAB9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57E20"/>
    <w:multiLevelType w:val="hybridMultilevel"/>
    <w:tmpl w:val="C30C5D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A0A67"/>
    <w:multiLevelType w:val="hybridMultilevel"/>
    <w:tmpl w:val="6EB47F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6F5BC2"/>
    <w:multiLevelType w:val="multilevel"/>
    <w:tmpl w:val="E13A2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B22EA9"/>
    <w:multiLevelType w:val="hybridMultilevel"/>
    <w:tmpl w:val="A7CA6C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24275"/>
    <w:multiLevelType w:val="hybridMultilevel"/>
    <w:tmpl w:val="8CE6CA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B61786"/>
    <w:multiLevelType w:val="multilevel"/>
    <w:tmpl w:val="3C422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7C4E6B"/>
    <w:multiLevelType w:val="hybridMultilevel"/>
    <w:tmpl w:val="47F604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143641">
    <w:abstractNumId w:val="6"/>
  </w:num>
  <w:num w:numId="2" w16cid:durableId="1526672188">
    <w:abstractNumId w:val="3"/>
  </w:num>
  <w:num w:numId="3" w16cid:durableId="2040662544">
    <w:abstractNumId w:val="5"/>
  </w:num>
  <w:num w:numId="4" w16cid:durableId="448089904">
    <w:abstractNumId w:val="1"/>
  </w:num>
  <w:num w:numId="5" w16cid:durableId="39550298">
    <w:abstractNumId w:val="4"/>
  </w:num>
  <w:num w:numId="6" w16cid:durableId="1275139815">
    <w:abstractNumId w:val="7"/>
  </w:num>
  <w:num w:numId="7" w16cid:durableId="819733266">
    <w:abstractNumId w:val="2"/>
  </w:num>
  <w:num w:numId="8" w16cid:durableId="419369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CA7"/>
    <w:rsid w:val="000034A6"/>
    <w:rsid w:val="00010ECE"/>
    <w:rsid w:val="00013487"/>
    <w:rsid w:val="00014CED"/>
    <w:rsid w:val="00014EC0"/>
    <w:rsid w:val="00022A98"/>
    <w:rsid w:val="000257B1"/>
    <w:rsid w:val="000314F8"/>
    <w:rsid w:val="000329E0"/>
    <w:rsid w:val="00034E35"/>
    <w:rsid w:val="00043FC4"/>
    <w:rsid w:val="0005599B"/>
    <w:rsid w:val="0006155E"/>
    <w:rsid w:val="00063144"/>
    <w:rsid w:val="00066012"/>
    <w:rsid w:val="00066D4E"/>
    <w:rsid w:val="00066FF0"/>
    <w:rsid w:val="00073F7A"/>
    <w:rsid w:val="0007477B"/>
    <w:rsid w:val="00075BEA"/>
    <w:rsid w:val="0007755A"/>
    <w:rsid w:val="00077B7C"/>
    <w:rsid w:val="00084308"/>
    <w:rsid w:val="00084591"/>
    <w:rsid w:val="00091F4C"/>
    <w:rsid w:val="0009642A"/>
    <w:rsid w:val="00097638"/>
    <w:rsid w:val="000A1BFD"/>
    <w:rsid w:val="000A3C1F"/>
    <w:rsid w:val="000A4E91"/>
    <w:rsid w:val="000A6376"/>
    <w:rsid w:val="000A7495"/>
    <w:rsid w:val="000B58AA"/>
    <w:rsid w:val="000B7CF6"/>
    <w:rsid w:val="000C1420"/>
    <w:rsid w:val="000C290A"/>
    <w:rsid w:val="000C7646"/>
    <w:rsid w:val="000D60D7"/>
    <w:rsid w:val="000E0424"/>
    <w:rsid w:val="000E5649"/>
    <w:rsid w:val="000F2507"/>
    <w:rsid w:val="000F737D"/>
    <w:rsid w:val="000F773F"/>
    <w:rsid w:val="00110839"/>
    <w:rsid w:val="0011127D"/>
    <w:rsid w:val="001134AD"/>
    <w:rsid w:val="00122706"/>
    <w:rsid w:val="00130D58"/>
    <w:rsid w:val="001316A7"/>
    <w:rsid w:val="00133A7B"/>
    <w:rsid w:val="001361DC"/>
    <w:rsid w:val="00136259"/>
    <w:rsid w:val="00137E55"/>
    <w:rsid w:val="0014007A"/>
    <w:rsid w:val="0014287C"/>
    <w:rsid w:val="00144A77"/>
    <w:rsid w:val="00152120"/>
    <w:rsid w:val="00152FC9"/>
    <w:rsid w:val="001562A4"/>
    <w:rsid w:val="00157BA7"/>
    <w:rsid w:val="0016153B"/>
    <w:rsid w:val="001636D0"/>
    <w:rsid w:val="001651B5"/>
    <w:rsid w:val="00170702"/>
    <w:rsid w:val="0017208C"/>
    <w:rsid w:val="001748DD"/>
    <w:rsid w:val="00193C8D"/>
    <w:rsid w:val="00196144"/>
    <w:rsid w:val="00196822"/>
    <w:rsid w:val="00196965"/>
    <w:rsid w:val="001A1AB2"/>
    <w:rsid w:val="001A3470"/>
    <w:rsid w:val="001B2CC7"/>
    <w:rsid w:val="001B3A44"/>
    <w:rsid w:val="001B56F0"/>
    <w:rsid w:val="001B69A0"/>
    <w:rsid w:val="001C214E"/>
    <w:rsid w:val="001C61E0"/>
    <w:rsid w:val="001C6AC4"/>
    <w:rsid w:val="001D4723"/>
    <w:rsid w:val="001D49F8"/>
    <w:rsid w:val="001D5C4A"/>
    <w:rsid w:val="001E009C"/>
    <w:rsid w:val="001E094C"/>
    <w:rsid w:val="001E1375"/>
    <w:rsid w:val="001E18D5"/>
    <w:rsid w:val="001E69C0"/>
    <w:rsid w:val="00204752"/>
    <w:rsid w:val="00206126"/>
    <w:rsid w:val="00206298"/>
    <w:rsid w:val="00210DBA"/>
    <w:rsid w:val="0021639C"/>
    <w:rsid w:val="002203EE"/>
    <w:rsid w:val="002219EE"/>
    <w:rsid w:val="00222A5A"/>
    <w:rsid w:val="00223856"/>
    <w:rsid w:val="00223F7F"/>
    <w:rsid w:val="00224EB4"/>
    <w:rsid w:val="002252B3"/>
    <w:rsid w:val="00226CA0"/>
    <w:rsid w:val="00227100"/>
    <w:rsid w:val="00235048"/>
    <w:rsid w:val="00242192"/>
    <w:rsid w:val="00247090"/>
    <w:rsid w:val="0025001F"/>
    <w:rsid w:val="002564C0"/>
    <w:rsid w:val="00257BCB"/>
    <w:rsid w:val="0026392E"/>
    <w:rsid w:val="00270D45"/>
    <w:rsid w:val="00275A26"/>
    <w:rsid w:val="002763B0"/>
    <w:rsid w:val="00281F6A"/>
    <w:rsid w:val="00283B5D"/>
    <w:rsid w:val="00284D38"/>
    <w:rsid w:val="00285782"/>
    <w:rsid w:val="0029139A"/>
    <w:rsid w:val="00292293"/>
    <w:rsid w:val="002949FD"/>
    <w:rsid w:val="002A35C0"/>
    <w:rsid w:val="002A4DFB"/>
    <w:rsid w:val="002A6116"/>
    <w:rsid w:val="002A62A4"/>
    <w:rsid w:val="002B6E3D"/>
    <w:rsid w:val="002C1563"/>
    <w:rsid w:val="002C2F40"/>
    <w:rsid w:val="002C5DCC"/>
    <w:rsid w:val="002C7C7B"/>
    <w:rsid w:val="002D35EA"/>
    <w:rsid w:val="002D3DE3"/>
    <w:rsid w:val="002D671A"/>
    <w:rsid w:val="002D672F"/>
    <w:rsid w:val="002E2815"/>
    <w:rsid w:val="002E38BD"/>
    <w:rsid w:val="002E4DF7"/>
    <w:rsid w:val="002E582A"/>
    <w:rsid w:val="002F0A40"/>
    <w:rsid w:val="002F10E2"/>
    <w:rsid w:val="002F439B"/>
    <w:rsid w:val="002F4C9D"/>
    <w:rsid w:val="002F6332"/>
    <w:rsid w:val="002F6402"/>
    <w:rsid w:val="002F7271"/>
    <w:rsid w:val="00301D18"/>
    <w:rsid w:val="0030236E"/>
    <w:rsid w:val="0030786F"/>
    <w:rsid w:val="00307DF9"/>
    <w:rsid w:val="00312E25"/>
    <w:rsid w:val="00312FDC"/>
    <w:rsid w:val="003137CE"/>
    <w:rsid w:val="003145A9"/>
    <w:rsid w:val="00325C81"/>
    <w:rsid w:val="00334677"/>
    <w:rsid w:val="00342499"/>
    <w:rsid w:val="00351CB1"/>
    <w:rsid w:val="00357C82"/>
    <w:rsid w:val="0036245E"/>
    <w:rsid w:val="003646FD"/>
    <w:rsid w:val="00364946"/>
    <w:rsid w:val="00365E7F"/>
    <w:rsid w:val="0037410B"/>
    <w:rsid w:val="00376DE0"/>
    <w:rsid w:val="003827F7"/>
    <w:rsid w:val="00392ACD"/>
    <w:rsid w:val="00394847"/>
    <w:rsid w:val="003A448C"/>
    <w:rsid w:val="003A7DB8"/>
    <w:rsid w:val="003A7FF3"/>
    <w:rsid w:val="003B134C"/>
    <w:rsid w:val="003C01A2"/>
    <w:rsid w:val="003C2A12"/>
    <w:rsid w:val="003C46A6"/>
    <w:rsid w:val="003C4D3B"/>
    <w:rsid w:val="003D019E"/>
    <w:rsid w:val="003D07B3"/>
    <w:rsid w:val="003D4FE5"/>
    <w:rsid w:val="003D5A70"/>
    <w:rsid w:val="003D77BA"/>
    <w:rsid w:val="003F1843"/>
    <w:rsid w:val="003F1883"/>
    <w:rsid w:val="003F4390"/>
    <w:rsid w:val="003F535B"/>
    <w:rsid w:val="003F66EE"/>
    <w:rsid w:val="004029F8"/>
    <w:rsid w:val="00403021"/>
    <w:rsid w:val="00412163"/>
    <w:rsid w:val="00421B15"/>
    <w:rsid w:val="004278CB"/>
    <w:rsid w:val="00431221"/>
    <w:rsid w:val="00435FBF"/>
    <w:rsid w:val="004372BE"/>
    <w:rsid w:val="0043796C"/>
    <w:rsid w:val="004419C5"/>
    <w:rsid w:val="00441F4B"/>
    <w:rsid w:val="00446B58"/>
    <w:rsid w:val="0045167C"/>
    <w:rsid w:val="004577E7"/>
    <w:rsid w:val="0045793F"/>
    <w:rsid w:val="00467F02"/>
    <w:rsid w:val="00473E5F"/>
    <w:rsid w:val="00476920"/>
    <w:rsid w:val="00491F19"/>
    <w:rsid w:val="00494660"/>
    <w:rsid w:val="00497F29"/>
    <w:rsid w:val="004A0180"/>
    <w:rsid w:val="004A6CDC"/>
    <w:rsid w:val="004B0602"/>
    <w:rsid w:val="004B0DEC"/>
    <w:rsid w:val="004B2233"/>
    <w:rsid w:val="004B5DFF"/>
    <w:rsid w:val="004C4ED3"/>
    <w:rsid w:val="004D0E4B"/>
    <w:rsid w:val="004D3A6F"/>
    <w:rsid w:val="004E6B54"/>
    <w:rsid w:val="00502597"/>
    <w:rsid w:val="005025F0"/>
    <w:rsid w:val="005029E9"/>
    <w:rsid w:val="00503F5B"/>
    <w:rsid w:val="00504F5F"/>
    <w:rsid w:val="005103F9"/>
    <w:rsid w:val="005149BB"/>
    <w:rsid w:val="00516D9F"/>
    <w:rsid w:val="00516F9C"/>
    <w:rsid w:val="0052209D"/>
    <w:rsid w:val="00524A6B"/>
    <w:rsid w:val="005266EF"/>
    <w:rsid w:val="00530E3C"/>
    <w:rsid w:val="00537A8E"/>
    <w:rsid w:val="00540CE5"/>
    <w:rsid w:val="00542324"/>
    <w:rsid w:val="00545E3F"/>
    <w:rsid w:val="00557205"/>
    <w:rsid w:val="005602E5"/>
    <w:rsid w:val="00565BC8"/>
    <w:rsid w:val="00566CD3"/>
    <w:rsid w:val="00570DFA"/>
    <w:rsid w:val="00574A33"/>
    <w:rsid w:val="00581903"/>
    <w:rsid w:val="00583D8D"/>
    <w:rsid w:val="005859E9"/>
    <w:rsid w:val="00587182"/>
    <w:rsid w:val="00592313"/>
    <w:rsid w:val="00592FFB"/>
    <w:rsid w:val="00593D08"/>
    <w:rsid w:val="0059651E"/>
    <w:rsid w:val="005A1AD1"/>
    <w:rsid w:val="005A4CB5"/>
    <w:rsid w:val="005A5AD3"/>
    <w:rsid w:val="005B11DB"/>
    <w:rsid w:val="005B738A"/>
    <w:rsid w:val="005C2370"/>
    <w:rsid w:val="005C2A66"/>
    <w:rsid w:val="005C4FC4"/>
    <w:rsid w:val="005C5838"/>
    <w:rsid w:val="005C6DDB"/>
    <w:rsid w:val="005D019A"/>
    <w:rsid w:val="005D12D9"/>
    <w:rsid w:val="005D15CF"/>
    <w:rsid w:val="005D5A58"/>
    <w:rsid w:val="005D67F7"/>
    <w:rsid w:val="005E2284"/>
    <w:rsid w:val="005E255E"/>
    <w:rsid w:val="005E3F7B"/>
    <w:rsid w:val="005E7236"/>
    <w:rsid w:val="005F2287"/>
    <w:rsid w:val="005F3812"/>
    <w:rsid w:val="005F6A96"/>
    <w:rsid w:val="005F6CA3"/>
    <w:rsid w:val="005F7194"/>
    <w:rsid w:val="0060096C"/>
    <w:rsid w:val="00604C1A"/>
    <w:rsid w:val="006051CC"/>
    <w:rsid w:val="00606A1A"/>
    <w:rsid w:val="0061189C"/>
    <w:rsid w:val="00612C68"/>
    <w:rsid w:val="006251BA"/>
    <w:rsid w:val="00626668"/>
    <w:rsid w:val="00637401"/>
    <w:rsid w:val="00646E7D"/>
    <w:rsid w:val="006501B3"/>
    <w:rsid w:val="00651664"/>
    <w:rsid w:val="006573FB"/>
    <w:rsid w:val="00663524"/>
    <w:rsid w:val="00666200"/>
    <w:rsid w:val="00667733"/>
    <w:rsid w:val="00667D75"/>
    <w:rsid w:val="00670A43"/>
    <w:rsid w:val="00672CA6"/>
    <w:rsid w:val="00672D30"/>
    <w:rsid w:val="006837D8"/>
    <w:rsid w:val="006841D0"/>
    <w:rsid w:val="00686B2E"/>
    <w:rsid w:val="00692D5A"/>
    <w:rsid w:val="006A1269"/>
    <w:rsid w:val="006A3C97"/>
    <w:rsid w:val="006B52C7"/>
    <w:rsid w:val="006D041E"/>
    <w:rsid w:val="006D1BBC"/>
    <w:rsid w:val="006D2A3C"/>
    <w:rsid w:val="006E1AA8"/>
    <w:rsid w:val="006E22D8"/>
    <w:rsid w:val="006E6BA4"/>
    <w:rsid w:val="006F1858"/>
    <w:rsid w:val="006F46EF"/>
    <w:rsid w:val="006F6575"/>
    <w:rsid w:val="00701597"/>
    <w:rsid w:val="00702056"/>
    <w:rsid w:val="007027AA"/>
    <w:rsid w:val="0070542A"/>
    <w:rsid w:val="00712D25"/>
    <w:rsid w:val="00713A9F"/>
    <w:rsid w:val="007152AE"/>
    <w:rsid w:val="007225B4"/>
    <w:rsid w:val="00725C0B"/>
    <w:rsid w:val="00727284"/>
    <w:rsid w:val="00735469"/>
    <w:rsid w:val="00736472"/>
    <w:rsid w:val="00736F3A"/>
    <w:rsid w:val="007401BA"/>
    <w:rsid w:val="00740970"/>
    <w:rsid w:val="007478BD"/>
    <w:rsid w:val="00751009"/>
    <w:rsid w:val="00752A3B"/>
    <w:rsid w:val="00753088"/>
    <w:rsid w:val="00757904"/>
    <w:rsid w:val="0076156F"/>
    <w:rsid w:val="00764345"/>
    <w:rsid w:val="007670CE"/>
    <w:rsid w:val="00780793"/>
    <w:rsid w:val="00782B87"/>
    <w:rsid w:val="00784F01"/>
    <w:rsid w:val="00785BD2"/>
    <w:rsid w:val="00793775"/>
    <w:rsid w:val="007937D5"/>
    <w:rsid w:val="0079503E"/>
    <w:rsid w:val="007A16BE"/>
    <w:rsid w:val="007A2DB6"/>
    <w:rsid w:val="007A55E0"/>
    <w:rsid w:val="007A7D8D"/>
    <w:rsid w:val="007B12E2"/>
    <w:rsid w:val="007B45F9"/>
    <w:rsid w:val="007B609F"/>
    <w:rsid w:val="007C2926"/>
    <w:rsid w:val="007C42ED"/>
    <w:rsid w:val="007D3B4D"/>
    <w:rsid w:val="007D46B3"/>
    <w:rsid w:val="007D5CF4"/>
    <w:rsid w:val="007E1D5C"/>
    <w:rsid w:val="007E2FC5"/>
    <w:rsid w:val="007E3662"/>
    <w:rsid w:val="007E37CA"/>
    <w:rsid w:val="007E6ABA"/>
    <w:rsid w:val="007E7286"/>
    <w:rsid w:val="007F2290"/>
    <w:rsid w:val="007F52EA"/>
    <w:rsid w:val="007F702A"/>
    <w:rsid w:val="008011C5"/>
    <w:rsid w:val="00802470"/>
    <w:rsid w:val="00807BC2"/>
    <w:rsid w:val="00813145"/>
    <w:rsid w:val="00813384"/>
    <w:rsid w:val="0081352E"/>
    <w:rsid w:val="0081673A"/>
    <w:rsid w:val="0081678C"/>
    <w:rsid w:val="00816950"/>
    <w:rsid w:val="00821FF7"/>
    <w:rsid w:val="008246FE"/>
    <w:rsid w:val="008321EB"/>
    <w:rsid w:val="008337A1"/>
    <w:rsid w:val="00833BF4"/>
    <w:rsid w:val="00835015"/>
    <w:rsid w:val="00835805"/>
    <w:rsid w:val="00836729"/>
    <w:rsid w:val="00842827"/>
    <w:rsid w:val="00847032"/>
    <w:rsid w:val="00852314"/>
    <w:rsid w:val="00854D39"/>
    <w:rsid w:val="00863400"/>
    <w:rsid w:val="008664B4"/>
    <w:rsid w:val="00881AAD"/>
    <w:rsid w:val="00882C28"/>
    <w:rsid w:val="00885EA3"/>
    <w:rsid w:val="00887326"/>
    <w:rsid w:val="0089141F"/>
    <w:rsid w:val="00892FB6"/>
    <w:rsid w:val="00896342"/>
    <w:rsid w:val="00897D7E"/>
    <w:rsid w:val="008A34D5"/>
    <w:rsid w:val="008B009B"/>
    <w:rsid w:val="008B0B43"/>
    <w:rsid w:val="008B17A7"/>
    <w:rsid w:val="008B478E"/>
    <w:rsid w:val="008B4C90"/>
    <w:rsid w:val="008B777B"/>
    <w:rsid w:val="008C10BF"/>
    <w:rsid w:val="008C2B02"/>
    <w:rsid w:val="008D1286"/>
    <w:rsid w:val="008D20D0"/>
    <w:rsid w:val="008D2DD9"/>
    <w:rsid w:val="008D3E30"/>
    <w:rsid w:val="008D5906"/>
    <w:rsid w:val="008D78BC"/>
    <w:rsid w:val="008E180B"/>
    <w:rsid w:val="008E1900"/>
    <w:rsid w:val="008E5BC8"/>
    <w:rsid w:val="008F1782"/>
    <w:rsid w:val="009004F0"/>
    <w:rsid w:val="00900FF2"/>
    <w:rsid w:val="0090117E"/>
    <w:rsid w:val="00902060"/>
    <w:rsid w:val="009053ED"/>
    <w:rsid w:val="0091359C"/>
    <w:rsid w:val="0092147B"/>
    <w:rsid w:val="00925217"/>
    <w:rsid w:val="0092690F"/>
    <w:rsid w:val="009309B9"/>
    <w:rsid w:val="00932C07"/>
    <w:rsid w:val="009351A5"/>
    <w:rsid w:val="00935B41"/>
    <w:rsid w:val="0093735E"/>
    <w:rsid w:val="009409BA"/>
    <w:rsid w:val="00941E4C"/>
    <w:rsid w:val="00941F79"/>
    <w:rsid w:val="009453CE"/>
    <w:rsid w:val="009469F2"/>
    <w:rsid w:val="00954285"/>
    <w:rsid w:val="00964BED"/>
    <w:rsid w:val="009664E2"/>
    <w:rsid w:val="009700D2"/>
    <w:rsid w:val="00970F0F"/>
    <w:rsid w:val="00971FCA"/>
    <w:rsid w:val="00972E67"/>
    <w:rsid w:val="00974437"/>
    <w:rsid w:val="00975125"/>
    <w:rsid w:val="00983C68"/>
    <w:rsid w:val="00984444"/>
    <w:rsid w:val="00987B50"/>
    <w:rsid w:val="00991F54"/>
    <w:rsid w:val="00996074"/>
    <w:rsid w:val="00996918"/>
    <w:rsid w:val="009A077F"/>
    <w:rsid w:val="009A20A5"/>
    <w:rsid w:val="009A5AF1"/>
    <w:rsid w:val="009A5E1C"/>
    <w:rsid w:val="009A5E9C"/>
    <w:rsid w:val="009A635C"/>
    <w:rsid w:val="009A7F07"/>
    <w:rsid w:val="009B3099"/>
    <w:rsid w:val="009B6A1F"/>
    <w:rsid w:val="009C0542"/>
    <w:rsid w:val="009C55A6"/>
    <w:rsid w:val="009D2F77"/>
    <w:rsid w:val="009D4552"/>
    <w:rsid w:val="009D4647"/>
    <w:rsid w:val="009D6155"/>
    <w:rsid w:val="009E08E6"/>
    <w:rsid w:val="009E79C2"/>
    <w:rsid w:val="009F2043"/>
    <w:rsid w:val="009F5DCC"/>
    <w:rsid w:val="009F64E9"/>
    <w:rsid w:val="009F72D8"/>
    <w:rsid w:val="00A00150"/>
    <w:rsid w:val="00A03C99"/>
    <w:rsid w:val="00A060EF"/>
    <w:rsid w:val="00A07506"/>
    <w:rsid w:val="00A11B2D"/>
    <w:rsid w:val="00A2422E"/>
    <w:rsid w:val="00A26C4E"/>
    <w:rsid w:val="00A277F9"/>
    <w:rsid w:val="00A279C7"/>
    <w:rsid w:val="00A32658"/>
    <w:rsid w:val="00A338CE"/>
    <w:rsid w:val="00A345EE"/>
    <w:rsid w:val="00A3516A"/>
    <w:rsid w:val="00A35538"/>
    <w:rsid w:val="00A36820"/>
    <w:rsid w:val="00A379C7"/>
    <w:rsid w:val="00A448AD"/>
    <w:rsid w:val="00A449CC"/>
    <w:rsid w:val="00A50985"/>
    <w:rsid w:val="00A523A1"/>
    <w:rsid w:val="00A52AC1"/>
    <w:rsid w:val="00A54B96"/>
    <w:rsid w:val="00A61A9F"/>
    <w:rsid w:val="00A70933"/>
    <w:rsid w:val="00A70F9F"/>
    <w:rsid w:val="00A7165A"/>
    <w:rsid w:val="00A76E50"/>
    <w:rsid w:val="00A771BE"/>
    <w:rsid w:val="00A84CA7"/>
    <w:rsid w:val="00A900FF"/>
    <w:rsid w:val="00A90CF9"/>
    <w:rsid w:val="00A9236A"/>
    <w:rsid w:val="00AA2566"/>
    <w:rsid w:val="00AA3055"/>
    <w:rsid w:val="00AA5C40"/>
    <w:rsid w:val="00AA7602"/>
    <w:rsid w:val="00AB188C"/>
    <w:rsid w:val="00AB29CC"/>
    <w:rsid w:val="00AB37C2"/>
    <w:rsid w:val="00AC6922"/>
    <w:rsid w:val="00AC7AD2"/>
    <w:rsid w:val="00AC7D16"/>
    <w:rsid w:val="00AC7EAA"/>
    <w:rsid w:val="00AD0C78"/>
    <w:rsid w:val="00AD0F7C"/>
    <w:rsid w:val="00AD3095"/>
    <w:rsid w:val="00AD48D0"/>
    <w:rsid w:val="00AD62DD"/>
    <w:rsid w:val="00AE00EF"/>
    <w:rsid w:val="00AE23F4"/>
    <w:rsid w:val="00AE38EF"/>
    <w:rsid w:val="00AE6ED9"/>
    <w:rsid w:val="00AF163D"/>
    <w:rsid w:val="00AF526B"/>
    <w:rsid w:val="00AF72B1"/>
    <w:rsid w:val="00B01B67"/>
    <w:rsid w:val="00B10769"/>
    <w:rsid w:val="00B1179B"/>
    <w:rsid w:val="00B22FD3"/>
    <w:rsid w:val="00B231C2"/>
    <w:rsid w:val="00B26B84"/>
    <w:rsid w:val="00B27827"/>
    <w:rsid w:val="00B27E0D"/>
    <w:rsid w:val="00B3267F"/>
    <w:rsid w:val="00B33C0B"/>
    <w:rsid w:val="00B364DA"/>
    <w:rsid w:val="00B370F8"/>
    <w:rsid w:val="00B40011"/>
    <w:rsid w:val="00B41A97"/>
    <w:rsid w:val="00B45915"/>
    <w:rsid w:val="00B53ED5"/>
    <w:rsid w:val="00B54B63"/>
    <w:rsid w:val="00B55E8E"/>
    <w:rsid w:val="00B56FA1"/>
    <w:rsid w:val="00B6101B"/>
    <w:rsid w:val="00B61B2D"/>
    <w:rsid w:val="00B63DBE"/>
    <w:rsid w:val="00B6601B"/>
    <w:rsid w:val="00B668EA"/>
    <w:rsid w:val="00B72C28"/>
    <w:rsid w:val="00B7626F"/>
    <w:rsid w:val="00B76D65"/>
    <w:rsid w:val="00B772CA"/>
    <w:rsid w:val="00B77EF0"/>
    <w:rsid w:val="00B82525"/>
    <w:rsid w:val="00B83D6A"/>
    <w:rsid w:val="00B87DE5"/>
    <w:rsid w:val="00B94F8A"/>
    <w:rsid w:val="00B97DF8"/>
    <w:rsid w:val="00BA7479"/>
    <w:rsid w:val="00BB0396"/>
    <w:rsid w:val="00BB4584"/>
    <w:rsid w:val="00BB4AFF"/>
    <w:rsid w:val="00BB72F6"/>
    <w:rsid w:val="00BB73D1"/>
    <w:rsid w:val="00BC1D19"/>
    <w:rsid w:val="00BC5595"/>
    <w:rsid w:val="00BD2FBF"/>
    <w:rsid w:val="00BD3234"/>
    <w:rsid w:val="00BD4A31"/>
    <w:rsid w:val="00BD7CBC"/>
    <w:rsid w:val="00BE5C34"/>
    <w:rsid w:val="00BE6596"/>
    <w:rsid w:val="00BE6D3E"/>
    <w:rsid w:val="00BF065E"/>
    <w:rsid w:val="00BF2F1E"/>
    <w:rsid w:val="00BF63D2"/>
    <w:rsid w:val="00C035A3"/>
    <w:rsid w:val="00C048DD"/>
    <w:rsid w:val="00C071FE"/>
    <w:rsid w:val="00C078F3"/>
    <w:rsid w:val="00C07932"/>
    <w:rsid w:val="00C07CC1"/>
    <w:rsid w:val="00C10EC7"/>
    <w:rsid w:val="00C10F4E"/>
    <w:rsid w:val="00C12F1D"/>
    <w:rsid w:val="00C159C1"/>
    <w:rsid w:val="00C1614B"/>
    <w:rsid w:val="00C20672"/>
    <w:rsid w:val="00C255EA"/>
    <w:rsid w:val="00C26BB1"/>
    <w:rsid w:val="00C31EC9"/>
    <w:rsid w:val="00C36760"/>
    <w:rsid w:val="00C56CBB"/>
    <w:rsid w:val="00C56E16"/>
    <w:rsid w:val="00C668A7"/>
    <w:rsid w:val="00C709FD"/>
    <w:rsid w:val="00C72CF4"/>
    <w:rsid w:val="00C767B9"/>
    <w:rsid w:val="00C80691"/>
    <w:rsid w:val="00C84303"/>
    <w:rsid w:val="00C85F4F"/>
    <w:rsid w:val="00C91805"/>
    <w:rsid w:val="00C951B3"/>
    <w:rsid w:val="00CA255B"/>
    <w:rsid w:val="00CA4213"/>
    <w:rsid w:val="00CB1FB4"/>
    <w:rsid w:val="00CB39E7"/>
    <w:rsid w:val="00CB5FA1"/>
    <w:rsid w:val="00CB6EB1"/>
    <w:rsid w:val="00CB7A7E"/>
    <w:rsid w:val="00CC2113"/>
    <w:rsid w:val="00CC2622"/>
    <w:rsid w:val="00CC3ECD"/>
    <w:rsid w:val="00CD1A17"/>
    <w:rsid w:val="00CE332D"/>
    <w:rsid w:val="00CE47E3"/>
    <w:rsid w:val="00CE563D"/>
    <w:rsid w:val="00CE6A58"/>
    <w:rsid w:val="00CF7667"/>
    <w:rsid w:val="00D00F1E"/>
    <w:rsid w:val="00D075BB"/>
    <w:rsid w:val="00D128A7"/>
    <w:rsid w:val="00D15B89"/>
    <w:rsid w:val="00D20FB8"/>
    <w:rsid w:val="00D210B8"/>
    <w:rsid w:val="00D215AC"/>
    <w:rsid w:val="00D227BE"/>
    <w:rsid w:val="00D25CD3"/>
    <w:rsid w:val="00D31A57"/>
    <w:rsid w:val="00D3495E"/>
    <w:rsid w:val="00D41C3C"/>
    <w:rsid w:val="00D442CA"/>
    <w:rsid w:val="00D463B8"/>
    <w:rsid w:val="00D52203"/>
    <w:rsid w:val="00D57087"/>
    <w:rsid w:val="00D61A99"/>
    <w:rsid w:val="00D62129"/>
    <w:rsid w:val="00D627AA"/>
    <w:rsid w:val="00D65A3C"/>
    <w:rsid w:val="00D65F57"/>
    <w:rsid w:val="00D72B01"/>
    <w:rsid w:val="00D75D57"/>
    <w:rsid w:val="00D842F0"/>
    <w:rsid w:val="00D8519D"/>
    <w:rsid w:val="00D860D3"/>
    <w:rsid w:val="00D86387"/>
    <w:rsid w:val="00D86563"/>
    <w:rsid w:val="00D91C64"/>
    <w:rsid w:val="00DA246F"/>
    <w:rsid w:val="00DA2686"/>
    <w:rsid w:val="00DA34F8"/>
    <w:rsid w:val="00DB36B2"/>
    <w:rsid w:val="00DB4020"/>
    <w:rsid w:val="00DB76F9"/>
    <w:rsid w:val="00DC1517"/>
    <w:rsid w:val="00DC29E7"/>
    <w:rsid w:val="00DC4985"/>
    <w:rsid w:val="00DC68F0"/>
    <w:rsid w:val="00DC7AC3"/>
    <w:rsid w:val="00DD2905"/>
    <w:rsid w:val="00DD4CA4"/>
    <w:rsid w:val="00DD5010"/>
    <w:rsid w:val="00DD77FD"/>
    <w:rsid w:val="00DE052F"/>
    <w:rsid w:val="00DE7CE6"/>
    <w:rsid w:val="00DF3362"/>
    <w:rsid w:val="00DF452B"/>
    <w:rsid w:val="00DF5955"/>
    <w:rsid w:val="00E02720"/>
    <w:rsid w:val="00E054C5"/>
    <w:rsid w:val="00E07AE5"/>
    <w:rsid w:val="00E1037E"/>
    <w:rsid w:val="00E15ACD"/>
    <w:rsid w:val="00E23C2C"/>
    <w:rsid w:val="00E30D8F"/>
    <w:rsid w:val="00E418C1"/>
    <w:rsid w:val="00E43660"/>
    <w:rsid w:val="00E43CE5"/>
    <w:rsid w:val="00E549D0"/>
    <w:rsid w:val="00E57682"/>
    <w:rsid w:val="00E600D8"/>
    <w:rsid w:val="00E600EA"/>
    <w:rsid w:val="00E60D89"/>
    <w:rsid w:val="00E71B3A"/>
    <w:rsid w:val="00E72108"/>
    <w:rsid w:val="00E7535B"/>
    <w:rsid w:val="00E867EA"/>
    <w:rsid w:val="00E94830"/>
    <w:rsid w:val="00EA721E"/>
    <w:rsid w:val="00EB0728"/>
    <w:rsid w:val="00EB4922"/>
    <w:rsid w:val="00EB7EA5"/>
    <w:rsid w:val="00EC1BEE"/>
    <w:rsid w:val="00EC3A5C"/>
    <w:rsid w:val="00EC5C56"/>
    <w:rsid w:val="00EC667B"/>
    <w:rsid w:val="00ED0035"/>
    <w:rsid w:val="00ED1A5D"/>
    <w:rsid w:val="00ED419C"/>
    <w:rsid w:val="00ED4349"/>
    <w:rsid w:val="00ED61EF"/>
    <w:rsid w:val="00ED66CF"/>
    <w:rsid w:val="00ED6CFA"/>
    <w:rsid w:val="00EE12AE"/>
    <w:rsid w:val="00EE364A"/>
    <w:rsid w:val="00EE6A9A"/>
    <w:rsid w:val="00EF2194"/>
    <w:rsid w:val="00EF38D3"/>
    <w:rsid w:val="00EF405A"/>
    <w:rsid w:val="00EF6A37"/>
    <w:rsid w:val="00F01ECA"/>
    <w:rsid w:val="00F04F96"/>
    <w:rsid w:val="00F208DC"/>
    <w:rsid w:val="00F22751"/>
    <w:rsid w:val="00F23500"/>
    <w:rsid w:val="00F24975"/>
    <w:rsid w:val="00F3124B"/>
    <w:rsid w:val="00F368E2"/>
    <w:rsid w:val="00F42007"/>
    <w:rsid w:val="00F44F7F"/>
    <w:rsid w:val="00F468A2"/>
    <w:rsid w:val="00F46922"/>
    <w:rsid w:val="00F54D14"/>
    <w:rsid w:val="00F60B3F"/>
    <w:rsid w:val="00F628E0"/>
    <w:rsid w:val="00F65A5B"/>
    <w:rsid w:val="00F72806"/>
    <w:rsid w:val="00F756D9"/>
    <w:rsid w:val="00F815F1"/>
    <w:rsid w:val="00F8449B"/>
    <w:rsid w:val="00F90078"/>
    <w:rsid w:val="00F966FA"/>
    <w:rsid w:val="00F9754E"/>
    <w:rsid w:val="00FA36BD"/>
    <w:rsid w:val="00FA4327"/>
    <w:rsid w:val="00FA4744"/>
    <w:rsid w:val="00FA5FE1"/>
    <w:rsid w:val="00FA7ABF"/>
    <w:rsid w:val="00FB324D"/>
    <w:rsid w:val="00FB61E9"/>
    <w:rsid w:val="00FD442F"/>
    <w:rsid w:val="00FD4BE5"/>
    <w:rsid w:val="00FD586C"/>
    <w:rsid w:val="00FE1C60"/>
    <w:rsid w:val="00FE1EA7"/>
    <w:rsid w:val="00FE2C08"/>
    <w:rsid w:val="00FE3160"/>
    <w:rsid w:val="00FE3702"/>
    <w:rsid w:val="00FE5FBC"/>
    <w:rsid w:val="00FE6386"/>
    <w:rsid w:val="00FF3A51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1D87BB"/>
  <w15:docId w15:val="{9FB972BF-DF11-49B5-8942-60CC4275D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A12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84CA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DD4CA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D4CA4"/>
  </w:style>
  <w:style w:type="paragraph" w:styleId="Piedepgina">
    <w:name w:val="footer"/>
    <w:basedOn w:val="Normal"/>
    <w:link w:val="PiedepginaCar"/>
    <w:uiPriority w:val="99"/>
    <w:unhideWhenUsed/>
    <w:rsid w:val="00DD4CA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D4CA4"/>
  </w:style>
  <w:style w:type="character" w:styleId="Hipervnculo">
    <w:name w:val="Hyperlink"/>
    <w:basedOn w:val="Fuentedeprrafopredeter"/>
    <w:uiPriority w:val="99"/>
    <w:unhideWhenUsed/>
    <w:rsid w:val="00DC7AC3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029E9"/>
    <w:pPr>
      <w:ind w:left="720"/>
      <w:contextualSpacing/>
    </w:pPr>
  </w:style>
  <w:style w:type="table" w:customStyle="1" w:styleId="Tabladecuadrcula5oscura-nfasis11">
    <w:name w:val="Tabla de cuadrícula 5 oscura - Énfasis 11"/>
    <w:basedOn w:val="Tablanormal"/>
    <w:uiPriority w:val="50"/>
    <w:rsid w:val="0075308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964BE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64BE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64BED"/>
    <w:rPr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A70933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BD4A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E5FB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5FBC"/>
    <w:rPr>
      <w:rFonts w:ascii="Segoe UI" w:hAnsi="Segoe UI" w:cs="Segoe UI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802470"/>
    <w:rPr>
      <w:color w:val="954F72" w:themeColor="followedHyperlink"/>
      <w:u w:val="single"/>
    </w:rPr>
  </w:style>
  <w:style w:type="table" w:styleId="Tablaconcuadrcula5oscura-nfasis3">
    <w:name w:val="Grid Table 5 Dark Accent 3"/>
    <w:basedOn w:val="Tablanormal"/>
    <w:uiPriority w:val="50"/>
    <w:rsid w:val="009F64E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concuadrcula7concolores-nfasis3">
    <w:name w:val="Grid Table 7 Colorful Accent 3"/>
    <w:basedOn w:val="Tablanormal"/>
    <w:uiPriority w:val="52"/>
    <w:rsid w:val="009F64E9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laconcuadrcula7concolores">
    <w:name w:val="Grid Table 7 Colorful"/>
    <w:basedOn w:val="Tablanormal"/>
    <w:uiPriority w:val="52"/>
    <w:rsid w:val="009F64E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4-nfasis3">
    <w:name w:val="Grid Table 4 Accent 3"/>
    <w:basedOn w:val="Tablanormal"/>
    <w:uiPriority w:val="49"/>
    <w:rsid w:val="009F64E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Estilo1">
    <w:name w:val="Estilo1"/>
    <w:basedOn w:val="Tablanormal"/>
    <w:uiPriority w:val="99"/>
    <w:rsid w:val="009F64E9"/>
    <w:tblPr/>
  </w:style>
  <w:style w:type="paragraph" w:styleId="Sinespaciado">
    <w:name w:val="No Spacing"/>
    <w:uiPriority w:val="1"/>
    <w:qFormat/>
    <w:rsid w:val="00891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fotocasa.es" TargetMode="External"/><Relationship Id="rId18" Type="http://schemas.openxmlformats.org/officeDocument/2006/relationships/hyperlink" Target="https://www.fotocasa.es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datavenues.com/" TargetMode="Externa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hyperlink" Target="http://prensa.fotocasa.es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research.fotocasa.es" TargetMode="External"/><Relationship Id="rId20" Type="http://schemas.openxmlformats.org/officeDocument/2006/relationships/hyperlink" Target="https://profesionales.fotocasa.e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24" Type="http://schemas.openxmlformats.org/officeDocument/2006/relationships/hyperlink" Target="mailto:comunicacion@fotocasa.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otocasa.es/indice/" TargetMode="External"/><Relationship Id="rId23" Type="http://schemas.openxmlformats.org/officeDocument/2006/relationships/hyperlink" Target="https://www.inmoweb.es/" TargetMode="External"/><Relationship Id="rId10" Type="http://schemas.openxmlformats.org/officeDocument/2006/relationships/hyperlink" Target="http://www.fotocasa.es" TargetMode="External"/><Relationship Id="rId19" Type="http://schemas.openxmlformats.org/officeDocument/2006/relationships/hyperlink" Target="https://www.habitaclia.c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fotocasa.es" TargetMode="External"/><Relationship Id="rId22" Type="http://schemas.openxmlformats.org/officeDocument/2006/relationships/hyperlink" Target="https://get.witei.com/en/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I:\Mi%20unidad\01-SCHIBSTED\04-ESTUDIO%20NdP\GARAJES\NdP%202025\GARAJE%20ALQUILER\PRENSA%20GARAJES%20ALQUILR%202025.xlsm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I:\Mi%20unidad\01-SCHIBSTED\04-ESTUDIO%20NdP\GARAJES\NdP%202025\GARAJE%20ALQUILER\PRENSA%20GARAJES%20ALQUILR%202025.xlsm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[PRENSA GARAJES ALQUILR 2025.xlsm]Hoja1!TablaDinámica5</c:name>
    <c:fmtId val="-1"/>
  </c:pivotSource>
  <c:chart>
    <c:autoTitleDeleted val="1"/>
    <c:pivotFmts>
      <c:pivotFmt>
        <c:idx val="0"/>
        <c:spPr>
          <a:solidFill>
            <a:schemeClr val="bg2">
              <a:lumMod val="50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100" b="1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E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4">
              <a:lumMod val="75000"/>
            </a:schemeClr>
          </a:solidFill>
          <a:ln>
            <a:noFill/>
          </a:ln>
          <a:effectLst/>
        </c:spPr>
      </c:pivotFmt>
      <c:pivotFmt>
        <c:idx val="2"/>
        <c:spPr>
          <a:solidFill>
            <a:schemeClr val="bg2">
              <a:lumMod val="50000"/>
            </a:schemeClr>
          </a:solidFill>
          <a:ln>
            <a:noFill/>
          </a:ln>
          <a:effectLst/>
        </c:spPr>
      </c:pivotFmt>
      <c:pivotFmt>
        <c:idx val="3"/>
        <c:spPr>
          <a:solidFill>
            <a:schemeClr val="accent4">
              <a:lumMod val="75000"/>
            </a:schemeClr>
          </a:solidFill>
          <a:ln>
            <a:noFill/>
          </a:ln>
          <a:effectLst/>
        </c:spPr>
      </c:pivotFmt>
      <c:pivotFmt>
        <c:idx val="4"/>
        <c:spPr>
          <a:solidFill>
            <a:schemeClr val="bg2">
              <a:lumMod val="50000"/>
            </a:schemeClr>
          </a:solidFill>
          <a:ln>
            <a:noFill/>
          </a:ln>
          <a:effectLst/>
        </c:spPr>
      </c:pivotFmt>
      <c:pivotFmt>
        <c:idx val="5"/>
        <c:spPr>
          <a:solidFill>
            <a:schemeClr val="bg2">
              <a:lumMod val="50000"/>
            </a:schemeClr>
          </a:solidFill>
          <a:ln>
            <a:noFill/>
          </a:ln>
          <a:effectLst/>
        </c:spPr>
      </c:pivotFmt>
      <c:pivotFmt>
        <c:idx val="6"/>
        <c:spPr>
          <a:solidFill>
            <a:schemeClr val="accent4">
              <a:lumMod val="75000"/>
            </a:schemeClr>
          </a:solidFill>
          <a:ln>
            <a:noFill/>
          </a:ln>
          <a:effectLst/>
        </c:spPr>
      </c:pivotFmt>
      <c:pivotFmt>
        <c:idx val="7"/>
        <c:spPr>
          <a:solidFill>
            <a:schemeClr val="bg2">
              <a:lumMod val="50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100" b="1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E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8"/>
        <c:spPr>
          <a:solidFill>
            <a:schemeClr val="accent4">
              <a:lumMod val="75000"/>
            </a:schemeClr>
          </a:solidFill>
          <a:ln>
            <a:noFill/>
          </a:ln>
          <a:effectLst/>
        </c:spPr>
      </c:pivotFmt>
      <c:pivotFmt>
        <c:idx val="9"/>
        <c:spPr>
          <a:solidFill>
            <a:schemeClr val="bg2">
              <a:lumMod val="50000"/>
            </a:schemeClr>
          </a:solidFill>
          <a:ln>
            <a:noFill/>
          </a:ln>
          <a:effectLst/>
        </c:spPr>
      </c:pivotFmt>
      <c:pivotFmt>
        <c:idx val="10"/>
        <c:spPr>
          <a:solidFill>
            <a:schemeClr val="accent4">
              <a:lumMod val="75000"/>
            </a:schemeClr>
          </a:solidFill>
          <a:ln>
            <a:noFill/>
          </a:ln>
          <a:effectLst/>
        </c:spPr>
      </c:pivotFmt>
      <c:pivotFmt>
        <c:idx val="11"/>
        <c:spPr>
          <a:solidFill>
            <a:schemeClr val="bg2">
              <a:lumMod val="50000"/>
            </a:schemeClr>
          </a:solidFill>
          <a:ln>
            <a:noFill/>
          </a:ln>
          <a:effectLst/>
        </c:spPr>
      </c:pivotFmt>
      <c:pivotFmt>
        <c:idx val="12"/>
        <c:spPr>
          <a:solidFill>
            <a:schemeClr val="bg2">
              <a:lumMod val="50000"/>
            </a:schemeClr>
          </a:solidFill>
          <a:ln>
            <a:noFill/>
          </a:ln>
          <a:effectLst/>
        </c:spPr>
      </c:pivotFmt>
      <c:pivotFmt>
        <c:idx val="13"/>
        <c:spPr>
          <a:solidFill>
            <a:schemeClr val="accent4">
              <a:lumMod val="75000"/>
            </a:schemeClr>
          </a:solidFill>
          <a:ln>
            <a:noFill/>
          </a:ln>
          <a:effectLst/>
        </c:spPr>
      </c:pivotFmt>
      <c:pivotFmt>
        <c:idx val="14"/>
        <c:spPr>
          <a:solidFill>
            <a:schemeClr val="tx2">
              <a:lumMod val="60000"/>
              <a:lumOff val="40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100" b="1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E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5"/>
        <c:spPr>
          <a:solidFill>
            <a:schemeClr val="accent3">
              <a:lumMod val="40000"/>
              <a:lumOff val="60000"/>
            </a:schemeClr>
          </a:solidFill>
          <a:ln>
            <a:noFill/>
          </a:ln>
          <a:effectLst/>
        </c:spPr>
      </c:pivotFmt>
      <c:pivotFmt>
        <c:idx val="16"/>
        <c:spPr>
          <a:solidFill>
            <a:schemeClr val="tx2">
              <a:lumMod val="60000"/>
              <a:lumOff val="40000"/>
            </a:schemeClr>
          </a:solidFill>
          <a:ln>
            <a:noFill/>
          </a:ln>
          <a:effectLst/>
        </c:spPr>
      </c:pivotFmt>
      <c:pivotFmt>
        <c:idx val="17"/>
        <c:spPr>
          <a:solidFill>
            <a:schemeClr val="accent3">
              <a:lumMod val="40000"/>
              <a:lumOff val="60000"/>
            </a:schemeClr>
          </a:solidFill>
          <a:ln>
            <a:noFill/>
          </a:ln>
          <a:effectLst/>
        </c:spPr>
      </c:pivotFmt>
      <c:pivotFmt>
        <c:idx val="18"/>
        <c:spPr>
          <a:solidFill>
            <a:schemeClr val="tx2">
              <a:lumMod val="60000"/>
              <a:lumOff val="40000"/>
            </a:schemeClr>
          </a:solidFill>
          <a:ln>
            <a:noFill/>
          </a:ln>
          <a:effectLst/>
        </c:spPr>
      </c:pivotFmt>
      <c:pivotFmt>
        <c:idx val="19"/>
        <c:spPr>
          <a:solidFill>
            <a:schemeClr val="tx2">
              <a:lumMod val="60000"/>
              <a:lumOff val="40000"/>
            </a:schemeClr>
          </a:solidFill>
          <a:ln>
            <a:noFill/>
          </a:ln>
          <a:effectLst/>
        </c:spPr>
      </c:pivotFmt>
      <c:pivotFmt>
        <c:idx val="20"/>
        <c:spPr>
          <a:solidFill>
            <a:schemeClr val="accent3">
              <a:lumMod val="40000"/>
              <a:lumOff val="60000"/>
            </a:schemeClr>
          </a:solidFill>
          <a:ln>
            <a:noFill/>
          </a:ln>
          <a:effectLst/>
        </c:spPr>
      </c:pivotFmt>
      <c:pivotFmt>
        <c:idx val="21"/>
        <c:spPr>
          <a:solidFill>
            <a:schemeClr val="tx2">
              <a:lumMod val="60000"/>
              <a:lumOff val="40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100" b="1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E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2"/>
        <c:spPr>
          <a:solidFill>
            <a:schemeClr val="accent3">
              <a:lumMod val="40000"/>
              <a:lumOff val="60000"/>
            </a:schemeClr>
          </a:solidFill>
          <a:ln>
            <a:noFill/>
          </a:ln>
          <a:effectLst/>
        </c:spPr>
      </c:pivotFmt>
      <c:pivotFmt>
        <c:idx val="23"/>
        <c:spPr>
          <a:solidFill>
            <a:schemeClr val="tx2">
              <a:lumMod val="60000"/>
              <a:lumOff val="40000"/>
            </a:schemeClr>
          </a:solidFill>
          <a:ln>
            <a:noFill/>
          </a:ln>
          <a:effectLst/>
        </c:spPr>
      </c:pivotFmt>
      <c:pivotFmt>
        <c:idx val="24"/>
        <c:spPr>
          <a:solidFill>
            <a:schemeClr val="accent3">
              <a:lumMod val="40000"/>
              <a:lumOff val="60000"/>
            </a:schemeClr>
          </a:solidFill>
          <a:ln>
            <a:noFill/>
          </a:ln>
          <a:effectLst/>
        </c:spPr>
      </c:pivotFmt>
      <c:pivotFmt>
        <c:idx val="25"/>
        <c:spPr>
          <a:solidFill>
            <a:schemeClr val="tx2">
              <a:lumMod val="60000"/>
              <a:lumOff val="40000"/>
            </a:schemeClr>
          </a:solidFill>
          <a:ln>
            <a:noFill/>
          </a:ln>
          <a:effectLst/>
        </c:spPr>
      </c:pivotFmt>
      <c:pivotFmt>
        <c:idx val="26"/>
        <c:spPr>
          <a:solidFill>
            <a:schemeClr val="tx2">
              <a:lumMod val="60000"/>
              <a:lumOff val="40000"/>
            </a:schemeClr>
          </a:solidFill>
          <a:ln>
            <a:noFill/>
          </a:ln>
          <a:effectLst/>
        </c:spPr>
      </c:pivotFmt>
      <c:pivotFmt>
        <c:idx val="27"/>
        <c:spPr>
          <a:solidFill>
            <a:schemeClr val="accent3">
              <a:lumMod val="40000"/>
              <a:lumOff val="60000"/>
            </a:schemeClr>
          </a:solidFill>
          <a:ln>
            <a:noFill/>
          </a:ln>
          <a:effectLst/>
        </c:spPr>
      </c:pivotFmt>
      <c:pivotFmt>
        <c:idx val="28"/>
        <c:spPr>
          <a:solidFill>
            <a:schemeClr val="tx2">
              <a:lumMod val="60000"/>
              <a:lumOff val="40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100" b="1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E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9"/>
        <c:spPr>
          <a:solidFill>
            <a:schemeClr val="accent3">
              <a:lumMod val="40000"/>
              <a:lumOff val="60000"/>
            </a:schemeClr>
          </a:solidFill>
          <a:ln>
            <a:noFill/>
          </a:ln>
          <a:effectLst/>
        </c:spPr>
      </c:pivotFmt>
      <c:pivotFmt>
        <c:idx val="30"/>
        <c:spPr>
          <a:solidFill>
            <a:schemeClr val="tx2">
              <a:lumMod val="60000"/>
              <a:lumOff val="40000"/>
            </a:schemeClr>
          </a:solidFill>
          <a:ln>
            <a:noFill/>
          </a:ln>
          <a:effectLst/>
        </c:spPr>
      </c:pivotFmt>
      <c:pivotFmt>
        <c:idx val="31"/>
        <c:spPr>
          <a:solidFill>
            <a:schemeClr val="accent3">
              <a:lumMod val="40000"/>
              <a:lumOff val="60000"/>
            </a:schemeClr>
          </a:solidFill>
          <a:ln>
            <a:noFill/>
          </a:ln>
          <a:effectLst/>
        </c:spPr>
      </c:pivotFmt>
      <c:pivotFmt>
        <c:idx val="32"/>
        <c:spPr>
          <a:solidFill>
            <a:schemeClr val="tx2">
              <a:lumMod val="60000"/>
              <a:lumOff val="40000"/>
            </a:schemeClr>
          </a:solidFill>
          <a:ln>
            <a:noFill/>
          </a:ln>
          <a:effectLst/>
        </c:spPr>
      </c:pivotFmt>
      <c:pivotFmt>
        <c:idx val="33"/>
        <c:spPr>
          <a:solidFill>
            <a:schemeClr val="tx2">
              <a:lumMod val="60000"/>
              <a:lumOff val="40000"/>
            </a:schemeClr>
          </a:solidFill>
          <a:ln>
            <a:noFill/>
          </a:ln>
          <a:effectLst/>
        </c:spPr>
      </c:pivotFmt>
      <c:pivotFmt>
        <c:idx val="34"/>
        <c:spPr>
          <a:solidFill>
            <a:schemeClr val="accent3">
              <a:lumMod val="40000"/>
              <a:lumOff val="60000"/>
            </a:schemeClr>
          </a:solidFill>
          <a:ln>
            <a:noFill/>
          </a:ln>
          <a:effectLst/>
        </c:spPr>
      </c:pivotFmt>
    </c:pivotFmts>
    <c:plotArea>
      <c:layout>
        <c:manualLayout>
          <c:layoutTarget val="inner"/>
          <c:xMode val="edge"/>
          <c:yMode val="edge"/>
          <c:x val="1.5053763122221592E-2"/>
          <c:y val="3.1638427086878126E-2"/>
          <c:w val="0.96783633238918343"/>
          <c:h val="0.8018592433782266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Hoja1!$B$6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3">
                  <a:lumMod val="40000"/>
                  <a:lumOff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1E42-4E02-9938-F147A1F97D84}"/>
              </c:ext>
            </c:extLst>
          </c:dPt>
          <c:dPt>
            <c:idx val="1"/>
            <c:invertIfNegative val="0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1E42-4E02-9938-F147A1F97D84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3">
                  <a:lumMod val="40000"/>
                  <a:lumOff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1E42-4E02-9938-F147A1F97D84}"/>
              </c:ext>
            </c:extLst>
          </c:dPt>
          <c:dPt>
            <c:idx val="3"/>
            <c:invertIfNegative val="0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1E42-4E02-9938-F147A1F97D84}"/>
              </c:ext>
            </c:extLst>
          </c:dPt>
          <c:dPt>
            <c:idx val="4"/>
            <c:invertIfNegative val="0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1E42-4E02-9938-F147A1F97D84}"/>
              </c:ext>
            </c:extLst>
          </c:dPt>
          <c:dPt>
            <c:idx val="5"/>
            <c:invertIfNegative val="0"/>
            <c:bubble3D val="0"/>
            <c:spPr>
              <a:solidFill>
                <a:schemeClr val="accent3">
                  <a:lumMod val="40000"/>
                  <a:lumOff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1E42-4E02-9938-F147A1F97D8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Hoja1!$A$7:$A$16</c:f>
              <c:strCache>
                <c:ptCount val="10"/>
                <c:pt idx="0">
                  <c:v> Variación anual            Año 2016</c:v>
                </c:pt>
                <c:pt idx="1">
                  <c:v> Variación anual            Año 2017</c:v>
                </c:pt>
                <c:pt idx="2">
                  <c:v>Variación anual            Año 2018</c:v>
                </c:pt>
                <c:pt idx="3">
                  <c:v>Variación anual            Año 2019</c:v>
                </c:pt>
                <c:pt idx="4">
                  <c:v>Variación anual            Año 2020</c:v>
                </c:pt>
                <c:pt idx="5">
                  <c:v>Variación anual            Año 2021</c:v>
                </c:pt>
                <c:pt idx="6">
                  <c:v>Variación anual            Año 2022</c:v>
                </c:pt>
                <c:pt idx="7">
                  <c:v>Variación anual            Año 2023</c:v>
                </c:pt>
                <c:pt idx="8">
                  <c:v>Variación anual            Año 2024</c:v>
                </c:pt>
                <c:pt idx="9">
                  <c:v>Variación anual         Año 2025</c:v>
                </c:pt>
              </c:strCache>
            </c:strRef>
          </c:cat>
          <c:val>
            <c:numRef>
              <c:f>Hoja1!$B$7:$B$16</c:f>
              <c:numCache>
                <c:formatCode>0.0%</c:formatCode>
                <c:ptCount val="10"/>
                <c:pt idx="0">
                  <c:v>-9.7043214556482259E-3</c:v>
                </c:pt>
                <c:pt idx="1">
                  <c:v>0.11407135201347424</c:v>
                </c:pt>
                <c:pt idx="2">
                  <c:v>-1.6492578339747737E-3</c:v>
                </c:pt>
                <c:pt idx="3">
                  <c:v>2.3678414096916282E-2</c:v>
                </c:pt>
                <c:pt idx="4">
                  <c:v>2.192038730500263E-2</c:v>
                </c:pt>
                <c:pt idx="5">
                  <c:v>-6.7508882747729912E-2</c:v>
                </c:pt>
                <c:pt idx="6">
                  <c:v>2.8789161727349792E-2</c:v>
                </c:pt>
                <c:pt idx="7">
                  <c:v>9.4650205761316556E-3</c:v>
                </c:pt>
                <c:pt idx="8">
                  <c:v>1.5083571137382788E-2</c:v>
                </c:pt>
                <c:pt idx="9">
                  <c:v>3.3467202141900937E-3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1E42-4E02-9938-F147A1F97D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8"/>
        <c:overlap val="-27"/>
        <c:axId val="1779361632"/>
        <c:axId val="1779354432"/>
      </c:barChart>
      <c:catAx>
        <c:axId val="177936163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noFill/>
          <a:ln w="9525" cap="flat" cmpd="sng" algn="ctr">
            <a:solidFill>
              <a:schemeClr val="tx1">
                <a:lumMod val="65000"/>
                <a:lumOff val="3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1779354432"/>
        <c:crosses val="autoZero"/>
        <c:auto val="1"/>
        <c:lblAlgn val="ctr"/>
        <c:lblOffset val="100"/>
        <c:noMultiLvlLbl val="0"/>
      </c:catAx>
      <c:valAx>
        <c:axId val="1779354432"/>
        <c:scaling>
          <c:orientation val="minMax"/>
        </c:scaling>
        <c:delete val="1"/>
        <c:axPos val="l"/>
        <c:numFmt formatCode="0.0%" sourceLinked="1"/>
        <c:majorTickMark val="none"/>
        <c:minorTickMark val="none"/>
        <c:tickLblPos val="nextTo"/>
        <c:crossAx val="17793616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[PRENSA GARAJES ALQUILR 2025.xlsm]Hoja1!TablaDinámica3</c:name>
    <c:fmtId val="-1"/>
  </c:pivotSource>
  <c:chart>
    <c:autoTitleDeleted val="1"/>
    <c:pivotFmts>
      <c:pivotFmt>
        <c:idx val="0"/>
        <c:spPr>
          <a:solidFill>
            <a:schemeClr val="tx2">
              <a:lumMod val="60000"/>
              <a:lumOff val="40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100" b="1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E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tx2">
              <a:lumMod val="60000"/>
              <a:lumOff val="40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100" b="1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E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tx2">
              <a:lumMod val="60000"/>
              <a:lumOff val="40000"/>
            </a:schemeClr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1100" b="1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s-ES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>
        <c:manualLayout>
          <c:layoutTarget val="inner"/>
          <c:xMode val="edge"/>
          <c:yMode val="edge"/>
          <c:x val="1.719709719892893E-2"/>
          <c:y val="3.3883390686894187E-2"/>
          <c:w val="0.96560580560214215"/>
          <c:h val="0.8121424295725114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Hoja1!$B$49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E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Hoja1!$A$50:$A$60</c:f>
              <c:strCache>
                <c:ptCount val="11"/>
                <c:pt idx="0">
                  <c:v> Precio         año 2015</c:v>
                </c:pt>
                <c:pt idx="1">
                  <c:v> Precio        año 2016</c:v>
                </c:pt>
                <c:pt idx="2">
                  <c:v> Precio        año 2017</c:v>
                </c:pt>
                <c:pt idx="3">
                  <c:v> Precio         año 2018</c:v>
                </c:pt>
                <c:pt idx="4">
                  <c:v> Precio        año 2019</c:v>
                </c:pt>
                <c:pt idx="5">
                  <c:v> Precio         año 2020</c:v>
                </c:pt>
                <c:pt idx="6">
                  <c:v> Precio         año 2021</c:v>
                </c:pt>
                <c:pt idx="7">
                  <c:v> Precio        año 2022</c:v>
                </c:pt>
                <c:pt idx="8">
                  <c:v> Precio        año 2023</c:v>
                </c:pt>
                <c:pt idx="9">
                  <c:v> Precio       año 2024</c:v>
                </c:pt>
                <c:pt idx="10">
                  <c:v> Precio       año 2025</c:v>
                </c:pt>
              </c:strCache>
            </c:strRef>
          </c:cat>
          <c:val>
            <c:numRef>
              <c:f>Hoja1!$B$50:$B$60</c:f>
              <c:numCache>
                <c:formatCode>_("€"* #,##0.00_);_("€"* \(#,##0.00\);_("€"* "-"??_);_(@_)</c:formatCode>
                <c:ptCount val="11"/>
                <c:pt idx="0">
                  <c:v>65.95</c:v>
                </c:pt>
                <c:pt idx="1">
                  <c:v>65.31</c:v>
                </c:pt>
                <c:pt idx="2">
                  <c:v>72.760000000000005</c:v>
                </c:pt>
                <c:pt idx="3">
                  <c:v>72.64</c:v>
                </c:pt>
                <c:pt idx="4">
                  <c:v>74.36</c:v>
                </c:pt>
                <c:pt idx="5">
                  <c:v>75.989999999999995</c:v>
                </c:pt>
                <c:pt idx="6">
                  <c:v>70.86</c:v>
                </c:pt>
                <c:pt idx="7">
                  <c:v>72.900000000000006</c:v>
                </c:pt>
                <c:pt idx="8">
                  <c:v>73.59</c:v>
                </c:pt>
                <c:pt idx="9">
                  <c:v>74.7</c:v>
                </c:pt>
                <c:pt idx="10">
                  <c:v>74.95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ECD-48AE-97B3-F711E11B1E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3"/>
        <c:overlap val="-27"/>
        <c:axId val="253899840"/>
        <c:axId val="253898880"/>
      </c:barChart>
      <c:catAx>
        <c:axId val="253899840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noFill/>
          <a:ln w="9525" cap="flat" cmpd="sng" algn="ctr">
            <a:solidFill>
              <a:schemeClr val="tx2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253898880"/>
        <c:crosses val="autoZero"/>
        <c:auto val="1"/>
        <c:lblAlgn val="ctr"/>
        <c:lblOffset val="100"/>
        <c:noMultiLvlLbl val="0"/>
      </c:catAx>
      <c:valAx>
        <c:axId val="253898880"/>
        <c:scaling>
          <c:orientation val="minMax"/>
        </c:scaling>
        <c:delete val="1"/>
        <c:axPos val="l"/>
        <c:numFmt formatCode="_(&quot;€&quot;* #,##0.00_);_(&quot;€&quot;* \(#,##0.00\);_(&quot;€&quot;* &quot;-&quot;??_);_(@_)" sourceLinked="1"/>
        <c:majorTickMark val="none"/>
        <c:minorTickMark val="none"/>
        <c:tickLblPos val="nextTo"/>
        <c:crossAx val="2538998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FBC09-2AA0-4378-A83A-7E269E933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7725</TotalTime>
  <Pages>9</Pages>
  <Words>2335</Words>
  <Characters>12846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 Urrea Rodriguez</dc:creator>
  <cp:lastModifiedBy>Anais Garcia Lopez</cp:lastModifiedBy>
  <cp:revision>149</cp:revision>
  <cp:lastPrinted>2025-02-06T08:34:00Z</cp:lastPrinted>
  <dcterms:created xsi:type="dcterms:W3CDTF">2023-02-17T15:06:00Z</dcterms:created>
  <dcterms:modified xsi:type="dcterms:W3CDTF">2026-02-20T14:09:00Z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2024-01-30T15:42:16Z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32155b42-5118-4e37-94f2-fef8b188b727</vt:lpwstr>
  </property>
  <property fmtid="{D5CDD505-2E9C-101B-9397-08002B2CF9AE}" pid="7" name="MSIP_Label_defa4170-0d19-0005-0004-bc88714345d2_ActionId">
    <vt:lpwstr>0a675d70-1d8a-4190-a012-44c94ff07b06</vt:lpwstr>
  </property>
  <property fmtid="{D5CDD505-2E9C-101B-9397-08002B2CF9AE}" pid="8" name="MSIP_Label_defa4170-0d19-0005-0004-bc88714345d2_ContentBits">
    <vt:lpwstr>0</vt:lpwstr>
  </property>
</Properties>
</file>