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E4D68" w:rsidRDefault="00000000"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-1080134</wp:posOffset>
            </wp:positionH>
            <wp:positionV relativeFrom="paragraph">
              <wp:posOffset>-351258</wp:posOffset>
            </wp:positionV>
            <wp:extent cx="7581265" cy="1019175"/>
            <wp:effectExtent l="0" t="0" r="0" b="0"/>
            <wp:wrapNone/>
            <wp:docPr id="1502578351" name="image1.png" descr="Patrón de fondo&#10;&#10;Descripción generada automáticamente con confianza baj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atrón de fondo&#10;&#10;Descripción generada automáticamente con confianza baja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2" w14:textId="77777777" w:rsidR="00CE4D68" w:rsidRDefault="00CE4D68">
      <w:pPr>
        <w:jc w:val="right"/>
        <w:rPr>
          <w:rFonts w:ascii="National" w:eastAsia="National" w:hAnsi="National" w:cs="National"/>
          <w:color w:val="303AB2"/>
          <w:sz w:val="36"/>
          <w:szCs w:val="36"/>
        </w:rPr>
      </w:pPr>
    </w:p>
    <w:p w14:paraId="00000003" w14:textId="77777777" w:rsidR="00CE4D68" w:rsidRDefault="00CE4D68">
      <w:pPr>
        <w:jc w:val="right"/>
        <w:rPr>
          <w:rFonts w:ascii="National" w:eastAsia="National" w:hAnsi="National" w:cs="National"/>
          <w:color w:val="303AB2"/>
          <w:sz w:val="36"/>
          <w:szCs w:val="36"/>
        </w:rPr>
      </w:pPr>
    </w:p>
    <w:p w14:paraId="00000004" w14:textId="77777777" w:rsidR="00CE4D68" w:rsidRDefault="00CE4D68">
      <w:pPr>
        <w:rPr>
          <w:rFonts w:ascii="National" w:eastAsia="National" w:hAnsi="National" w:cs="National"/>
          <w:color w:val="303AB2"/>
          <w:sz w:val="18"/>
          <w:szCs w:val="18"/>
        </w:rPr>
      </w:pPr>
    </w:p>
    <w:p w14:paraId="00000005" w14:textId="77777777" w:rsidR="00CE4D68" w:rsidRDefault="00000000">
      <w:pPr>
        <w:spacing w:line="276" w:lineRule="auto"/>
        <w:jc w:val="center"/>
        <w:rPr>
          <w:rFonts w:ascii="National" w:eastAsia="National" w:hAnsi="National" w:cs="National"/>
          <w:b/>
          <w:bCs/>
          <w:color w:val="1DBDC5"/>
          <w:sz w:val="42"/>
          <w:szCs w:val="42"/>
        </w:rPr>
      </w:pPr>
      <w:r>
        <w:rPr>
          <w:rFonts w:ascii="National" w:eastAsia="National" w:hAnsi="National" w:cs="National"/>
          <w:b/>
          <w:bCs/>
          <w:color w:val="1DBDC5"/>
          <w:sz w:val="42"/>
          <w:szCs w:val="42"/>
        </w:rPr>
        <w:t>ENERO: PRECIO VIVIENDA EN VENTA</w:t>
      </w:r>
    </w:p>
    <w:p w14:paraId="282F5FA3" w14:textId="7EBEB207" w:rsidR="002E3E66" w:rsidRPr="002E3E66" w:rsidRDefault="002E3E66" w:rsidP="002E3E66">
      <w:pPr>
        <w:jc w:val="center"/>
        <w:rPr>
          <w:rFonts w:ascii="National" w:eastAsia="National" w:hAnsi="National" w:cs="National"/>
          <w:b/>
          <w:bCs/>
          <w:color w:val="303AB2"/>
          <w:sz w:val="46"/>
          <w:szCs w:val="46"/>
        </w:rPr>
      </w:pPr>
      <w:r w:rsidRPr="002E3E66">
        <w:rPr>
          <w:rFonts w:ascii="National" w:eastAsia="National" w:hAnsi="National" w:cs="National"/>
          <w:b/>
          <w:bCs/>
          <w:color w:val="303AB2"/>
          <w:sz w:val="46"/>
          <w:szCs w:val="46"/>
        </w:rPr>
        <w:t>El precio de la vivienda arranca el año con otra subida del 20% en España</w:t>
      </w:r>
    </w:p>
    <w:p w14:paraId="00000007" w14:textId="77777777" w:rsidR="00CE4D68" w:rsidRDefault="00CE4D68">
      <w:pPr>
        <w:rPr>
          <w:rFonts w:ascii="National" w:eastAsia="National" w:hAnsi="National" w:cs="National"/>
          <w:b/>
          <w:bCs/>
          <w:color w:val="303AB2"/>
          <w:sz w:val="14"/>
          <w:szCs w:val="14"/>
        </w:rPr>
      </w:pPr>
    </w:p>
    <w:p w14:paraId="00000008" w14:textId="77777777" w:rsidR="00CE4D6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color w:val="303AB2"/>
        </w:rPr>
      </w:pPr>
      <w:r>
        <w:rPr>
          <w:rFonts w:ascii="Open Sans" w:eastAsia="Open Sans" w:hAnsi="Open Sans" w:cs="Open Sans"/>
          <w:color w:val="303AB2"/>
        </w:rPr>
        <w:t>El precio interanual de la vivienda en venta vuelve a alcanzar máximos con un 20,4%, es decir, pasa de los 2.405 euros/m</w:t>
      </w:r>
      <w:r>
        <w:rPr>
          <w:rFonts w:ascii="Open Sans" w:eastAsia="Open Sans" w:hAnsi="Open Sans" w:cs="Open Sans"/>
          <w:color w:val="303AB2"/>
          <w:vertAlign w:val="superscript"/>
        </w:rPr>
        <w:t xml:space="preserve">2 </w:t>
      </w:r>
      <w:r>
        <w:rPr>
          <w:rFonts w:ascii="Open Sans" w:eastAsia="Open Sans" w:hAnsi="Open Sans" w:cs="Open Sans"/>
          <w:color w:val="303AB2"/>
        </w:rPr>
        <w:t>de enero de 2025 a los 2.897 euros/m</w:t>
      </w:r>
      <w:r>
        <w:rPr>
          <w:rFonts w:ascii="Open Sans" w:eastAsia="Open Sans" w:hAnsi="Open Sans" w:cs="Open Sans"/>
          <w:color w:val="303AB2"/>
          <w:vertAlign w:val="superscript"/>
        </w:rPr>
        <w:t>2</w:t>
      </w:r>
      <w:r>
        <w:rPr>
          <w:rFonts w:ascii="Open Sans" w:eastAsia="Open Sans" w:hAnsi="Open Sans" w:cs="Open Sans"/>
          <w:color w:val="303AB2"/>
        </w:rPr>
        <w:t xml:space="preserve"> de enero de 2026</w:t>
      </w:r>
    </w:p>
    <w:p w14:paraId="00000009" w14:textId="77777777" w:rsidR="00CE4D6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color w:val="303AB2"/>
        </w:rPr>
      </w:pPr>
      <w:r>
        <w:rPr>
          <w:rFonts w:ascii="Open Sans" w:eastAsia="Open Sans" w:hAnsi="Open Sans" w:cs="Open Sans"/>
          <w:color w:val="303AB2"/>
        </w:rPr>
        <w:t>Una vivienda estándar de 80 m</w:t>
      </w:r>
      <w:r>
        <w:rPr>
          <w:rFonts w:ascii="Open Sans" w:eastAsia="Open Sans" w:hAnsi="Open Sans" w:cs="Open Sans"/>
          <w:color w:val="303AB2"/>
          <w:vertAlign w:val="superscript"/>
        </w:rPr>
        <w:t>2</w:t>
      </w:r>
      <w:r>
        <w:rPr>
          <w:rFonts w:ascii="Open Sans" w:eastAsia="Open Sans" w:hAnsi="Open Sans" w:cs="Open Sans"/>
          <w:color w:val="303AB2"/>
        </w:rPr>
        <w:t xml:space="preserve"> se oferta de media en 231.744 euros frente a los 192.432 de hace un año, unos 35.826 euros de diferencia (20,4%) </w:t>
      </w:r>
    </w:p>
    <w:p w14:paraId="0000000A" w14:textId="77777777" w:rsidR="00CE4D68" w:rsidRDefault="00CE4D6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</w:rPr>
      </w:pPr>
    </w:p>
    <w:p w14:paraId="0000000B" w14:textId="77777777" w:rsidR="00CE4D6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</w:rPr>
      </w:pPr>
      <w:bookmarkStart w:id="0" w:name="_heading=h.8wjps54w7tk4" w:colFirst="0" w:colLast="0"/>
      <w:bookmarkEnd w:id="0"/>
      <w:r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</w:rPr>
        <w:t>Madrid, 2 de febrero de 2026</w:t>
      </w:r>
    </w:p>
    <w:p w14:paraId="0000000C" w14:textId="77777777" w:rsidR="00CE4D6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119"/>
        </w:tabs>
        <w:spacing w:before="280" w:after="280" w:line="276" w:lineRule="auto"/>
        <w:jc w:val="both"/>
        <w:rPr>
          <w:rFonts w:ascii="Open Sans" w:eastAsia="Open Sans" w:hAnsi="Open Sans" w:cs="Open Sans"/>
          <w:b/>
          <w:bCs/>
          <w:color w:val="000000"/>
        </w:rPr>
      </w:pPr>
      <w:r>
        <w:rPr>
          <w:rFonts w:ascii="Open Sans" w:eastAsia="Open Sans" w:hAnsi="Open Sans" w:cs="Open Sans"/>
          <w:color w:val="000000"/>
        </w:rPr>
        <w:t>El precio de la vivienda de segunda mano en España sube un 0,6% en su variación mensual y un 20,4% en su variación interanual, situando el precio medio de las viviendas ofertadas en enero en 2.897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, </w:t>
      </w:r>
      <w:r>
        <w:rPr>
          <w:rFonts w:ascii="Open Sans" w:eastAsia="Open Sans" w:hAnsi="Open Sans" w:cs="Open Sans"/>
          <w:b/>
          <w:bCs/>
          <w:color w:val="000000"/>
        </w:rPr>
        <w:t xml:space="preserve">según los datos del Índice Inmobiliario </w:t>
      </w:r>
      <w:hyperlink r:id="rId9">
        <w:r>
          <w:rPr>
            <w:rFonts w:ascii="Open Sans" w:eastAsia="Open Sans" w:hAnsi="Open Sans" w:cs="Open Sans"/>
            <w:b/>
            <w:bCs/>
            <w:color w:val="0000FF"/>
            <w:u w:val="single"/>
          </w:rPr>
          <w:t>Fotocasa</w:t>
        </w:r>
      </w:hyperlink>
      <w:r>
        <w:rPr>
          <w:rFonts w:ascii="Open Sans" w:eastAsia="Open Sans" w:hAnsi="Open Sans" w:cs="Open Sans"/>
          <w:color w:val="000000"/>
        </w:rPr>
        <w:t>. Si calculamos este último incremento mensual y lo multiplicamos por los 80 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de una vivienda estándar, vemos que valor medio de una vivienda es 231.744 euros en enero. </w:t>
      </w:r>
    </w:p>
    <w:p w14:paraId="0000000D" w14:textId="77777777" w:rsidR="00CE4D6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119"/>
        </w:tabs>
        <w:spacing w:before="280" w:after="280" w:line="276" w:lineRule="auto"/>
        <w:jc w:val="center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t xml:space="preserve">Variación mensual e interanual del precio de la vivienda </w:t>
      </w: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5696309" cy="2767220"/>
            <wp:effectExtent l="0" t="0" r="0" b="0"/>
            <wp:docPr id="1502578349" name="Gráfico 15025783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000000E" w14:textId="77777777" w:rsidR="00CE4D6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119"/>
        </w:tabs>
        <w:spacing w:before="280" w:after="280" w:line="276" w:lineRule="auto"/>
        <w:jc w:val="both"/>
        <w:rPr>
          <w:rFonts w:ascii="Open Sans" w:eastAsia="Open Sans" w:hAnsi="Open Sans" w:cs="Open Sans"/>
          <w:b/>
          <w:bCs/>
          <w:sz w:val="28"/>
          <w:szCs w:val="28"/>
        </w:rPr>
      </w:pPr>
      <w:r>
        <w:rPr>
          <w:rFonts w:ascii="Open Sans" w:eastAsia="Open Sans" w:hAnsi="Open Sans" w:cs="Open Sans"/>
        </w:rPr>
        <w:lastRenderedPageBreak/>
        <w:t xml:space="preserve">“El precio de la vivienda vuelve a registrar una subida superior al 20% por segundo mes consecutivo, el mayor encarecimiento desde que Fotocasa elabora sus registros. Este repunte sitúa el precio medio a solo un 1,9% de alcanzar máximos históricos y superar los 2.952€/m² de abril de 2007. Pese a la intensidad de las subidas, no estamos ante una burbuja inmobiliaria, sino frente al mayor desequilibrio entre oferta y demanda jamás observado: la demanda de compra se encuentra en máximos, mientras que la producción de obra nueva sigue siendo claramente insuficiente para absorberla. Las previsiones apuntan a que el precio de la vivienda de segunda mano marcará nuevo récord en los próximos meses, lo que complicará todavía más la accesibilidad de los colectivos con rentas medias y bajas”, </w:t>
      </w:r>
      <w:r>
        <w:rPr>
          <w:rFonts w:ascii="Open Sans" w:eastAsia="Open Sans" w:hAnsi="Open Sans" w:cs="Open Sans"/>
          <w:b/>
          <w:bCs/>
        </w:rPr>
        <w:t xml:space="preserve">explica María Matos, directora de Estudios y portavoz de </w:t>
      </w:r>
      <w:hyperlink r:id="rId11">
        <w:r>
          <w:rPr>
            <w:rFonts w:ascii="Open Sans" w:eastAsia="Open Sans" w:hAnsi="Open Sans" w:cs="Open Sans"/>
            <w:b/>
            <w:bCs/>
            <w:color w:val="1155CC"/>
            <w:u w:val="single"/>
          </w:rPr>
          <w:t>Fotocasa</w:t>
        </w:r>
      </w:hyperlink>
      <w:r>
        <w:rPr>
          <w:rFonts w:ascii="Open Sans" w:eastAsia="Open Sans" w:hAnsi="Open Sans" w:cs="Open Sans"/>
          <w:b/>
          <w:bCs/>
        </w:rPr>
        <w:t xml:space="preserve">. </w:t>
      </w:r>
    </w:p>
    <w:p w14:paraId="0000000F" w14:textId="77777777" w:rsidR="00CE4D6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119"/>
        </w:tabs>
        <w:spacing w:before="280" w:after="280"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De este modo, España ha experimentado en un año un incremento del 20,4% en el precio medio de las viviendas de 80 m², pasando de 192.432 euros a 231.744 euros en enero de 2025 (39.312 euros de diferencia). Este último valor interanual (20,4%) es el incremento más alto detectado en este periodo del año en los últimos 20 años.</w:t>
      </w:r>
    </w:p>
    <w:p w14:paraId="00000010" w14:textId="77777777" w:rsidR="00CE4D6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119"/>
        </w:tabs>
        <w:spacing w:before="280" w:after="280" w:line="276" w:lineRule="auto"/>
        <w:jc w:val="center"/>
        <w:rPr>
          <w:rFonts w:ascii="Open Sans" w:eastAsia="Open Sans" w:hAnsi="Open Sans" w:cs="Open Sans"/>
          <w:color w:val="000000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t>Variación interanual del precio de la vivienda por años</w:t>
      </w: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editId="392243CD">
            <wp:extent cx="5829300" cy="2903220"/>
            <wp:effectExtent l="0" t="0" r="0" b="0"/>
            <wp:docPr id="1502578348" name="Gráfico 15025783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0000011" w14:textId="77777777" w:rsidR="00CE4D6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Por comunidades, si analizamos los precios de la vivienda en venta respecto a los de hace un año, vemos que las 17 comunidades incrementan el precio interanual en enero. Los incrementos superiores al 10% afecta a once comunidades y son: Región de Murcia (27,1%), Andalucía (24,5%), Comunitat Valenciana (23,8%), Asturias (23,3%), Madrid (19,6%), Cantabria (19,0%), Canarias (18,6%), Baleares </w:t>
      </w:r>
      <w:r>
        <w:rPr>
          <w:rFonts w:ascii="Open Sans" w:eastAsia="Open Sans" w:hAnsi="Open Sans" w:cs="Open Sans"/>
          <w:color w:val="000000"/>
        </w:rPr>
        <w:lastRenderedPageBreak/>
        <w:t>(14,4%), Galicia (14,0%), Cataluña (12,8%), País Vasco (11,4%) y Castilla-La Mancha (10,2%), todos por encima del 10% de variación interanual. Le siguen, Castilla y León (9,9%), Aragón (7,8%), La Rioja (7,5%), Navarra (6,7%) y Extremadura (6,6%).</w:t>
      </w:r>
    </w:p>
    <w:p w14:paraId="00000012" w14:textId="77777777" w:rsidR="00CE4D6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En cuanto al ranking de Comunidades Autónomas (CC.AA.) con </w:t>
      </w:r>
      <w:r>
        <w:rPr>
          <w:rFonts w:ascii="Open Sans" w:eastAsia="Open Sans" w:hAnsi="Open Sans" w:cs="Open Sans"/>
          <w:b/>
          <w:bCs/>
          <w:color w:val="000000"/>
        </w:rPr>
        <w:t>el precio del metro cuadrado más caro en España se encuentra en Baleares y Madrid, que por primera vez supera los 5.000 euros, en concreto se Baleares sitúa en 5.293 euros/m</w:t>
      </w:r>
      <w:r>
        <w:rPr>
          <w:rFonts w:ascii="Open Sans" w:eastAsia="Open Sans" w:hAnsi="Open Sans" w:cs="Open Sans"/>
          <w:b/>
          <w:bCs/>
          <w:color w:val="000000"/>
          <w:vertAlign w:val="superscript"/>
        </w:rPr>
        <w:t>2</w:t>
      </w:r>
      <w:r>
        <w:rPr>
          <w:rFonts w:ascii="Open Sans" w:eastAsia="Open Sans" w:hAnsi="Open Sans" w:cs="Open Sans"/>
          <w:b/>
          <w:bCs/>
          <w:color w:val="000000"/>
        </w:rPr>
        <w:t xml:space="preserve"> y Madrid en 5.225 euros/m</w:t>
      </w:r>
      <w:r>
        <w:rPr>
          <w:rFonts w:ascii="Open Sans" w:eastAsia="Open Sans" w:hAnsi="Open Sans" w:cs="Open Sans"/>
          <w:b/>
          <w:bCs/>
          <w:color w:val="000000"/>
          <w:vertAlign w:val="superscript"/>
        </w:rPr>
        <w:t>2</w:t>
      </w:r>
      <w:r>
        <w:rPr>
          <w:rFonts w:ascii="Open Sans" w:eastAsia="Open Sans" w:hAnsi="Open Sans" w:cs="Open Sans"/>
          <w:b/>
          <w:bCs/>
          <w:color w:val="000000"/>
        </w:rPr>
        <w:t xml:space="preserve">. </w:t>
      </w:r>
      <w:r>
        <w:rPr>
          <w:rFonts w:ascii="Open Sans" w:eastAsia="Open Sans" w:hAnsi="Open Sans" w:cs="Open Sans"/>
          <w:color w:val="000000"/>
        </w:rPr>
        <w:t>Le siguen, País Vasco con 3.684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Canarias con 3.325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Cataluña con 3.246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Andalucía con 2.775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Comunitat Valenciana con 2.634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Cantabria con 2.519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Asturias con 2.233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Navarra con 2.203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Galicia con 2.157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Región de Murcia con 1.919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Aragón con 1.881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La Rioja con 1.802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Castilla y León con 1.696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Castilla-La Mancha con 1.338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y Extremadura con 1.309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.</w:t>
      </w:r>
    </w:p>
    <w:p w14:paraId="00000013" w14:textId="79647C08" w:rsidR="00CE4D68" w:rsidRPr="002E3E66" w:rsidRDefault="00000000" w:rsidP="002E3E6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jc w:val="center"/>
        <w:rPr>
          <w:rFonts w:ascii="Open Sans Light" w:eastAsia="Open Sans Light" w:hAnsi="Open Sans Light" w:cs="Open Sans Light"/>
          <w:b/>
          <w:bCs/>
          <w:color w:val="303AB2"/>
          <w:sz w:val="32"/>
          <w:szCs w:val="32"/>
        </w:rPr>
      </w:pPr>
      <w:r w:rsidRPr="002E3E66">
        <w:rPr>
          <w:rFonts w:ascii="Open Sans Light" w:eastAsia="Open Sans Light" w:hAnsi="Open Sans Light" w:cs="Open Sans Light"/>
          <w:b/>
          <w:bCs/>
          <w:color w:val="303AB2"/>
          <w:sz w:val="32"/>
          <w:szCs w:val="32"/>
        </w:rPr>
        <w:t>CCAA de mayor a menor incremento interanual</w:t>
      </w:r>
    </w:p>
    <w:tbl>
      <w:tblPr>
        <w:tblStyle w:val="a"/>
        <w:tblW w:w="9327" w:type="dxa"/>
        <w:tblInd w:w="-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842"/>
        <w:gridCol w:w="1560"/>
        <w:gridCol w:w="1508"/>
        <w:gridCol w:w="1473"/>
        <w:gridCol w:w="1472"/>
        <w:gridCol w:w="1472"/>
      </w:tblGrid>
      <w:tr w:rsidR="00CE4D68" w14:paraId="48457DA3" w14:textId="77777777" w:rsidTr="00CE4D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vAlign w:val="center"/>
          </w:tcPr>
          <w:p w14:paraId="00000014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Comunidad Autónoma</w:t>
            </w:r>
          </w:p>
        </w:tc>
        <w:tc>
          <w:tcPr>
            <w:tcW w:w="1560" w:type="dxa"/>
            <w:vAlign w:val="center"/>
          </w:tcPr>
          <w:p w14:paraId="00000015" w14:textId="77777777" w:rsidR="00CE4D6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Enero 2025</w:t>
            </w:r>
          </w:p>
          <w:p w14:paraId="00000016" w14:textId="77777777" w:rsidR="00CE4D6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(euros/m²)</w:t>
            </w:r>
          </w:p>
        </w:tc>
        <w:tc>
          <w:tcPr>
            <w:tcW w:w="1508" w:type="dxa"/>
            <w:vAlign w:val="center"/>
          </w:tcPr>
          <w:p w14:paraId="00000017" w14:textId="77777777" w:rsidR="00CE4D6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Enero 2026</w:t>
            </w:r>
          </w:p>
          <w:p w14:paraId="00000018" w14:textId="77777777" w:rsidR="00CE4D6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(euros/m²)</w:t>
            </w:r>
          </w:p>
        </w:tc>
        <w:tc>
          <w:tcPr>
            <w:tcW w:w="1473" w:type="dxa"/>
            <w:vAlign w:val="center"/>
          </w:tcPr>
          <w:p w14:paraId="00000019" w14:textId="77777777" w:rsidR="00CE4D6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mensual (%)</w:t>
            </w:r>
          </w:p>
        </w:tc>
        <w:tc>
          <w:tcPr>
            <w:tcW w:w="1472" w:type="dxa"/>
            <w:vAlign w:val="center"/>
          </w:tcPr>
          <w:p w14:paraId="0000001A" w14:textId="77777777" w:rsidR="00CE4D6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interanual (%)</w:t>
            </w:r>
          </w:p>
        </w:tc>
        <w:tc>
          <w:tcPr>
            <w:tcW w:w="1472" w:type="dxa"/>
          </w:tcPr>
          <w:p w14:paraId="0000001B" w14:textId="77777777" w:rsidR="00CE4D6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Precio piso 80 m</w:t>
            </w: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  <w:vertAlign w:val="superscript"/>
              </w:rPr>
              <w:t>2</w:t>
            </w: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 xml:space="preserve"> en euros</w:t>
            </w:r>
          </w:p>
        </w:tc>
      </w:tr>
      <w:tr w:rsidR="00CE4D68" w14:paraId="2CF1C197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vAlign w:val="bottom"/>
          </w:tcPr>
          <w:p w14:paraId="0000001C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 xml:space="preserve"> Región de Murcia </w:t>
            </w:r>
          </w:p>
        </w:tc>
        <w:tc>
          <w:tcPr>
            <w:tcW w:w="1560" w:type="dxa"/>
            <w:vAlign w:val="bottom"/>
          </w:tcPr>
          <w:p w14:paraId="0000001D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1.510 €</w:t>
            </w:r>
          </w:p>
        </w:tc>
        <w:tc>
          <w:tcPr>
            <w:tcW w:w="1508" w:type="dxa"/>
            <w:vAlign w:val="bottom"/>
          </w:tcPr>
          <w:p w14:paraId="0000001E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     1.919 € </w:t>
            </w:r>
          </w:p>
        </w:tc>
        <w:tc>
          <w:tcPr>
            <w:tcW w:w="1473" w:type="dxa"/>
            <w:vAlign w:val="bottom"/>
          </w:tcPr>
          <w:p w14:paraId="0000001F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-0,3%</w:t>
            </w:r>
          </w:p>
        </w:tc>
        <w:tc>
          <w:tcPr>
            <w:tcW w:w="1472" w:type="dxa"/>
            <w:vAlign w:val="bottom"/>
          </w:tcPr>
          <w:p w14:paraId="00000020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27,1%</w:t>
            </w:r>
          </w:p>
        </w:tc>
        <w:tc>
          <w:tcPr>
            <w:tcW w:w="1472" w:type="dxa"/>
            <w:vAlign w:val="bottom"/>
          </w:tcPr>
          <w:p w14:paraId="00000021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153.558 €</w:t>
            </w:r>
          </w:p>
        </w:tc>
      </w:tr>
      <w:tr w:rsidR="00CE4D68" w14:paraId="519C7C7F" w14:textId="77777777" w:rsidTr="00CE4D68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vAlign w:val="bottom"/>
          </w:tcPr>
          <w:p w14:paraId="00000022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 xml:space="preserve"> Andalucía </w:t>
            </w:r>
          </w:p>
        </w:tc>
        <w:tc>
          <w:tcPr>
            <w:tcW w:w="1560" w:type="dxa"/>
            <w:vAlign w:val="bottom"/>
          </w:tcPr>
          <w:p w14:paraId="00000023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2.229 €</w:t>
            </w:r>
          </w:p>
        </w:tc>
        <w:tc>
          <w:tcPr>
            <w:tcW w:w="1508" w:type="dxa"/>
            <w:vAlign w:val="bottom"/>
          </w:tcPr>
          <w:p w14:paraId="00000024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     2.775 € </w:t>
            </w:r>
          </w:p>
        </w:tc>
        <w:tc>
          <w:tcPr>
            <w:tcW w:w="1473" w:type="dxa"/>
            <w:vAlign w:val="bottom"/>
          </w:tcPr>
          <w:p w14:paraId="00000025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1,5%</w:t>
            </w:r>
          </w:p>
        </w:tc>
        <w:tc>
          <w:tcPr>
            <w:tcW w:w="1472" w:type="dxa"/>
            <w:vAlign w:val="bottom"/>
          </w:tcPr>
          <w:p w14:paraId="00000026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24,5%</w:t>
            </w:r>
          </w:p>
        </w:tc>
        <w:tc>
          <w:tcPr>
            <w:tcW w:w="1472" w:type="dxa"/>
            <w:vAlign w:val="bottom"/>
          </w:tcPr>
          <w:p w14:paraId="00000027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221.962 €</w:t>
            </w:r>
          </w:p>
        </w:tc>
      </w:tr>
      <w:tr w:rsidR="00CE4D68" w14:paraId="7B60E847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vAlign w:val="bottom"/>
          </w:tcPr>
          <w:p w14:paraId="00000028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 xml:space="preserve"> Comunitat Valenciana </w:t>
            </w:r>
          </w:p>
        </w:tc>
        <w:tc>
          <w:tcPr>
            <w:tcW w:w="1560" w:type="dxa"/>
            <w:vAlign w:val="bottom"/>
          </w:tcPr>
          <w:p w14:paraId="00000029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2.127 €</w:t>
            </w:r>
          </w:p>
        </w:tc>
        <w:tc>
          <w:tcPr>
            <w:tcW w:w="1508" w:type="dxa"/>
            <w:vAlign w:val="bottom"/>
          </w:tcPr>
          <w:p w14:paraId="0000002A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     2.634 € </w:t>
            </w:r>
          </w:p>
        </w:tc>
        <w:tc>
          <w:tcPr>
            <w:tcW w:w="1473" w:type="dxa"/>
            <w:vAlign w:val="bottom"/>
          </w:tcPr>
          <w:p w14:paraId="0000002B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0,6%</w:t>
            </w:r>
          </w:p>
        </w:tc>
        <w:tc>
          <w:tcPr>
            <w:tcW w:w="1472" w:type="dxa"/>
            <w:vAlign w:val="bottom"/>
          </w:tcPr>
          <w:p w14:paraId="0000002C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23,8%</w:t>
            </w:r>
          </w:p>
        </w:tc>
        <w:tc>
          <w:tcPr>
            <w:tcW w:w="1472" w:type="dxa"/>
            <w:vAlign w:val="bottom"/>
          </w:tcPr>
          <w:p w14:paraId="0000002D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210.712 €</w:t>
            </w:r>
          </w:p>
        </w:tc>
      </w:tr>
      <w:tr w:rsidR="00CE4D68" w14:paraId="4FBBEB52" w14:textId="77777777" w:rsidTr="00CE4D68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vAlign w:val="bottom"/>
          </w:tcPr>
          <w:p w14:paraId="0000002E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 xml:space="preserve"> Asturias </w:t>
            </w:r>
          </w:p>
        </w:tc>
        <w:tc>
          <w:tcPr>
            <w:tcW w:w="1560" w:type="dxa"/>
            <w:vAlign w:val="bottom"/>
          </w:tcPr>
          <w:p w14:paraId="0000002F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1.811 €</w:t>
            </w:r>
          </w:p>
        </w:tc>
        <w:tc>
          <w:tcPr>
            <w:tcW w:w="1508" w:type="dxa"/>
            <w:vAlign w:val="bottom"/>
          </w:tcPr>
          <w:p w14:paraId="00000030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     2.233 € </w:t>
            </w:r>
          </w:p>
        </w:tc>
        <w:tc>
          <w:tcPr>
            <w:tcW w:w="1473" w:type="dxa"/>
            <w:vAlign w:val="bottom"/>
          </w:tcPr>
          <w:p w14:paraId="00000031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-0,2%</w:t>
            </w:r>
          </w:p>
        </w:tc>
        <w:tc>
          <w:tcPr>
            <w:tcW w:w="1472" w:type="dxa"/>
            <w:vAlign w:val="bottom"/>
          </w:tcPr>
          <w:p w14:paraId="00000032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23,3%</w:t>
            </w:r>
          </w:p>
        </w:tc>
        <w:tc>
          <w:tcPr>
            <w:tcW w:w="1472" w:type="dxa"/>
            <w:vAlign w:val="bottom"/>
          </w:tcPr>
          <w:p w14:paraId="00000033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178.649 €</w:t>
            </w:r>
          </w:p>
        </w:tc>
      </w:tr>
      <w:tr w:rsidR="00CE4D68" w14:paraId="773F889F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vAlign w:val="bottom"/>
          </w:tcPr>
          <w:p w14:paraId="00000034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 xml:space="preserve"> Madrid </w:t>
            </w:r>
          </w:p>
        </w:tc>
        <w:tc>
          <w:tcPr>
            <w:tcW w:w="1560" w:type="dxa"/>
            <w:vAlign w:val="bottom"/>
          </w:tcPr>
          <w:p w14:paraId="00000035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4.369 €</w:t>
            </w:r>
          </w:p>
        </w:tc>
        <w:tc>
          <w:tcPr>
            <w:tcW w:w="1508" w:type="dxa"/>
            <w:vAlign w:val="bottom"/>
          </w:tcPr>
          <w:p w14:paraId="00000036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     5.225 € </w:t>
            </w:r>
          </w:p>
        </w:tc>
        <w:tc>
          <w:tcPr>
            <w:tcW w:w="1473" w:type="dxa"/>
            <w:vAlign w:val="bottom"/>
          </w:tcPr>
          <w:p w14:paraId="00000037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0,4%</w:t>
            </w:r>
          </w:p>
        </w:tc>
        <w:tc>
          <w:tcPr>
            <w:tcW w:w="1472" w:type="dxa"/>
            <w:vAlign w:val="bottom"/>
          </w:tcPr>
          <w:p w14:paraId="00000038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19,6%</w:t>
            </w:r>
          </w:p>
        </w:tc>
        <w:tc>
          <w:tcPr>
            <w:tcW w:w="1472" w:type="dxa"/>
            <w:vAlign w:val="bottom"/>
          </w:tcPr>
          <w:p w14:paraId="00000039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417.960 €</w:t>
            </w:r>
          </w:p>
        </w:tc>
      </w:tr>
      <w:tr w:rsidR="00CE4D68" w14:paraId="5B6921D0" w14:textId="77777777" w:rsidTr="00CE4D68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vAlign w:val="bottom"/>
          </w:tcPr>
          <w:p w14:paraId="0000003A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 xml:space="preserve"> Cantabria </w:t>
            </w:r>
          </w:p>
        </w:tc>
        <w:tc>
          <w:tcPr>
            <w:tcW w:w="1560" w:type="dxa"/>
            <w:vAlign w:val="bottom"/>
          </w:tcPr>
          <w:p w14:paraId="0000003B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2.116 €</w:t>
            </w:r>
          </w:p>
        </w:tc>
        <w:tc>
          <w:tcPr>
            <w:tcW w:w="1508" w:type="dxa"/>
            <w:vAlign w:val="bottom"/>
          </w:tcPr>
          <w:p w14:paraId="0000003C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     2.519 € </w:t>
            </w:r>
          </w:p>
        </w:tc>
        <w:tc>
          <w:tcPr>
            <w:tcW w:w="1473" w:type="dxa"/>
            <w:vAlign w:val="bottom"/>
          </w:tcPr>
          <w:p w14:paraId="0000003D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-0,69%</w:t>
            </w:r>
          </w:p>
        </w:tc>
        <w:tc>
          <w:tcPr>
            <w:tcW w:w="1472" w:type="dxa"/>
            <w:vAlign w:val="bottom"/>
          </w:tcPr>
          <w:p w14:paraId="0000003E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19,0%</w:t>
            </w:r>
          </w:p>
        </w:tc>
        <w:tc>
          <w:tcPr>
            <w:tcW w:w="1472" w:type="dxa"/>
            <w:vAlign w:val="bottom"/>
          </w:tcPr>
          <w:p w14:paraId="0000003F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201.517 €</w:t>
            </w:r>
          </w:p>
        </w:tc>
      </w:tr>
      <w:tr w:rsidR="00CE4D68" w14:paraId="6B4311AF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vAlign w:val="bottom"/>
          </w:tcPr>
          <w:p w14:paraId="00000040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 xml:space="preserve"> Canarias </w:t>
            </w:r>
          </w:p>
        </w:tc>
        <w:tc>
          <w:tcPr>
            <w:tcW w:w="1560" w:type="dxa"/>
            <w:vAlign w:val="bottom"/>
          </w:tcPr>
          <w:p w14:paraId="00000041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2.802 €</w:t>
            </w:r>
          </w:p>
        </w:tc>
        <w:tc>
          <w:tcPr>
            <w:tcW w:w="1508" w:type="dxa"/>
            <w:vAlign w:val="bottom"/>
          </w:tcPr>
          <w:p w14:paraId="00000042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     3.325 € </w:t>
            </w:r>
          </w:p>
        </w:tc>
        <w:tc>
          <w:tcPr>
            <w:tcW w:w="1473" w:type="dxa"/>
            <w:vAlign w:val="bottom"/>
          </w:tcPr>
          <w:p w14:paraId="00000043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0,2%</w:t>
            </w:r>
          </w:p>
        </w:tc>
        <w:tc>
          <w:tcPr>
            <w:tcW w:w="1472" w:type="dxa"/>
            <w:vAlign w:val="bottom"/>
          </w:tcPr>
          <w:p w14:paraId="00000044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18,6%</w:t>
            </w:r>
          </w:p>
        </w:tc>
        <w:tc>
          <w:tcPr>
            <w:tcW w:w="1472" w:type="dxa"/>
            <w:vAlign w:val="bottom"/>
          </w:tcPr>
          <w:p w14:paraId="00000045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265.978 €</w:t>
            </w:r>
          </w:p>
        </w:tc>
      </w:tr>
      <w:tr w:rsidR="00CE4D68" w14:paraId="070A60B6" w14:textId="77777777" w:rsidTr="00CE4D68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vAlign w:val="bottom"/>
          </w:tcPr>
          <w:p w14:paraId="00000046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 xml:space="preserve"> Baleares </w:t>
            </w:r>
          </w:p>
        </w:tc>
        <w:tc>
          <w:tcPr>
            <w:tcW w:w="1560" w:type="dxa"/>
            <w:vAlign w:val="bottom"/>
          </w:tcPr>
          <w:p w14:paraId="00000047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4.626 €</w:t>
            </w:r>
          </w:p>
        </w:tc>
        <w:tc>
          <w:tcPr>
            <w:tcW w:w="1508" w:type="dxa"/>
            <w:vAlign w:val="bottom"/>
          </w:tcPr>
          <w:p w14:paraId="00000048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     5.293 € </w:t>
            </w:r>
          </w:p>
        </w:tc>
        <w:tc>
          <w:tcPr>
            <w:tcW w:w="1473" w:type="dxa"/>
            <w:vAlign w:val="bottom"/>
          </w:tcPr>
          <w:p w14:paraId="00000049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0,5%</w:t>
            </w:r>
          </w:p>
        </w:tc>
        <w:tc>
          <w:tcPr>
            <w:tcW w:w="1472" w:type="dxa"/>
            <w:vAlign w:val="bottom"/>
          </w:tcPr>
          <w:p w14:paraId="0000004A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14,4%</w:t>
            </w:r>
          </w:p>
        </w:tc>
        <w:tc>
          <w:tcPr>
            <w:tcW w:w="1472" w:type="dxa"/>
            <w:vAlign w:val="bottom"/>
          </w:tcPr>
          <w:p w14:paraId="0000004B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423.421 €</w:t>
            </w:r>
          </w:p>
        </w:tc>
      </w:tr>
      <w:tr w:rsidR="00CE4D68" w14:paraId="342CDC97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vAlign w:val="bottom"/>
          </w:tcPr>
          <w:p w14:paraId="0000004C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 xml:space="preserve"> Galicia </w:t>
            </w:r>
          </w:p>
        </w:tc>
        <w:tc>
          <w:tcPr>
            <w:tcW w:w="1560" w:type="dxa"/>
            <w:vAlign w:val="bottom"/>
          </w:tcPr>
          <w:p w14:paraId="0000004D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1.893 €</w:t>
            </w:r>
          </w:p>
        </w:tc>
        <w:tc>
          <w:tcPr>
            <w:tcW w:w="1508" w:type="dxa"/>
            <w:vAlign w:val="bottom"/>
          </w:tcPr>
          <w:p w14:paraId="0000004E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     2.157 € </w:t>
            </w:r>
          </w:p>
        </w:tc>
        <w:tc>
          <w:tcPr>
            <w:tcW w:w="1473" w:type="dxa"/>
            <w:vAlign w:val="bottom"/>
          </w:tcPr>
          <w:p w14:paraId="0000004F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0,7%</w:t>
            </w:r>
          </w:p>
        </w:tc>
        <w:tc>
          <w:tcPr>
            <w:tcW w:w="1472" w:type="dxa"/>
            <w:vAlign w:val="bottom"/>
          </w:tcPr>
          <w:p w14:paraId="00000050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14,0%</w:t>
            </w:r>
          </w:p>
        </w:tc>
        <w:tc>
          <w:tcPr>
            <w:tcW w:w="1472" w:type="dxa"/>
            <w:vAlign w:val="bottom"/>
          </w:tcPr>
          <w:p w14:paraId="00000051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172.591 €</w:t>
            </w:r>
          </w:p>
        </w:tc>
      </w:tr>
      <w:tr w:rsidR="00CE4D68" w14:paraId="381768B8" w14:textId="77777777" w:rsidTr="00CE4D68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vAlign w:val="bottom"/>
          </w:tcPr>
          <w:p w14:paraId="00000052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 xml:space="preserve"> Cataluña </w:t>
            </w:r>
          </w:p>
        </w:tc>
        <w:tc>
          <w:tcPr>
            <w:tcW w:w="1560" w:type="dxa"/>
            <w:vAlign w:val="bottom"/>
          </w:tcPr>
          <w:p w14:paraId="00000053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2.879 €</w:t>
            </w:r>
          </w:p>
        </w:tc>
        <w:tc>
          <w:tcPr>
            <w:tcW w:w="1508" w:type="dxa"/>
            <w:vAlign w:val="bottom"/>
          </w:tcPr>
          <w:p w14:paraId="00000054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     3.246 € </w:t>
            </w:r>
          </w:p>
        </w:tc>
        <w:tc>
          <w:tcPr>
            <w:tcW w:w="1473" w:type="dxa"/>
            <w:vAlign w:val="bottom"/>
          </w:tcPr>
          <w:p w14:paraId="00000055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0,0%</w:t>
            </w:r>
          </w:p>
        </w:tc>
        <w:tc>
          <w:tcPr>
            <w:tcW w:w="1472" w:type="dxa"/>
            <w:vAlign w:val="bottom"/>
          </w:tcPr>
          <w:p w14:paraId="00000056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12,8%</w:t>
            </w:r>
          </w:p>
        </w:tc>
        <w:tc>
          <w:tcPr>
            <w:tcW w:w="1472" w:type="dxa"/>
            <w:vAlign w:val="bottom"/>
          </w:tcPr>
          <w:p w14:paraId="00000057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259.706 €</w:t>
            </w:r>
          </w:p>
        </w:tc>
      </w:tr>
      <w:tr w:rsidR="00CE4D68" w14:paraId="751928D7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vAlign w:val="bottom"/>
          </w:tcPr>
          <w:p w14:paraId="00000058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 xml:space="preserve"> País Vasco </w:t>
            </w:r>
          </w:p>
        </w:tc>
        <w:tc>
          <w:tcPr>
            <w:tcW w:w="1560" w:type="dxa"/>
            <w:vAlign w:val="bottom"/>
          </w:tcPr>
          <w:p w14:paraId="00000059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3.306 €</w:t>
            </w:r>
          </w:p>
        </w:tc>
        <w:tc>
          <w:tcPr>
            <w:tcW w:w="1508" w:type="dxa"/>
            <w:vAlign w:val="bottom"/>
          </w:tcPr>
          <w:p w14:paraId="0000005A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     3.684 € </w:t>
            </w:r>
          </w:p>
        </w:tc>
        <w:tc>
          <w:tcPr>
            <w:tcW w:w="1473" w:type="dxa"/>
            <w:vAlign w:val="bottom"/>
          </w:tcPr>
          <w:p w14:paraId="0000005B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472" w:type="dxa"/>
            <w:vAlign w:val="bottom"/>
          </w:tcPr>
          <w:p w14:paraId="0000005C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11,4%</w:t>
            </w:r>
          </w:p>
        </w:tc>
        <w:tc>
          <w:tcPr>
            <w:tcW w:w="1472" w:type="dxa"/>
            <w:vAlign w:val="bottom"/>
          </w:tcPr>
          <w:p w14:paraId="0000005D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294.732 €</w:t>
            </w:r>
          </w:p>
        </w:tc>
      </w:tr>
      <w:tr w:rsidR="00CE4D68" w14:paraId="6140C3AE" w14:textId="77777777" w:rsidTr="00CE4D68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vAlign w:val="bottom"/>
          </w:tcPr>
          <w:p w14:paraId="0000005E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 xml:space="preserve"> Castilla-La Mancha </w:t>
            </w:r>
          </w:p>
        </w:tc>
        <w:tc>
          <w:tcPr>
            <w:tcW w:w="1560" w:type="dxa"/>
            <w:vAlign w:val="bottom"/>
          </w:tcPr>
          <w:p w14:paraId="0000005F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1.214 €</w:t>
            </w:r>
          </w:p>
        </w:tc>
        <w:tc>
          <w:tcPr>
            <w:tcW w:w="1508" w:type="dxa"/>
            <w:vAlign w:val="bottom"/>
          </w:tcPr>
          <w:p w14:paraId="00000060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     1.338 € </w:t>
            </w:r>
          </w:p>
        </w:tc>
        <w:tc>
          <w:tcPr>
            <w:tcW w:w="1473" w:type="dxa"/>
            <w:vAlign w:val="bottom"/>
          </w:tcPr>
          <w:p w14:paraId="00000061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-0,2%</w:t>
            </w:r>
          </w:p>
        </w:tc>
        <w:tc>
          <w:tcPr>
            <w:tcW w:w="1472" w:type="dxa"/>
            <w:vAlign w:val="bottom"/>
          </w:tcPr>
          <w:p w14:paraId="00000062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10,2%</w:t>
            </w:r>
          </w:p>
        </w:tc>
        <w:tc>
          <w:tcPr>
            <w:tcW w:w="1472" w:type="dxa"/>
            <w:vAlign w:val="bottom"/>
          </w:tcPr>
          <w:p w14:paraId="00000063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107.053 €</w:t>
            </w:r>
          </w:p>
        </w:tc>
      </w:tr>
      <w:tr w:rsidR="00CE4D68" w14:paraId="0C9FC28E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vAlign w:val="bottom"/>
          </w:tcPr>
          <w:p w14:paraId="00000064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 xml:space="preserve"> Castilla y León </w:t>
            </w:r>
          </w:p>
        </w:tc>
        <w:tc>
          <w:tcPr>
            <w:tcW w:w="1560" w:type="dxa"/>
            <w:vAlign w:val="bottom"/>
          </w:tcPr>
          <w:p w14:paraId="00000065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1.544 €</w:t>
            </w:r>
          </w:p>
        </w:tc>
        <w:tc>
          <w:tcPr>
            <w:tcW w:w="1508" w:type="dxa"/>
            <w:vAlign w:val="bottom"/>
          </w:tcPr>
          <w:p w14:paraId="00000066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     1.696 € </w:t>
            </w:r>
          </w:p>
        </w:tc>
        <w:tc>
          <w:tcPr>
            <w:tcW w:w="1473" w:type="dxa"/>
            <w:vAlign w:val="bottom"/>
          </w:tcPr>
          <w:p w14:paraId="00000067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1,1%</w:t>
            </w:r>
          </w:p>
        </w:tc>
        <w:tc>
          <w:tcPr>
            <w:tcW w:w="1472" w:type="dxa"/>
            <w:vAlign w:val="bottom"/>
          </w:tcPr>
          <w:p w14:paraId="00000068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9,9%</w:t>
            </w:r>
          </w:p>
        </w:tc>
        <w:tc>
          <w:tcPr>
            <w:tcW w:w="1472" w:type="dxa"/>
            <w:vAlign w:val="bottom"/>
          </w:tcPr>
          <w:p w14:paraId="00000069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135.655 €</w:t>
            </w:r>
          </w:p>
        </w:tc>
      </w:tr>
      <w:tr w:rsidR="00CE4D68" w14:paraId="67F77AFB" w14:textId="77777777" w:rsidTr="00CE4D68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vAlign w:val="bottom"/>
          </w:tcPr>
          <w:p w14:paraId="0000006A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 xml:space="preserve"> Aragón </w:t>
            </w:r>
          </w:p>
        </w:tc>
        <w:tc>
          <w:tcPr>
            <w:tcW w:w="1560" w:type="dxa"/>
            <w:vAlign w:val="bottom"/>
          </w:tcPr>
          <w:p w14:paraId="0000006B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1.746 €</w:t>
            </w:r>
          </w:p>
        </w:tc>
        <w:tc>
          <w:tcPr>
            <w:tcW w:w="1508" w:type="dxa"/>
            <w:vAlign w:val="bottom"/>
          </w:tcPr>
          <w:p w14:paraId="0000006C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     1.881 € </w:t>
            </w:r>
          </w:p>
        </w:tc>
        <w:tc>
          <w:tcPr>
            <w:tcW w:w="1473" w:type="dxa"/>
            <w:vAlign w:val="bottom"/>
          </w:tcPr>
          <w:p w14:paraId="0000006D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0,4%</w:t>
            </w:r>
          </w:p>
        </w:tc>
        <w:tc>
          <w:tcPr>
            <w:tcW w:w="1472" w:type="dxa"/>
            <w:vAlign w:val="bottom"/>
          </w:tcPr>
          <w:p w14:paraId="0000006E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7,8%</w:t>
            </w:r>
          </w:p>
        </w:tc>
        <w:tc>
          <w:tcPr>
            <w:tcW w:w="1472" w:type="dxa"/>
            <w:vAlign w:val="bottom"/>
          </w:tcPr>
          <w:p w14:paraId="0000006F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150.482 €</w:t>
            </w:r>
          </w:p>
        </w:tc>
      </w:tr>
      <w:tr w:rsidR="00CE4D68" w14:paraId="1C35CE45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vAlign w:val="bottom"/>
          </w:tcPr>
          <w:p w14:paraId="00000070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 xml:space="preserve"> La Rioja </w:t>
            </w:r>
          </w:p>
        </w:tc>
        <w:tc>
          <w:tcPr>
            <w:tcW w:w="1560" w:type="dxa"/>
            <w:vAlign w:val="bottom"/>
          </w:tcPr>
          <w:p w14:paraId="00000071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1.677 €</w:t>
            </w:r>
          </w:p>
        </w:tc>
        <w:tc>
          <w:tcPr>
            <w:tcW w:w="1508" w:type="dxa"/>
            <w:vAlign w:val="bottom"/>
          </w:tcPr>
          <w:p w14:paraId="00000072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     1.802 € </w:t>
            </w:r>
          </w:p>
        </w:tc>
        <w:tc>
          <w:tcPr>
            <w:tcW w:w="1473" w:type="dxa"/>
            <w:vAlign w:val="bottom"/>
          </w:tcPr>
          <w:p w14:paraId="00000073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-0,8%</w:t>
            </w:r>
          </w:p>
        </w:tc>
        <w:tc>
          <w:tcPr>
            <w:tcW w:w="1472" w:type="dxa"/>
            <w:vAlign w:val="bottom"/>
          </w:tcPr>
          <w:p w14:paraId="00000074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7,5%</w:t>
            </w:r>
          </w:p>
        </w:tc>
        <w:tc>
          <w:tcPr>
            <w:tcW w:w="1472" w:type="dxa"/>
            <w:vAlign w:val="bottom"/>
          </w:tcPr>
          <w:p w14:paraId="00000075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144.189 €</w:t>
            </w:r>
          </w:p>
        </w:tc>
      </w:tr>
      <w:tr w:rsidR="00CE4D68" w14:paraId="5736F3CC" w14:textId="77777777" w:rsidTr="00CE4D68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vAlign w:val="bottom"/>
          </w:tcPr>
          <w:p w14:paraId="00000076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lastRenderedPageBreak/>
              <w:t xml:space="preserve"> Navarra </w:t>
            </w:r>
          </w:p>
        </w:tc>
        <w:tc>
          <w:tcPr>
            <w:tcW w:w="1560" w:type="dxa"/>
            <w:vAlign w:val="bottom"/>
          </w:tcPr>
          <w:p w14:paraId="00000077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2.065 €</w:t>
            </w:r>
          </w:p>
        </w:tc>
        <w:tc>
          <w:tcPr>
            <w:tcW w:w="1508" w:type="dxa"/>
            <w:vAlign w:val="bottom"/>
          </w:tcPr>
          <w:p w14:paraId="00000078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     2.203 € </w:t>
            </w:r>
          </w:p>
        </w:tc>
        <w:tc>
          <w:tcPr>
            <w:tcW w:w="1473" w:type="dxa"/>
            <w:vAlign w:val="bottom"/>
          </w:tcPr>
          <w:p w14:paraId="00000079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2,3%</w:t>
            </w:r>
          </w:p>
        </w:tc>
        <w:tc>
          <w:tcPr>
            <w:tcW w:w="1472" w:type="dxa"/>
            <w:vAlign w:val="bottom"/>
          </w:tcPr>
          <w:p w14:paraId="0000007A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6,7%</w:t>
            </w:r>
          </w:p>
        </w:tc>
        <w:tc>
          <w:tcPr>
            <w:tcW w:w="1472" w:type="dxa"/>
            <w:vAlign w:val="bottom"/>
          </w:tcPr>
          <w:p w14:paraId="0000007B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176.278 €</w:t>
            </w:r>
          </w:p>
        </w:tc>
      </w:tr>
      <w:tr w:rsidR="00CE4D68" w14:paraId="7233C4EE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vAlign w:val="bottom"/>
          </w:tcPr>
          <w:p w14:paraId="0000007C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 xml:space="preserve"> Extremadura </w:t>
            </w:r>
          </w:p>
        </w:tc>
        <w:tc>
          <w:tcPr>
            <w:tcW w:w="1560" w:type="dxa"/>
            <w:vAlign w:val="bottom"/>
          </w:tcPr>
          <w:p w14:paraId="0000007D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1.229 €</w:t>
            </w:r>
          </w:p>
        </w:tc>
        <w:tc>
          <w:tcPr>
            <w:tcW w:w="1508" w:type="dxa"/>
            <w:vAlign w:val="bottom"/>
          </w:tcPr>
          <w:p w14:paraId="0000007E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     1.309 € </w:t>
            </w:r>
          </w:p>
        </w:tc>
        <w:tc>
          <w:tcPr>
            <w:tcW w:w="1473" w:type="dxa"/>
            <w:vAlign w:val="bottom"/>
          </w:tcPr>
          <w:p w14:paraId="0000007F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0,5%</w:t>
            </w:r>
          </w:p>
        </w:tc>
        <w:tc>
          <w:tcPr>
            <w:tcW w:w="1472" w:type="dxa"/>
            <w:vAlign w:val="bottom"/>
          </w:tcPr>
          <w:p w14:paraId="00000080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6,6%</w:t>
            </w:r>
          </w:p>
        </w:tc>
        <w:tc>
          <w:tcPr>
            <w:tcW w:w="1472" w:type="dxa"/>
            <w:vAlign w:val="bottom"/>
          </w:tcPr>
          <w:p w14:paraId="00000081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104.757 €</w:t>
            </w:r>
          </w:p>
        </w:tc>
      </w:tr>
      <w:tr w:rsidR="00CE4D68" w14:paraId="4716C6E9" w14:textId="77777777" w:rsidTr="00CE4D68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vAlign w:val="bottom"/>
          </w:tcPr>
          <w:p w14:paraId="00000082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 xml:space="preserve"> España </w:t>
            </w:r>
          </w:p>
        </w:tc>
        <w:tc>
          <w:tcPr>
            <w:tcW w:w="1560" w:type="dxa"/>
            <w:vAlign w:val="bottom"/>
          </w:tcPr>
          <w:p w14:paraId="00000083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2.405 €</w:t>
            </w:r>
          </w:p>
        </w:tc>
        <w:tc>
          <w:tcPr>
            <w:tcW w:w="1508" w:type="dxa"/>
            <w:vAlign w:val="bottom"/>
          </w:tcPr>
          <w:p w14:paraId="00000084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     2.897 € </w:t>
            </w:r>
          </w:p>
        </w:tc>
        <w:tc>
          <w:tcPr>
            <w:tcW w:w="1473" w:type="dxa"/>
            <w:vAlign w:val="bottom"/>
          </w:tcPr>
          <w:p w14:paraId="00000085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0,6%</w:t>
            </w:r>
          </w:p>
        </w:tc>
        <w:tc>
          <w:tcPr>
            <w:tcW w:w="1472" w:type="dxa"/>
            <w:vAlign w:val="bottom"/>
          </w:tcPr>
          <w:p w14:paraId="00000086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20,4%</w:t>
            </w:r>
          </w:p>
        </w:tc>
        <w:tc>
          <w:tcPr>
            <w:tcW w:w="1472" w:type="dxa"/>
            <w:vAlign w:val="bottom"/>
          </w:tcPr>
          <w:p w14:paraId="00000087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231.744 €</w:t>
            </w:r>
          </w:p>
        </w:tc>
      </w:tr>
    </w:tbl>
    <w:p w14:paraId="00000088" w14:textId="77777777" w:rsidR="00CE4D6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t xml:space="preserve">Provincias </w:t>
      </w:r>
    </w:p>
    <w:p w14:paraId="00000089" w14:textId="77777777" w:rsidR="00CE4D68" w:rsidRDefault="00000000">
      <w:pPr>
        <w:spacing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En 48 de las 50 provincias analizadas (en el 96%) sube el precio interanual de la vivienda en el mes de enero. En 36 provincias se supera el 15% y son: Murcia (27,1%), Valencia (25,9%), Asturias (23,3%), A Coruña (21,4%), León (19,6%), Madrid (19,6%), Santa Cruz de Tenerife (19,5%), Alicante (19,5%), Las Palmas (19,1%), Cantabria (19,0%), Almería (17,9%), Gipuzkoa (17,9%), Granada (17,9%), Castellón (17,3%), Ávila (16,1%), Segovia (15,8%), Ourense (15,6%) y Guadalajara (15,0%). Por otro lado, las provincias con descensos son Zamora (-4,2%) y Teruel (-10,7%).</w:t>
      </w:r>
    </w:p>
    <w:p w14:paraId="0000008A" w14:textId="77777777" w:rsidR="00CE4D6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En cuanto a los precios Illes Balears y Madrid es las únicas que han superado los 5.000 euros por metro cuadrado. </w:t>
      </w:r>
      <w:r>
        <w:rPr>
          <w:rFonts w:ascii="Open Sans" w:eastAsia="Open Sans" w:hAnsi="Open Sans" w:cs="Open Sans"/>
          <w:b/>
          <w:bCs/>
          <w:color w:val="000000"/>
        </w:rPr>
        <w:t>Las cuatro provincias con el precio más elevado son: Illes Balears con 5.293 euros/m</w:t>
      </w:r>
      <w:r>
        <w:rPr>
          <w:rFonts w:ascii="Open Sans" w:eastAsia="Open Sans" w:hAnsi="Open Sans" w:cs="Open Sans"/>
          <w:b/>
          <w:bCs/>
          <w:color w:val="000000"/>
          <w:vertAlign w:val="superscript"/>
        </w:rPr>
        <w:t>2</w:t>
      </w:r>
      <w:r>
        <w:rPr>
          <w:rFonts w:ascii="Open Sans" w:eastAsia="Open Sans" w:hAnsi="Open Sans" w:cs="Open Sans"/>
          <w:b/>
          <w:bCs/>
          <w:color w:val="000000"/>
        </w:rPr>
        <w:t>, Madrid con 5.225 euros/m</w:t>
      </w:r>
      <w:r>
        <w:rPr>
          <w:rFonts w:ascii="Open Sans" w:eastAsia="Open Sans" w:hAnsi="Open Sans" w:cs="Open Sans"/>
          <w:b/>
          <w:bCs/>
          <w:color w:val="000000"/>
          <w:vertAlign w:val="superscript"/>
        </w:rPr>
        <w:t>2</w:t>
      </w:r>
      <w:r>
        <w:rPr>
          <w:rFonts w:ascii="Open Sans" w:eastAsia="Open Sans" w:hAnsi="Open Sans" w:cs="Open Sans"/>
          <w:b/>
          <w:bCs/>
          <w:color w:val="000000"/>
        </w:rPr>
        <w:t>, Málaga con 4.444 euros/m</w:t>
      </w:r>
      <w:r>
        <w:rPr>
          <w:rFonts w:ascii="Open Sans" w:eastAsia="Open Sans" w:hAnsi="Open Sans" w:cs="Open Sans"/>
          <w:b/>
          <w:bCs/>
          <w:color w:val="000000"/>
          <w:vertAlign w:val="superscript"/>
        </w:rPr>
        <w:t>2</w:t>
      </w:r>
      <w:r>
        <w:rPr>
          <w:rFonts w:ascii="Open Sans" w:eastAsia="Open Sans" w:hAnsi="Open Sans" w:cs="Open Sans"/>
          <w:b/>
          <w:bCs/>
          <w:color w:val="000000"/>
        </w:rPr>
        <w:t xml:space="preserve"> y Gipuzkoa con 4.390 euros/m</w:t>
      </w:r>
      <w:r>
        <w:rPr>
          <w:rFonts w:ascii="Open Sans" w:eastAsia="Open Sans" w:hAnsi="Open Sans" w:cs="Open Sans"/>
          <w:b/>
          <w:bCs/>
          <w:color w:val="000000"/>
          <w:vertAlign w:val="superscript"/>
        </w:rPr>
        <w:t>2</w:t>
      </w:r>
      <w:r>
        <w:rPr>
          <w:rFonts w:ascii="Open Sans" w:eastAsia="Open Sans" w:hAnsi="Open Sans" w:cs="Open Sans"/>
          <w:b/>
          <w:bCs/>
          <w:color w:val="000000"/>
        </w:rPr>
        <w:t xml:space="preserve">. </w:t>
      </w:r>
      <w:r>
        <w:rPr>
          <w:rFonts w:ascii="Open Sans" w:eastAsia="Open Sans" w:hAnsi="Open Sans" w:cs="Open Sans"/>
          <w:color w:val="000000"/>
        </w:rPr>
        <w:t>Por otro lado, las provincias con el precio por metro cuadrado más económico son Jaén con 1.045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y Ciudad Real con 1.039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.</w:t>
      </w:r>
    </w:p>
    <w:p w14:paraId="0000008B" w14:textId="77777777" w:rsidR="00CE4D6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t>Provincias de mayor a menor incremento interanual</w:t>
      </w:r>
    </w:p>
    <w:tbl>
      <w:tblPr>
        <w:tblStyle w:val="a0"/>
        <w:tblW w:w="9071" w:type="dxa"/>
        <w:tblInd w:w="-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984"/>
        <w:gridCol w:w="1559"/>
        <w:gridCol w:w="1701"/>
        <w:gridCol w:w="1700"/>
      </w:tblGrid>
      <w:tr w:rsidR="00CE4D68" w14:paraId="4FD9BA93" w14:textId="77777777" w:rsidTr="00CE4D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center"/>
          </w:tcPr>
          <w:p w14:paraId="0000008C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Provincia</w:t>
            </w:r>
          </w:p>
        </w:tc>
        <w:tc>
          <w:tcPr>
            <w:tcW w:w="1984" w:type="dxa"/>
            <w:vAlign w:val="center"/>
          </w:tcPr>
          <w:p w14:paraId="0000008D" w14:textId="77777777" w:rsidR="00CE4D6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Enero 2026</w:t>
            </w:r>
          </w:p>
          <w:p w14:paraId="0000008E" w14:textId="77777777" w:rsidR="00CE4D6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(euros/m²)</w:t>
            </w:r>
          </w:p>
        </w:tc>
        <w:tc>
          <w:tcPr>
            <w:tcW w:w="1559" w:type="dxa"/>
            <w:vAlign w:val="center"/>
          </w:tcPr>
          <w:p w14:paraId="0000008F" w14:textId="77777777" w:rsidR="00CE4D6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mensual (%)</w:t>
            </w:r>
          </w:p>
        </w:tc>
        <w:tc>
          <w:tcPr>
            <w:tcW w:w="1701" w:type="dxa"/>
            <w:vAlign w:val="center"/>
          </w:tcPr>
          <w:p w14:paraId="00000090" w14:textId="77777777" w:rsidR="00CE4D6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interanual (%)</w:t>
            </w:r>
          </w:p>
        </w:tc>
        <w:tc>
          <w:tcPr>
            <w:tcW w:w="1700" w:type="dxa"/>
          </w:tcPr>
          <w:p w14:paraId="00000091" w14:textId="77777777" w:rsidR="00CE4D6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% respecto media nacional</w:t>
            </w:r>
          </w:p>
        </w:tc>
      </w:tr>
      <w:tr w:rsidR="00CE4D68" w14:paraId="6ED782C0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092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Murcia</w:t>
            </w:r>
          </w:p>
        </w:tc>
        <w:tc>
          <w:tcPr>
            <w:tcW w:w="1984" w:type="dxa"/>
            <w:vAlign w:val="bottom"/>
          </w:tcPr>
          <w:p w14:paraId="00000093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1.919 €</w:t>
            </w:r>
          </w:p>
        </w:tc>
        <w:tc>
          <w:tcPr>
            <w:tcW w:w="1559" w:type="dxa"/>
            <w:vAlign w:val="bottom"/>
          </w:tcPr>
          <w:p w14:paraId="00000094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D0D0D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-0,3%</w:t>
            </w:r>
          </w:p>
        </w:tc>
        <w:tc>
          <w:tcPr>
            <w:tcW w:w="1701" w:type="dxa"/>
            <w:vAlign w:val="bottom"/>
          </w:tcPr>
          <w:p w14:paraId="00000095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D0D0D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27,1%</w:t>
            </w:r>
          </w:p>
        </w:tc>
        <w:tc>
          <w:tcPr>
            <w:tcW w:w="1700" w:type="dxa"/>
            <w:vAlign w:val="bottom"/>
          </w:tcPr>
          <w:p w14:paraId="00000096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-33,7%</w:t>
            </w:r>
          </w:p>
        </w:tc>
      </w:tr>
      <w:tr w:rsidR="00CE4D68" w14:paraId="5CBFE86C" w14:textId="77777777" w:rsidTr="00CE4D6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097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Valencia</w:t>
            </w:r>
          </w:p>
        </w:tc>
        <w:tc>
          <w:tcPr>
            <w:tcW w:w="1984" w:type="dxa"/>
            <w:vAlign w:val="bottom"/>
          </w:tcPr>
          <w:p w14:paraId="00000098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2.395 €</w:t>
            </w:r>
          </w:p>
        </w:tc>
        <w:tc>
          <w:tcPr>
            <w:tcW w:w="1559" w:type="dxa"/>
            <w:vAlign w:val="bottom"/>
          </w:tcPr>
          <w:p w14:paraId="00000099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D0D0D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701" w:type="dxa"/>
            <w:vAlign w:val="bottom"/>
          </w:tcPr>
          <w:p w14:paraId="0000009A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D0D0D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25,9%</w:t>
            </w:r>
          </w:p>
        </w:tc>
        <w:tc>
          <w:tcPr>
            <w:tcW w:w="1700" w:type="dxa"/>
            <w:vAlign w:val="bottom"/>
          </w:tcPr>
          <w:p w14:paraId="0000009B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-17,3%</w:t>
            </w:r>
          </w:p>
        </w:tc>
      </w:tr>
      <w:tr w:rsidR="00CE4D68" w14:paraId="49446DFF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09C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Asturias</w:t>
            </w:r>
          </w:p>
        </w:tc>
        <w:tc>
          <w:tcPr>
            <w:tcW w:w="1984" w:type="dxa"/>
            <w:vAlign w:val="bottom"/>
          </w:tcPr>
          <w:p w14:paraId="0000009D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2.233 €</w:t>
            </w:r>
          </w:p>
        </w:tc>
        <w:tc>
          <w:tcPr>
            <w:tcW w:w="1559" w:type="dxa"/>
            <w:vAlign w:val="bottom"/>
          </w:tcPr>
          <w:p w14:paraId="0000009E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-0,2%</w:t>
            </w:r>
          </w:p>
        </w:tc>
        <w:tc>
          <w:tcPr>
            <w:tcW w:w="1701" w:type="dxa"/>
            <w:vAlign w:val="bottom"/>
          </w:tcPr>
          <w:p w14:paraId="0000009F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23,3%</w:t>
            </w:r>
          </w:p>
        </w:tc>
        <w:tc>
          <w:tcPr>
            <w:tcW w:w="1700" w:type="dxa"/>
            <w:vAlign w:val="bottom"/>
          </w:tcPr>
          <w:p w14:paraId="000000A0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-22,9%</w:t>
            </w:r>
          </w:p>
        </w:tc>
      </w:tr>
      <w:tr w:rsidR="00CE4D68" w14:paraId="613CA5A7" w14:textId="77777777" w:rsidTr="00CE4D6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0A1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 Coruña</w:t>
            </w:r>
          </w:p>
        </w:tc>
        <w:tc>
          <w:tcPr>
            <w:tcW w:w="1984" w:type="dxa"/>
            <w:vAlign w:val="bottom"/>
          </w:tcPr>
          <w:p w14:paraId="000000A2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2.174 €</w:t>
            </w:r>
          </w:p>
        </w:tc>
        <w:tc>
          <w:tcPr>
            <w:tcW w:w="1559" w:type="dxa"/>
            <w:vAlign w:val="bottom"/>
          </w:tcPr>
          <w:p w14:paraId="000000A3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0,6%</w:t>
            </w:r>
          </w:p>
        </w:tc>
        <w:tc>
          <w:tcPr>
            <w:tcW w:w="1701" w:type="dxa"/>
            <w:vAlign w:val="bottom"/>
          </w:tcPr>
          <w:p w14:paraId="000000A4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21,4%</w:t>
            </w:r>
          </w:p>
        </w:tc>
        <w:tc>
          <w:tcPr>
            <w:tcW w:w="1700" w:type="dxa"/>
            <w:vAlign w:val="bottom"/>
          </w:tcPr>
          <w:p w14:paraId="000000A5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-25,0%</w:t>
            </w:r>
          </w:p>
        </w:tc>
      </w:tr>
      <w:tr w:rsidR="00CE4D68" w14:paraId="6EABE596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0A6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León</w:t>
            </w:r>
          </w:p>
        </w:tc>
        <w:tc>
          <w:tcPr>
            <w:tcW w:w="1984" w:type="dxa"/>
            <w:vAlign w:val="bottom"/>
          </w:tcPr>
          <w:p w14:paraId="000000A7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1.551 €</w:t>
            </w:r>
          </w:p>
        </w:tc>
        <w:tc>
          <w:tcPr>
            <w:tcW w:w="1559" w:type="dxa"/>
            <w:vAlign w:val="bottom"/>
          </w:tcPr>
          <w:p w14:paraId="000000A8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1,1%</w:t>
            </w:r>
          </w:p>
        </w:tc>
        <w:tc>
          <w:tcPr>
            <w:tcW w:w="1701" w:type="dxa"/>
            <w:vAlign w:val="bottom"/>
          </w:tcPr>
          <w:p w14:paraId="000000A9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19,6%</w:t>
            </w:r>
          </w:p>
        </w:tc>
        <w:tc>
          <w:tcPr>
            <w:tcW w:w="1700" w:type="dxa"/>
            <w:vAlign w:val="bottom"/>
          </w:tcPr>
          <w:p w14:paraId="000000AA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-46,5%</w:t>
            </w:r>
          </w:p>
        </w:tc>
      </w:tr>
      <w:tr w:rsidR="00CE4D68" w14:paraId="5393973D" w14:textId="77777777" w:rsidTr="00CE4D6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0AB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Madrid</w:t>
            </w:r>
          </w:p>
        </w:tc>
        <w:tc>
          <w:tcPr>
            <w:tcW w:w="1984" w:type="dxa"/>
            <w:vAlign w:val="bottom"/>
          </w:tcPr>
          <w:p w14:paraId="000000AC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5.225 €</w:t>
            </w:r>
          </w:p>
        </w:tc>
        <w:tc>
          <w:tcPr>
            <w:tcW w:w="1559" w:type="dxa"/>
            <w:vAlign w:val="bottom"/>
          </w:tcPr>
          <w:p w14:paraId="000000AD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0,4%</w:t>
            </w:r>
          </w:p>
        </w:tc>
        <w:tc>
          <w:tcPr>
            <w:tcW w:w="1701" w:type="dxa"/>
            <w:vAlign w:val="bottom"/>
          </w:tcPr>
          <w:p w14:paraId="000000AE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19,6%</w:t>
            </w:r>
          </w:p>
        </w:tc>
        <w:tc>
          <w:tcPr>
            <w:tcW w:w="1700" w:type="dxa"/>
            <w:vAlign w:val="bottom"/>
          </w:tcPr>
          <w:p w14:paraId="000000AF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80,4%</w:t>
            </w:r>
          </w:p>
        </w:tc>
      </w:tr>
      <w:tr w:rsidR="00CE4D68" w14:paraId="601DE0CA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0B0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Santa Cruz de Tenerife</w:t>
            </w:r>
          </w:p>
        </w:tc>
        <w:tc>
          <w:tcPr>
            <w:tcW w:w="1984" w:type="dxa"/>
            <w:vAlign w:val="bottom"/>
          </w:tcPr>
          <w:p w14:paraId="000000B1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3.664 €</w:t>
            </w:r>
          </w:p>
        </w:tc>
        <w:tc>
          <w:tcPr>
            <w:tcW w:w="1559" w:type="dxa"/>
            <w:vAlign w:val="bottom"/>
          </w:tcPr>
          <w:p w14:paraId="000000B2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-0,1%</w:t>
            </w:r>
          </w:p>
        </w:tc>
        <w:tc>
          <w:tcPr>
            <w:tcW w:w="1701" w:type="dxa"/>
            <w:vAlign w:val="bottom"/>
          </w:tcPr>
          <w:p w14:paraId="000000B3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19,5%</w:t>
            </w:r>
          </w:p>
        </w:tc>
        <w:tc>
          <w:tcPr>
            <w:tcW w:w="1700" w:type="dxa"/>
            <w:vAlign w:val="bottom"/>
          </w:tcPr>
          <w:p w14:paraId="000000B4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26,5%</w:t>
            </w:r>
          </w:p>
        </w:tc>
      </w:tr>
      <w:tr w:rsidR="00CE4D68" w14:paraId="75459938" w14:textId="77777777" w:rsidTr="00CE4D6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0B5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Alicante</w:t>
            </w:r>
          </w:p>
        </w:tc>
        <w:tc>
          <w:tcPr>
            <w:tcW w:w="1984" w:type="dxa"/>
            <w:vAlign w:val="bottom"/>
          </w:tcPr>
          <w:p w14:paraId="000000B6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2.947 €</w:t>
            </w:r>
          </w:p>
        </w:tc>
        <w:tc>
          <w:tcPr>
            <w:tcW w:w="1559" w:type="dxa"/>
            <w:vAlign w:val="bottom"/>
          </w:tcPr>
          <w:p w14:paraId="000000B7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0,6%</w:t>
            </w:r>
          </w:p>
        </w:tc>
        <w:tc>
          <w:tcPr>
            <w:tcW w:w="1701" w:type="dxa"/>
            <w:vAlign w:val="bottom"/>
          </w:tcPr>
          <w:p w14:paraId="000000B8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19,5%</w:t>
            </w:r>
          </w:p>
        </w:tc>
        <w:tc>
          <w:tcPr>
            <w:tcW w:w="1700" w:type="dxa"/>
            <w:vAlign w:val="bottom"/>
          </w:tcPr>
          <w:p w14:paraId="000000B9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1,7%</w:t>
            </w:r>
          </w:p>
        </w:tc>
      </w:tr>
      <w:tr w:rsidR="00CE4D68" w14:paraId="0A13F282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0BA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Las Palmas</w:t>
            </w:r>
          </w:p>
        </w:tc>
        <w:tc>
          <w:tcPr>
            <w:tcW w:w="1984" w:type="dxa"/>
            <w:vAlign w:val="bottom"/>
          </w:tcPr>
          <w:p w14:paraId="000000BB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2.801 €</w:t>
            </w:r>
          </w:p>
        </w:tc>
        <w:tc>
          <w:tcPr>
            <w:tcW w:w="1559" w:type="dxa"/>
            <w:vAlign w:val="bottom"/>
          </w:tcPr>
          <w:p w14:paraId="000000BC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0,8%</w:t>
            </w:r>
          </w:p>
        </w:tc>
        <w:tc>
          <w:tcPr>
            <w:tcW w:w="1701" w:type="dxa"/>
            <w:vAlign w:val="bottom"/>
          </w:tcPr>
          <w:p w14:paraId="000000BD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19,1%</w:t>
            </w:r>
          </w:p>
        </w:tc>
        <w:tc>
          <w:tcPr>
            <w:tcW w:w="1700" w:type="dxa"/>
            <w:vAlign w:val="bottom"/>
          </w:tcPr>
          <w:p w14:paraId="000000BE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-3,3%</w:t>
            </w:r>
          </w:p>
        </w:tc>
      </w:tr>
      <w:tr w:rsidR="00CE4D68" w14:paraId="3A4B0DC3" w14:textId="77777777" w:rsidTr="00CE4D6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0BF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Cantabria</w:t>
            </w:r>
          </w:p>
        </w:tc>
        <w:tc>
          <w:tcPr>
            <w:tcW w:w="1984" w:type="dxa"/>
            <w:vAlign w:val="bottom"/>
          </w:tcPr>
          <w:p w14:paraId="000000C0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2.519 €</w:t>
            </w:r>
          </w:p>
        </w:tc>
        <w:tc>
          <w:tcPr>
            <w:tcW w:w="1559" w:type="dxa"/>
            <w:vAlign w:val="bottom"/>
          </w:tcPr>
          <w:p w14:paraId="000000C1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-0,7%</w:t>
            </w:r>
          </w:p>
        </w:tc>
        <w:tc>
          <w:tcPr>
            <w:tcW w:w="1701" w:type="dxa"/>
            <w:vAlign w:val="bottom"/>
          </w:tcPr>
          <w:p w14:paraId="000000C2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19,0%</w:t>
            </w:r>
          </w:p>
        </w:tc>
        <w:tc>
          <w:tcPr>
            <w:tcW w:w="1700" w:type="dxa"/>
            <w:vAlign w:val="bottom"/>
          </w:tcPr>
          <w:p w14:paraId="000000C3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-13,0%</w:t>
            </w:r>
          </w:p>
        </w:tc>
      </w:tr>
      <w:tr w:rsidR="00CE4D68" w14:paraId="6C5BD5F1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0C4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Almería</w:t>
            </w:r>
          </w:p>
        </w:tc>
        <w:tc>
          <w:tcPr>
            <w:tcW w:w="1984" w:type="dxa"/>
            <w:vAlign w:val="bottom"/>
          </w:tcPr>
          <w:p w14:paraId="000000C5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1.664 €</w:t>
            </w:r>
          </w:p>
        </w:tc>
        <w:tc>
          <w:tcPr>
            <w:tcW w:w="1559" w:type="dxa"/>
            <w:vAlign w:val="bottom"/>
          </w:tcPr>
          <w:p w14:paraId="000000C6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-0,3%</w:t>
            </w:r>
          </w:p>
        </w:tc>
        <w:tc>
          <w:tcPr>
            <w:tcW w:w="1701" w:type="dxa"/>
            <w:vAlign w:val="bottom"/>
          </w:tcPr>
          <w:p w14:paraId="000000C7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17,9%</w:t>
            </w:r>
          </w:p>
        </w:tc>
        <w:tc>
          <w:tcPr>
            <w:tcW w:w="1700" w:type="dxa"/>
            <w:vAlign w:val="bottom"/>
          </w:tcPr>
          <w:p w14:paraId="000000C8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-42,6%</w:t>
            </w:r>
          </w:p>
        </w:tc>
      </w:tr>
      <w:tr w:rsidR="00CE4D68" w14:paraId="1A2B722B" w14:textId="77777777" w:rsidTr="00CE4D6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0C9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Gipuzkoa</w:t>
            </w:r>
          </w:p>
        </w:tc>
        <w:tc>
          <w:tcPr>
            <w:tcW w:w="1984" w:type="dxa"/>
            <w:vAlign w:val="bottom"/>
          </w:tcPr>
          <w:p w14:paraId="000000CA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4.390 €</w:t>
            </w:r>
          </w:p>
        </w:tc>
        <w:tc>
          <w:tcPr>
            <w:tcW w:w="1559" w:type="dxa"/>
            <w:vAlign w:val="bottom"/>
          </w:tcPr>
          <w:p w14:paraId="000000CB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0,6%</w:t>
            </w:r>
          </w:p>
        </w:tc>
        <w:tc>
          <w:tcPr>
            <w:tcW w:w="1701" w:type="dxa"/>
            <w:vAlign w:val="bottom"/>
          </w:tcPr>
          <w:p w14:paraId="000000CC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17,9%</w:t>
            </w:r>
          </w:p>
        </w:tc>
        <w:tc>
          <w:tcPr>
            <w:tcW w:w="1700" w:type="dxa"/>
            <w:vAlign w:val="bottom"/>
          </w:tcPr>
          <w:p w14:paraId="000000CD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51,5%</w:t>
            </w:r>
          </w:p>
        </w:tc>
      </w:tr>
      <w:tr w:rsidR="00CE4D68" w14:paraId="0FC79997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0CE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Granada</w:t>
            </w:r>
          </w:p>
        </w:tc>
        <w:tc>
          <w:tcPr>
            <w:tcW w:w="1984" w:type="dxa"/>
            <w:vAlign w:val="bottom"/>
          </w:tcPr>
          <w:p w14:paraId="000000CF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2.497 €</w:t>
            </w:r>
          </w:p>
        </w:tc>
        <w:tc>
          <w:tcPr>
            <w:tcW w:w="1559" w:type="dxa"/>
            <w:vAlign w:val="bottom"/>
          </w:tcPr>
          <w:p w14:paraId="000000D0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1,2%</w:t>
            </w:r>
          </w:p>
        </w:tc>
        <w:tc>
          <w:tcPr>
            <w:tcW w:w="1701" w:type="dxa"/>
            <w:vAlign w:val="bottom"/>
          </w:tcPr>
          <w:p w14:paraId="000000D1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17,9%</w:t>
            </w:r>
          </w:p>
        </w:tc>
        <w:tc>
          <w:tcPr>
            <w:tcW w:w="1700" w:type="dxa"/>
            <w:vAlign w:val="bottom"/>
          </w:tcPr>
          <w:p w14:paraId="000000D2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-13,8%</w:t>
            </w:r>
          </w:p>
        </w:tc>
      </w:tr>
      <w:tr w:rsidR="00CE4D68" w14:paraId="775BF1A5" w14:textId="77777777" w:rsidTr="00CE4D6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0D3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Castellón</w:t>
            </w:r>
          </w:p>
        </w:tc>
        <w:tc>
          <w:tcPr>
            <w:tcW w:w="1984" w:type="dxa"/>
            <w:vAlign w:val="bottom"/>
          </w:tcPr>
          <w:p w14:paraId="000000D4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1.721 €</w:t>
            </w:r>
          </w:p>
        </w:tc>
        <w:tc>
          <w:tcPr>
            <w:tcW w:w="1559" w:type="dxa"/>
            <w:vAlign w:val="bottom"/>
          </w:tcPr>
          <w:p w14:paraId="000000D5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0,2%</w:t>
            </w:r>
          </w:p>
        </w:tc>
        <w:tc>
          <w:tcPr>
            <w:tcW w:w="1701" w:type="dxa"/>
            <w:vAlign w:val="bottom"/>
          </w:tcPr>
          <w:p w14:paraId="000000D6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17,3%</w:t>
            </w:r>
          </w:p>
        </w:tc>
        <w:tc>
          <w:tcPr>
            <w:tcW w:w="1700" w:type="dxa"/>
            <w:vAlign w:val="bottom"/>
          </w:tcPr>
          <w:p w14:paraId="000000D7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-40,6%</w:t>
            </w:r>
          </w:p>
        </w:tc>
      </w:tr>
      <w:tr w:rsidR="00CE4D68" w14:paraId="1D524533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0D8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lastRenderedPageBreak/>
              <w:t>Ávila</w:t>
            </w:r>
          </w:p>
        </w:tc>
        <w:tc>
          <w:tcPr>
            <w:tcW w:w="1984" w:type="dxa"/>
            <w:vAlign w:val="bottom"/>
          </w:tcPr>
          <w:p w14:paraId="000000D9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1.249 €</w:t>
            </w:r>
          </w:p>
        </w:tc>
        <w:tc>
          <w:tcPr>
            <w:tcW w:w="1559" w:type="dxa"/>
            <w:vAlign w:val="bottom"/>
          </w:tcPr>
          <w:p w14:paraId="000000DA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0,5%</w:t>
            </w:r>
          </w:p>
        </w:tc>
        <w:tc>
          <w:tcPr>
            <w:tcW w:w="1701" w:type="dxa"/>
            <w:vAlign w:val="bottom"/>
          </w:tcPr>
          <w:p w14:paraId="000000DB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16,1%</w:t>
            </w:r>
          </w:p>
        </w:tc>
        <w:tc>
          <w:tcPr>
            <w:tcW w:w="1700" w:type="dxa"/>
            <w:vAlign w:val="bottom"/>
          </w:tcPr>
          <w:p w14:paraId="000000DC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-56,9%</w:t>
            </w:r>
          </w:p>
        </w:tc>
      </w:tr>
      <w:tr w:rsidR="00CE4D68" w14:paraId="78356B8C" w14:textId="77777777" w:rsidTr="00CE4D6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0DD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Segovia</w:t>
            </w:r>
          </w:p>
        </w:tc>
        <w:tc>
          <w:tcPr>
            <w:tcW w:w="1984" w:type="dxa"/>
            <w:vAlign w:val="bottom"/>
          </w:tcPr>
          <w:p w14:paraId="000000DE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1.883 €</w:t>
            </w:r>
          </w:p>
        </w:tc>
        <w:tc>
          <w:tcPr>
            <w:tcW w:w="1559" w:type="dxa"/>
            <w:vAlign w:val="bottom"/>
          </w:tcPr>
          <w:p w14:paraId="000000DF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1,4%</w:t>
            </w:r>
          </w:p>
        </w:tc>
        <w:tc>
          <w:tcPr>
            <w:tcW w:w="1701" w:type="dxa"/>
            <w:vAlign w:val="bottom"/>
          </w:tcPr>
          <w:p w14:paraId="000000E0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15,8%</w:t>
            </w:r>
          </w:p>
        </w:tc>
        <w:tc>
          <w:tcPr>
            <w:tcW w:w="1700" w:type="dxa"/>
            <w:vAlign w:val="bottom"/>
          </w:tcPr>
          <w:p w14:paraId="000000E1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-35,0%</w:t>
            </w:r>
          </w:p>
        </w:tc>
      </w:tr>
      <w:tr w:rsidR="00CE4D68" w14:paraId="346BD8A4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0E2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Ourense</w:t>
            </w:r>
          </w:p>
        </w:tc>
        <w:tc>
          <w:tcPr>
            <w:tcW w:w="1984" w:type="dxa"/>
            <w:vAlign w:val="bottom"/>
          </w:tcPr>
          <w:p w14:paraId="000000E3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1.737 €</w:t>
            </w:r>
          </w:p>
        </w:tc>
        <w:tc>
          <w:tcPr>
            <w:tcW w:w="1559" w:type="dxa"/>
            <w:vAlign w:val="bottom"/>
          </w:tcPr>
          <w:p w14:paraId="000000E4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1,9%</w:t>
            </w:r>
          </w:p>
        </w:tc>
        <w:tc>
          <w:tcPr>
            <w:tcW w:w="1701" w:type="dxa"/>
            <w:vAlign w:val="bottom"/>
          </w:tcPr>
          <w:p w14:paraId="000000E5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15,6%</w:t>
            </w:r>
          </w:p>
        </w:tc>
        <w:tc>
          <w:tcPr>
            <w:tcW w:w="1700" w:type="dxa"/>
            <w:vAlign w:val="bottom"/>
          </w:tcPr>
          <w:p w14:paraId="000000E6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-40,0%</w:t>
            </w:r>
          </w:p>
        </w:tc>
      </w:tr>
      <w:tr w:rsidR="00CE4D68" w14:paraId="2862CBF1" w14:textId="77777777" w:rsidTr="00CE4D6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0E7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Guadalajara</w:t>
            </w:r>
          </w:p>
        </w:tc>
        <w:tc>
          <w:tcPr>
            <w:tcW w:w="1984" w:type="dxa"/>
            <w:vAlign w:val="bottom"/>
          </w:tcPr>
          <w:p w14:paraId="000000E8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1.927 €</w:t>
            </w:r>
          </w:p>
        </w:tc>
        <w:tc>
          <w:tcPr>
            <w:tcW w:w="1559" w:type="dxa"/>
            <w:vAlign w:val="bottom"/>
          </w:tcPr>
          <w:p w14:paraId="000000E9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-0,3%</w:t>
            </w:r>
          </w:p>
        </w:tc>
        <w:tc>
          <w:tcPr>
            <w:tcW w:w="1701" w:type="dxa"/>
            <w:vAlign w:val="bottom"/>
          </w:tcPr>
          <w:p w14:paraId="000000EA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15,0%</w:t>
            </w:r>
          </w:p>
        </w:tc>
        <w:tc>
          <w:tcPr>
            <w:tcW w:w="1700" w:type="dxa"/>
            <w:vAlign w:val="bottom"/>
          </w:tcPr>
          <w:p w14:paraId="000000EB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-33,5%</w:t>
            </w:r>
          </w:p>
        </w:tc>
      </w:tr>
      <w:tr w:rsidR="00CE4D68" w14:paraId="7136B783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0EC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Málaga</w:t>
            </w:r>
          </w:p>
        </w:tc>
        <w:tc>
          <w:tcPr>
            <w:tcW w:w="1984" w:type="dxa"/>
            <w:vAlign w:val="bottom"/>
          </w:tcPr>
          <w:p w14:paraId="000000ED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4.444 €</w:t>
            </w:r>
          </w:p>
        </w:tc>
        <w:tc>
          <w:tcPr>
            <w:tcW w:w="1559" w:type="dxa"/>
            <w:vAlign w:val="bottom"/>
          </w:tcPr>
          <w:p w14:paraId="000000EE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1,8%</w:t>
            </w:r>
          </w:p>
        </w:tc>
        <w:tc>
          <w:tcPr>
            <w:tcW w:w="1701" w:type="dxa"/>
            <w:vAlign w:val="bottom"/>
          </w:tcPr>
          <w:p w14:paraId="000000EF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14,9%</w:t>
            </w:r>
          </w:p>
        </w:tc>
        <w:tc>
          <w:tcPr>
            <w:tcW w:w="1700" w:type="dxa"/>
            <w:vAlign w:val="bottom"/>
          </w:tcPr>
          <w:p w14:paraId="000000F0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53,4%</w:t>
            </w:r>
          </w:p>
        </w:tc>
      </w:tr>
      <w:tr w:rsidR="00CE4D68" w14:paraId="5B2B0A0F" w14:textId="77777777" w:rsidTr="00CE4D6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0F1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Illes Balears</w:t>
            </w:r>
          </w:p>
        </w:tc>
        <w:tc>
          <w:tcPr>
            <w:tcW w:w="1984" w:type="dxa"/>
            <w:vAlign w:val="bottom"/>
          </w:tcPr>
          <w:p w14:paraId="000000F2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5.293 €</w:t>
            </w:r>
          </w:p>
        </w:tc>
        <w:tc>
          <w:tcPr>
            <w:tcW w:w="1559" w:type="dxa"/>
            <w:vAlign w:val="bottom"/>
          </w:tcPr>
          <w:p w14:paraId="000000F3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0,5%</w:t>
            </w:r>
          </w:p>
        </w:tc>
        <w:tc>
          <w:tcPr>
            <w:tcW w:w="1701" w:type="dxa"/>
            <w:vAlign w:val="bottom"/>
          </w:tcPr>
          <w:p w14:paraId="000000F4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14,4%</w:t>
            </w:r>
          </w:p>
        </w:tc>
        <w:tc>
          <w:tcPr>
            <w:tcW w:w="1700" w:type="dxa"/>
            <w:vAlign w:val="bottom"/>
          </w:tcPr>
          <w:p w14:paraId="000000F5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82,7%</w:t>
            </w:r>
          </w:p>
        </w:tc>
      </w:tr>
      <w:tr w:rsidR="00CE4D68" w14:paraId="1D2DC9D4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0F6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Tarragona</w:t>
            </w:r>
          </w:p>
        </w:tc>
        <w:tc>
          <w:tcPr>
            <w:tcW w:w="1984" w:type="dxa"/>
            <w:vAlign w:val="bottom"/>
          </w:tcPr>
          <w:p w14:paraId="000000F7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2.163 €</w:t>
            </w:r>
          </w:p>
        </w:tc>
        <w:tc>
          <w:tcPr>
            <w:tcW w:w="1559" w:type="dxa"/>
            <w:vAlign w:val="bottom"/>
          </w:tcPr>
          <w:p w14:paraId="000000F8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0,3%</w:t>
            </w:r>
          </w:p>
        </w:tc>
        <w:tc>
          <w:tcPr>
            <w:tcW w:w="1701" w:type="dxa"/>
            <w:vAlign w:val="bottom"/>
          </w:tcPr>
          <w:p w14:paraId="000000F9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14,1%</w:t>
            </w:r>
          </w:p>
        </w:tc>
        <w:tc>
          <w:tcPr>
            <w:tcW w:w="1700" w:type="dxa"/>
            <w:vAlign w:val="bottom"/>
          </w:tcPr>
          <w:p w14:paraId="000000FA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-25,3%</w:t>
            </w:r>
          </w:p>
        </w:tc>
      </w:tr>
      <w:tr w:rsidR="00CE4D68" w14:paraId="00A47E78" w14:textId="77777777" w:rsidTr="00CE4D6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0FB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Cádiz</w:t>
            </w:r>
          </w:p>
        </w:tc>
        <w:tc>
          <w:tcPr>
            <w:tcW w:w="1984" w:type="dxa"/>
            <w:vAlign w:val="bottom"/>
          </w:tcPr>
          <w:p w14:paraId="000000FC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2.356 €</w:t>
            </w:r>
          </w:p>
        </w:tc>
        <w:tc>
          <w:tcPr>
            <w:tcW w:w="1559" w:type="dxa"/>
            <w:vAlign w:val="bottom"/>
          </w:tcPr>
          <w:p w14:paraId="000000FD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1,4%</w:t>
            </w:r>
          </w:p>
        </w:tc>
        <w:tc>
          <w:tcPr>
            <w:tcW w:w="1701" w:type="dxa"/>
            <w:vAlign w:val="bottom"/>
          </w:tcPr>
          <w:p w14:paraId="000000FE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13,9%</w:t>
            </w:r>
          </w:p>
        </w:tc>
        <w:tc>
          <w:tcPr>
            <w:tcW w:w="1700" w:type="dxa"/>
            <w:vAlign w:val="bottom"/>
          </w:tcPr>
          <w:p w14:paraId="000000FF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-18,7%</w:t>
            </w:r>
          </w:p>
        </w:tc>
      </w:tr>
      <w:tr w:rsidR="00CE4D68" w14:paraId="41947AC4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00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Córdoba</w:t>
            </w:r>
          </w:p>
        </w:tc>
        <w:tc>
          <w:tcPr>
            <w:tcW w:w="1984" w:type="dxa"/>
            <w:vAlign w:val="bottom"/>
          </w:tcPr>
          <w:p w14:paraId="00000101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1.623 €</w:t>
            </w:r>
          </w:p>
        </w:tc>
        <w:tc>
          <w:tcPr>
            <w:tcW w:w="1559" w:type="dxa"/>
            <w:vAlign w:val="bottom"/>
          </w:tcPr>
          <w:p w14:paraId="00000102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-0,1%</w:t>
            </w:r>
          </w:p>
        </w:tc>
        <w:tc>
          <w:tcPr>
            <w:tcW w:w="1701" w:type="dxa"/>
            <w:vAlign w:val="bottom"/>
          </w:tcPr>
          <w:p w14:paraId="00000103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13,8%</w:t>
            </w:r>
          </w:p>
        </w:tc>
        <w:tc>
          <w:tcPr>
            <w:tcW w:w="1700" w:type="dxa"/>
            <w:vAlign w:val="bottom"/>
          </w:tcPr>
          <w:p w14:paraId="00000104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-44,0%</w:t>
            </w:r>
          </w:p>
        </w:tc>
      </w:tr>
      <w:tr w:rsidR="00CE4D68" w14:paraId="78367B61" w14:textId="77777777" w:rsidTr="00CE4D6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05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Sevilla</w:t>
            </w:r>
          </w:p>
        </w:tc>
        <w:tc>
          <w:tcPr>
            <w:tcW w:w="1984" w:type="dxa"/>
            <w:vAlign w:val="bottom"/>
          </w:tcPr>
          <w:p w14:paraId="00000106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2.142 €</w:t>
            </w:r>
          </w:p>
        </w:tc>
        <w:tc>
          <w:tcPr>
            <w:tcW w:w="1559" w:type="dxa"/>
            <w:vAlign w:val="bottom"/>
          </w:tcPr>
          <w:p w14:paraId="00000107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0,8%</w:t>
            </w:r>
          </w:p>
        </w:tc>
        <w:tc>
          <w:tcPr>
            <w:tcW w:w="1701" w:type="dxa"/>
            <w:vAlign w:val="bottom"/>
          </w:tcPr>
          <w:p w14:paraId="00000108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13,6%</w:t>
            </w:r>
          </w:p>
        </w:tc>
        <w:tc>
          <w:tcPr>
            <w:tcW w:w="1700" w:type="dxa"/>
            <w:vAlign w:val="bottom"/>
          </w:tcPr>
          <w:p w14:paraId="00000109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-26,1%</w:t>
            </w:r>
          </w:p>
        </w:tc>
      </w:tr>
      <w:tr w:rsidR="00CE4D68" w14:paraId="5D283D29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0A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Barcelona</w:t>
            </w:r>
          </w:p>
        </w:tc>
        <w:tc>
          <w:tcPr>
            <w:tcW w:w="1984" w:type="dxa"/>
            <w:vAlign w:val="bottom"/>
          </w:tcPr>
          <w:p w14:paraId="0000010B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3.554 €</w:t>
            </w:r>
          </w:p>
        </w:tc>
        <w:tc>
          <w:tcPr>
            <w:tcW w:w="1559" w:type="dxa"/>
            <w:vAlign w:val="bottom"/>
          </w:tcPr>
          <w:p w14:paraId="0000010C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-0,2%</w:t>
            </w:r>
          </w:p>
        </w:tc>
        <w:tc>
          <w:tcPr>
            <w:tcW w:w="1701" w:type="dxa"/>
            <w:vAlign w:val="bottom"/>
          </w:tcPr>
          <w:p w14:paraId="0000010D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12,4%</w:t>
            </w:r>
          </w:p>
        </w:tc>
        <w:tc>
          <w:tcPr>
            <w:tcW w:w="1700" w:type="dxa"/>
            <w:vAlign w:val="bottom"/>
          </w:tcPr>
          <w:p w14:paraId="0000010E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22,7%</w:t>
            </w:r>
          </w:p>
        </w:tc>
      </w:tr>
      <w:tr w:rsidR="00CE4D68" w14:paraId="6BBF30B9" w14:textId="77777777" w:rsidTr="00CE4D6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0F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Huesca</w:t>
            </w:r>
          </w:p>
        </w:tc>
        <w:tc>
          <w:tcPr>
            <w:tcW w:w="1984" w:type="dxa"/>
            <w:vAlign w:val="bottom"/>
          </w:tcPr>
          <w:p w14:paraId="00000110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1.856 €</w:t>
            </w:r>
          </w:p>
        </w:tc>
        <w:tc>
          <w:tcPr>
            <w:tcW w:w="1559" w:type="dxa"/>
            <w:vAlign w:val="bottom"/>
          </w:tcPr>
          <w:p w14:paraId="00000111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-0,5%</w:t>
            </w:r>
          </w:p>
        </w:tc>
        <w:tc>
          <w:tcPr>
            <w:tcW w:w="1701" w:type="dxa"/>
            <w:vAlign w:val="bottom"/>
          </w:tcPr>
          <w:p w14:paraId="00000112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11,7%</w:t>
            </w:r>
          </w:p>
        </w:tc>
        <w:tc>
          <w:tcPr>
            <w:tcW w:w="1700" w:type="dxa"/>
            <w:vAlign w:val="bottom"/>
          </w:tcPr>
          <w:p w14:paraId="00000113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-35,9%</w:t>
            </w:r>
          </w:p>
        </w:tc>
      </w:tr>
      <w:tr w:rsidR="00CE4D68" w14:paraId="20BD1974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14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Lleida</w:t>
            </w:r>
          </w:p>
        </w:tc>
        <w:tc>
          <w:tcPr>
            <w:tcW w:w="1984" w:type="dxa"/>
            <w:vAlign w:val="bottom"/>
          </w:tcPr>
          <w:p w14:paraId="00000115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1.637 €</w:t>
            </w:r>
          </w:p>
        </w:tc>
        <w:tc>
          <w:tcPr>
            <w:tcW w:w="1559" w:type="dxa"/>
            <w:vAlign w:val="bottom"/>
          </w:tcPr>
          <w:p w14:paraId="00000116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-0,9%</w:t>
            </w:r>
          </w:p>
        </w:tc>
        <w:tc>
          <w:tcPr>
            <w:tcW w:w="1701" w:type="dxa"/>
            <w:vAlign w:val="bottom"/>
          </w:tcPr>
          <w:p w14:paraId="00000117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11,2%</w:t>
            </w:r>
          </w:p>
        </w:tc>
        <w:tc>
          <w:tcPr>
            <w:tcW w:w="1700" w:type="dxa"/>
            <w:vAlign w:val="bottom"/>
          </w:tcPr>
          <w:p w14:paraId="00000118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-43,5%</w:t>
            </w:r>
          </w:p>
        </w:tc>
      </w:tr>
      <w:tr w:rsidR="00CE4D68" w14:paraId="11862E84" w14:textId="77777777" w:rsidTr="00CE4D6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19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Burgos</w:t>
            </w:r>
          </w:p>
        </w:tc>
        <w:tc>
          <w:tcPr>
            <w:tcW w:w="1984" w:type="dxa"/>
            <w:vAlign w:val="bottom"/>
          </w:tcPr>
          <w:p w14:paraId="0000011A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1.744 €</w:t>
            </w:r>
          </w:p>
        </w:tc>
        <w:tc>
          <w:tcPr>
            <w:tcW w:w="1559" w:type="dxa"/>
            <w:vAlign w:val="bottom"/>
          </w:tcPr>
          <w:p w14:paraId="0000011B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2,0%</w:t>
            </w:r>
          </w:p>
        </w:tc>
        <w:tc>
          <w:tcPr>
            <w:tcW w:w="1701" w:type="dxa"/>
            <w:vAlign w:val="bottom"/>
          </w:tcPr>
          <w:p w14:paraId="0000011C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11,0%</w:t>
            </w:r>
          </w:p>
        </w:tc>
        <w:tc>
          <w:tcPr>
            <w:tcW w:w="1700" w:type="dxa"/>
            <w:vAlign w:val="bottom"/>
          </w:tcPr>
          <w:p w14:paraId="0000011D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-39,8%</w:t>
            </w:r>
          </w:p>
        </w:tc>
      </w:tr>
      <w:tr w:rsidR="00CE4D68" w14:paraId="63B33A58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1E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Girona</w:t>
            </w:r>
          </w:p>
        </w:tc>
        <w:tc>
          <w:tcPr>
            <w:tcW w:w="1984" w:type="dxa"/>
            <w:vAlign w:val="bottom"/>
          </w:tcPr>
          <w:p w14:paraId="0000011F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3.030 €</w:t>
            </w:r>
          </w:p>
        </w:tc>
        <w:tc>
          <w:tcPr>
            <w:tcW w:w="1559" w:type="dxa"/>
            <w:vAlign w:val="bottom"/>
          </w:tcPr>
          <w:p w14:paraId="00000120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0,7%</w:t>
            </w:r>
          </w:p>
        </w:tc>
        <w:tc>
          <w:tcPr>
            <w:tcW w:w="1701" w:type="dxa"/>
            <w:vAlign w:val="bottom"/>
          </w:tcPr>
          <w:p w14:paraId="00000121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10,8%</w:t>
            </w:r>
          </w:p>
        </w:tc>
        <w:tc>
          <w:tcPr>
            <w:tcW w:w="1700" w:type="dxa"/>
            <w:vAlign w:val="bottom"/>
          </w:tcPr>
          <w:p w14:paraId="00000122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4,6%</w:t>
            </w:r>
          </w:p>
        </w:tc>
      </w:tr>
      <w:tr w:rsidR="00CE4D68" w14:paraId="6DD22B3E" w14:textId="77777777" w:rsidTr="00CE4D6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23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Pontevedra</w:t>
            </w:r>
          </w:p>
        </w:tc>
        <w:tc>
          <w:tcPr>
            <w:tcW w:w="1984" w:type="dxa"/>
            <w:vAlign w:val="bottom"/>
          </w:tcPr>
          <w:p w14:paraId="00000124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2.600 €</w:t>
            </w:r>
          </w:p>
        </w:tc>
        <w:tc>
          <w:tcPr>
            <w:tcW w:w="1559" w:type="dxa"/>
            <w:vAlign w:val="bottom"/>
          </w:tcPr>
          <w:p w14:paraId="00000125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0,2%</w:t>
            </w:r>
          </w:p>
        </w:tc>
        <w:tc>
          <w:tcPr>
            <w:tcW w:w="1701" w:type="dxa"/>
            <w:vAlign w:val="bottom"/>
          </w:tcPr>
          <w:p w14:paraId="00000126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10,1%</w:t>
            </w:r>
          </w:p>
        </w:tc>
        <w:tc>
          <w:tcPr>
            <w:tcW w:w="1700" w:type="dxa"/>
            <w:vAlign w:val="bottom"/>
          </w:tcPr>
          <w:p w14:paraId="00000127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-10,3%</w:t>
            </w:r>
          </w:p>
        </w:tc>
      </w:tr>
      <w:tr w:rsidR="00CE4D68" w14:paraId="32D1CB3B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28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Zaragoza</w:t>
            </w:r>
          </w:p>
        </w:tc>
        <w:tc>
          <w:tcPr>
            <w:tcW w:w="1984" w:type="dxa"/>
            <w:vAlign w:val="bottom"/>
          </w:tcPr>
          <w:p w14:paraId="00000129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2.003 €</w:t>
            </w:r>
          </w:p>
        </w:tc>
        <w:tc>
          <w:tcPr>
            <w:tcW w:w="1559" w:type="dxa"/>
            <w:vAlign w:val="bottom"/>
          </w:tcPr>
          <w:p w14:paraId="0000012A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1,0%</w:t>
            </w:r>
          </w:p>
        </w:tc>
        <w:tc>
          <w:tcPr>
            <w:tcW w:w="1701" w:type="dxa"/>
            <w:vAlign w:val="bottom"/>
          </w:tcPr>
          <w:p w14:paraId="0000012B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9,6%</w:t>
            </w:r>
          </w:p>
        </w:tc>
        <w:tc>
          <w:tcPr>
            <w:tcW w:w="1700" w:type="dxa"/>
            <w:vAlign w:val="bottom"/>
          </w:tcPr>
          <w:p w14:paraId="0000012C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-30,8%</w:t>
            </w:r>
          </w:p>
        </w:tc>
      </w:tr>
      <w:tr w:rsidR="00CE4D68" w14:paraId="356E6AE1" w14:textId="77777777" w:rsidTr="00CE4D6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2D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Albacete</w:t>
            </w:r>
          </w:p>
        </w:tc>
        <w:tc>
          <w:tcPr>
            <w:tcW w:w="1984" w:type="dxa"/>
            <w:vAlign w:val="bottom"/>
          </w:tcPr>
          <w:p w14:paraId="0000012E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1.575 €</w:t>
            </w:r>
          </w:p>
        </w:tc>
        <w:tc>
          <w:tcPr>
            <w:tcW w:w="1559" w:type="dxa"/>
            <w:vAlign w:val="bottom"/>
          </w:tcPr>
          <w:p w14:paraId="0000012F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-0,7%</w:t>
            </w:r>
          </w:p>
        </w:tc>
        <w:tc>
          <w:tcPr>
            <w:tcW w:w="1701" w:type="dxa"/>
            <w:vAlign w:val="bottom"/>
          </w:tcPr>
          <w:p w14:paraId="00000130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9,3%</w:t>
            </w:r>
          </w:p>
        </w:tc>
        <w:tc>
          <w:tcPr>
            <w:tcW w:w="1700" w:type="dxa"/>
            <w:vAlign w:val="bottom"/>
          </w:tcPr>
          <w:p w14:paraId="00000131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-45,6%</w:t>
            </w:r>
          </w:p>
        </w:tc>
      </w:tr>
      <w:tr w:rsidR="00CE4D68" w14:paraId="68070869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32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Toledo</w:t>
            </w:r>
          </w:p>
        </w:tc>
        <w:tc>
          <w:tcPr>
            <w:tcW w:w="1984" w:type="dxa"/>
            <w:vAlign w:val="bottom"/>
          </w:tcPr>
          <w:p w14:paraId="00000133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1.245 €</w:t>
            </w:r>
          </w:p>
        </w:tc>
        <w:tc>
          <w:tcPr>
            <w:tcW w:w="1559" w:type="dxa"/>
            <w:vAlign w:val="bottom"/>
          </w:tcPr>
          <w:p w14:paraId="00000134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0,0%</w:t>
            </w:r>
          </w:p>
        </w:tc>
        <w:tc>
          <w:tcPr>
            <w:tcW w:w="1701" w:type="dxa"/>
            <w:vAlign w:val="bottom"/>
          </w:tcPr>
          <w:p w14:paraId="00000135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9,0%</w:t>
            </w:r>
          </w:p>
        </w:tc>
        <w:tc>
          <w:tcPr>
            <w:tcW w:w="1700" w:type="dxa"/>
            <w:vAlign w:val="bottom"/>
          </w:tcPr>
          <w:p w14:paraId="00000136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-57,0%</w:t>
            </w:r>
          </w:p>
        </w:tc>
      </w:tr>
      <w:tr w:rsidR="00CE4D68" w14:paraId="70DA99B4" w14:textId="77777777" w:rsidTr="00CE4D6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37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Ciudad Real</w:t>
            </w:r>
          </w:p>
        </w:tc>
        <w:tc>
          <w:tcPr>
            <w:tcW w:w="1984" w:type="dxa"/>
            <w:vAlign w:val="bottom"/>
          </w:tcPr>
          <w:p w14:paraId="00000138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1.039 €</w:t>
            </w:r>
          </w:p>
        </w:tc>
        <w:tc>
          <w:tcPr>
            <w:tcW w:w="1559" w:type="dxa"/>
            <w:vAlign w:val="bottom"/>
          </w:tcPr>
          <w:p w14:paraId="00000139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1,7%</w:t>
            </w:r>
          </w:p>
        </w:tc>
        <w:tc>
          <w:tcPr>
            <w:tcW w:w="1701" w:type="dxa"/>
            <w:vAlign w:val="bottom"/>
          </w:tcPr>
          <w:p w14:paraId="0000013A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9,0%</w:t>
            </w:r>
          </w:p>
        </w:tc>
        <w:tc>
          <w:tcPr>
            <w:tcW w:w="1700" w:type="dxa"/>
            <w:vAlign w:val="bottom"/>
          </w:tcPr>
          <w:p w14:paraId="0000013B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-64,1%</w:t>
            </w:r>
          </w:p>
        </w:tc>
      </w:tr>
      <w:tr w:rsidR="00CE4D68" w14:paraId="0D478E5F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3C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Bizkaia</w:t>
            </w:r>
          </w:p>
        </w:tc>
        <w:tc>
          <w:tcPr>
            <w:tcW w:w="1984" w:type="dxa"/>
            <w:vAlign w:val="bottom"/>
          </w:tcPr>
          <w:p w14:paraId="0000013D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3.461 €</w:t>
            </w:r>
          </w:p>
        </w:tc>
        <w:tc>
          <w:tcPr>
            <w:tcW w:w="1559" w:type="dxa"/>
            <w:vAlign w:val="bottom"/>
          </w:tcPr>
          <w:p w14:paraId="0000013E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-0,3%</w:t>
            </w:r>
          </w:p>
        </w:tc>
        <w:tc>
          <w:tcPr>
            <w:tcW w:w="1701" w:type="dxa"/>
            <w:vAlign w:val="bottom"/>
          </w:tcPr>
          <w:p w14:paraId="0000013F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8,5%</w:t>
            </w:r>
          </w:p>
        </w:tc>
        <w:tc>
          <w:tcPr>
            <w:tcW w:w="1700" w:type="dxa"/>
            <w:vAlign w:val="bottom"/>
          </w:tcPr>
          <w:p w14:paraId="00000140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19,5%</w:t>
            </w:r>
          </w:p>
        </w:tc>
      </w:tr>
      <w:tr w:rsidR="00CE4D68" w14:paraId="0D2D8F48" w14:textId="77777777" w:rsidTr="00CE4D6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41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Salamanca</w:t>
            </w:r>
          </w:p>
        </w:tc>
        <w:tc>
          <w:tcPr>
            <w:tcW w:w="1984" w:type="dxa"/>
            <w:vAlign w:val="bottom"/>
          </w:tcPr>
          <w:p w14:paraId="00000142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1.923 €</w:t>
            </w:r>
          </w:p>
        </w:tc>
        <w:tc>
          <w:tcPr>
            <w:tcW w:w="1559" w:type="dxa"/>
            <w:vAlign w:val="bottom"/>
          </w:tcPr>
          <w:p w14:paraId="00000143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0,8%</w:t>
            </w:r>
          </w:p>
        </w:tc>
        <w:tc>
          <w:tcPr>
            <w:tcW w:w="1701" w:type="dxa"/>
            <w:vAlign w:val="bottom"/>
          </w:tcPr>
          <w:p w14:paraId="00000144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8,5%</w:t>
            </w:r>
          </w:p>
        </w:tc>
        <w:tc>
          <w:tcPr>
            <w:tcW w:w="1700" w:type="dxa"/>
            <w:vAlign w:val="bottom"/>
          </w:tcPr>
          <w:p w14:paraId="00000145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-33,6%</w:t>
            </w:r>
          </w:p>
        </w:tc>
      </w:tr>
      <w:tr w:rsidR="00CE4D68" w14:paraId="27DE7C8C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46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Araba - Álava</w:t>
            </w:r>
          </w:p>
        </w:tc>
        <w:tc>
          <w:tcPr>
            <w:tcW w:w="1984" w:type="dxa"/>
            <w:vAlign w:val="bottom"/>
          </w:tcPr>
          <w:p w14:paraId="00000147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2.907 €</w:t>
            </w:r>
          </w:p>
        </w:tc>
        <w:tc>
          <w:tcPr>
            <w:tcW w:w="1559" w:type="dxa"/>
            <w:vAlign w:val="bottom"/>
          </w:tcPr>
          <w:p w14:paraId="00000148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0,8%</w:t>
            </w:r>
          </w:p>
        </w:tc>
        <w:tc>
          <w:tcPr>
            <w:tcW w:w="1701" w:type="dxa"/>
            <w:vAlign w:val="bottom"/>
          </w:tcPr>
          <w:p w14:paraId="00000149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7,7%</w:t>
            </w:r>
          </w:p>
        </w:tc>
        <w:tc>
          <w:tcPr>
            <w:tcW w:w="1700" w:type="dxa"/>
            <w:vAlign w:val="bottom"/>
          </w:tcPr>
          <w:p w14:paraId="0000014A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0,3%</w:t>
            </w:r>
          </w:p>
        </w:tc>
      </w:tr>
      <w:tr w:rsidR="00CE4D68" w14:paraId="1D5CD3F7" w14:textId="77777777" w:rsidTr="00CE4D6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4B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La Rioja</w:t>
            </w:r>
          </w:p>
        </w:tc>
        <w:tc>
          <w:tcPr>
            <w:tcW w:w="1984" w:type="dxa"/>
            <w:vAlign w:val="bottom"/>
          </w:tcPr>
          <w:p w14:paraId="0000014C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1.802 €</w:t>
            </w:r>
          </w:p>
        </w:tc>
        <w:tc>
          <w:tcPr>
            <w:tcW w:w="1559" w:type="dxa"/>
            <w:vAlign w:val="bottom"/>
          </w:tcPr>
          <w:p w14:paraId="0000014D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-0,8%</w:t>
            </w:r>
          </w:p>
        </w:tc>
        <w:tc>
          <w:tcPr>
            <w:tcW w:w="1701" w:type="dxa"/>
            <w:vAlign w:val="bottom"/>
          </w:tcPr>
          <w:p w14:paraId="0000014E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7,5%</w:t>
            </w:r>
          </w:p>
        </w:tc>
        <w:tc>
          <w:tcPr>
            <w:tcW w:w="1700" w:type="dxa"/>
            <w:vAlign w:val="bottom"/>
          </w:tcPr>
          <w:p w14:paraId="0000014F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-37,8%</w:t>
            </w:r>
          </w:p>
        </w:tc>
      </w:tr>
      <w:tr w:rsidR="00CE4D68" w14:paraId="0D3C5AB0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50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Badajoz</w:t>
            </w:r>
          </w:p>
        </w:tc>
        <w:tc>
          <w:tcPr>
            <w:tcW w:w="1984" w:type="dxa"/>
            <w:vAlign w:val="bottom"/>
          </w:tcPr>
          <w:p w14:paraId="00000151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1.309 €</w:t>
            </w:r>
          </w:p>
        </w:tc>
        <w:tc>
          <w:tcPr>
            <w:tcW w:w="1559" w:type="dxa"/>
            <w:vAlign w:val="bottom"/>
          </w:tcPr>
          <w:p w14:paraId="00000152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1,0%</w:t>
            </w:r>
          </w:p>
        </w:tc>
        <w:tc>
          <w:tcPr>
            <w:tcW w:w="1701" w:type="dxa"/>
            <w:vAlign w:val="bottom"/>
          </w:tcPr>
          <w:p w14:paraId="00000153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7,4%</w:t>
            </w:r>
          </w:p>
        </w:tc>
        <w:tc>
          <w:tcPr>
            <w:tcW w:w="1700" w:type="dxa"/>
            <w:vAlign w:val="bottom"/>
          </w:tcPr>
          <w:p w14:paraId="00000154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-54,8%</w:t>
            </w:r>
          </w:p>
        </w:tc>
      </w:tr>
      <w:tr w:rsidR="00CE4D68" w14:paraId="5F6FCF01" w14:textId="77777777" w:rsidTr="00CE4D6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55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Huelva</w:t>
            </w:r>
          </w:p>
        </w:tc>
        <w:tc>
          <w:tcPr>
            <w:tcW w:w="1984" w:type="dxa"/>
            <w:vAlign w:val="bottom"/>
          </w:tcPr>
          <w:p w14:paraId="00000156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1.662 €</w:t>
            </w:r>
          </w:p>
        </w:tc>
        <w:tc>
          <w:tcPr>
            <w:tcW w:w="1559" w:type="dxa"/>
            <w:vAlign w:val="bottom"/>
          </w:tcPr>
          <w:p w14:paraId="00000157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-1,5%</w:t>
            </w:r>
          </w:p>
        </w:tc>
        <w:tc>
          <w:tcPr>
            <w:tcW w:w="1701" w:type="dxa"/>
            <w:vAlign w:val="bottom"/>
          </w:tcPr>
          <w:p w14:paraId="00000158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7,2%</w:t>
            </w:r>
          </w:p>
        </w:tc>
        <w:tc>
          <w:tcPr>
            <w:tcW w:w="1700" w:type="dxa"/>
            <w:vAlign w:val="bottom"/>
          </w:tcPr>
          <w:p w14:paraId="00000159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-42,6%</w:t>
            </w:r>
          </w:p>
        </w:tc>
      </w:tr>
      <w:tr w:rsidR="00CE4D68" w14:paraId="5F6534A0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5A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Palencia</w:t>
            </w:r>
          </w:p>
        </w:tc>
        <w:tc>
          <w:tcPr>
            <w:tcW w:w="1984" w:type="dxa"/>
            <w:vAlign w:val="bottom"/>
          </w:tcPr>
          <w:p w14:paraId="0000015B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1.600 €</w:t>
            </w:r>
          </w:p>
        </w:tc>
        <w:tc>
          <w:tcPr>
            <w:tcW w:w="1559" w:type="dxa"/>
            <w:vAlign w:val="bottom"/>
          </w:tcPr>
          <w:p w14:paraId="0000015C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0,5%</w:t>
            </w:r>
          </w:p>
        </w:tc>
        <w:tc>
          <w:tcPr>
            <w:tcW w:w="1701" w:type="dxa"/>
            <w:vAlign w:val="bottom"/>
          </w:tcPr>
          <w:p w14:paraId="0000015D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7,0%</w:t>
            </w:r>
          </w:p>
        </w:tc>
        <w:tc>
          <w:tcPr>
            <w:tcW w:w="1700" w:type="dxa"/>
            <w:vAlign w:val="bottom"/>
          </w:tcPr>
          <w:p w14:paraId="0000015E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-44,8%</w:t>
            </w:r>
          </w:p>
        </w:tc>
      </w:tr>
      <w:tr w:rsidR="00CE4D68" w14:paraId="48A0C11B" w14:textId="77777777" w:rsidTr="00CE4D6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5F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Valladolid</w:t>
            </w:r>
          </w:p>
        </w:tc>
        <w:tc>
          <w:tcPr>
            <w:tcW w:w="1984" w:type="dxa"/>
            <w:vAlign w:val="bottom"/>
          </w:tcPr>
          <w:p w14:paraId="00000160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1.959 €</w:t>
            </w:r>
          </w:p>
        </w:tc>
        <w:tc>
          <w:tcPr>
            <w:tcW w:w="1559" w:type="dxa"/>
            <w:vAlign w:val="bottom"/>
          </w:tcPr>
          <w:p w14:paraId="00000161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-0,6%</w:t>
            </w:r>
          </w:p>
        </w:tc>
        <w:tc>
          <w:tcPr>
            <w:tcW w:w="1701" w:type="dxa"/>
            <w:vAlign w:val="bottom"/>
          </w:tcPr>
          <w:p w14:paraId="00000162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6,9%</w:t>
            </w:r>
          </w:p>
        </w:tc>
        <w:tc>
          <w:tcPr>
            <w:tcW w:w="1700" w:type="dxa"/>
            <w:vAlign w:val="bottom"/>
          </w:tcPr>
          <w:p w14:paraId="00000163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-32,4%</w:t>
            </w:r>
          </w:p>
        </w:tc>
      </w:tr>
      <w:tr w:rsidR="00CE4D68" w14:paraId="5A1D00A0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64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Navarra</w:t>
            </w:r>
          </w:p>
        </w:tc>
        <w:tc>
          <w:tcPr>
            <w:tcW w:w="1984" w:type="dxa"/>
            <w:vAlign w:val="bottom"/>
          </w:tcPr>
          <w:p w14:paraId="00000165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2.203 €</w:t>
            </w:r>
          </w:p>
        </w:tc>
        <w:tc>
          <w:tcPr>
            <w:tcW w:w="1559" w:type="dxa"/>
            <w:vAlign w:val="bottom"/>
          </w:tcPr>
          <w:p w14:paraId="00000166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2,3%</w:t>
            </w:r>
          </w:p>
        </w:tc>
        <w:tc>
          <w:tcPr>
            <w:tcW w:w="1701" w:type="dxa"/>
            <w:vAlign w:val="bottom"/>
          </w:tcPr>
          <w:p w14:paraId="00000167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6,7%</w:t>
            </w:r>
          </w:p>
        </w:tc>
        <w:tc>
          <w:tcPr>
            <w:tcW w:w="1700" w:type="dxa"/>
            <w:vAlign w:val="bottom"/>
          </w:tcPr>
          <w:p w14:paraId="00000168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-23,9%</w:t>
            </w:r>
          </w:p>
        </w:tc>
      </w:tr>
      <w:tr w:rsidR="00CE4D68" w14:paraId="25ADCF78" w14:textId="77777777" w:rsidTr="00CE4D6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69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Cáceres</w:t>
            </w:r>
          </w:p>
        </w:tc>
        <w:tc>
          <w:tcPr>
            <w:tcW w:w="1984" w:type="dxa"/>
            <w:vAlign w:val="bottom"/>
          </w:tcPr>
          <w:p w14:paraId="0000016A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1.311 €</w:t>
            </w:r>
          </w:p>
        </w:tc>
        <w:tc>
          <w:tcPr>
            <w:tcW w:w="1559" w:type="dxa"/>
            <w:vAlign w:val="bottom"/>
          </w:tcPr>
          <w:p w14:paraId="0000016B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-0,2%</w:t>
            </w:r>
          </w:p>
        </w:tc>
        <w:tc>
          <w:tcPr>
            <w:tcW w:w="1701" w:type="dxa"/>
            <w:vAlign w:val="bottom"/>
          </w:tcPr>
          <w:p w14:paraId="0000016C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5,5%</w:t>
            </w:r>
          </w:p>
        </w:tc>
        <w:tc>
          <w:tcPr>
            <w:tcW w:w="1700" w:type="dxa"/>
            <w:vAlign w:val="bottom"/>
          </w:tcPr>
          <w:p w14:paraId="0000016D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-54,8%</w:t>
            </w:r>
          </w:p>
        </w:tc>
      </w:tr>
      <w:tr w:rsidR="00CE4D68" w14:paraId="17FD042A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6E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Jaén</w:t>
            </w:r>
          </w:p>
        </w:tc>
        <w:tc>
          <w:tcPr>
            <w:tcW w:w="1984" w:type="dxa"/>
            <w:vAlign w:val="bottom"/>
          </w:tcPr>
          <w:p w14:paraId="0000016F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1.045 €</w:t>
            </w:r>
          </w:p>
        </w:tc>
        <w:tc>
          <w:tcPr>
            <w:tcW w:w="1559" w:type="dxa"/>
            <w:vAlign w:val="bottom"/>
          </w:tcPr>
          <w:p w14:paraId="00000170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0,8%</w:t>
            </w:r>
          </w:p>
        </w:tc>
        <w:tc>
          <w:tcPr>
            <w:tcW w:w="1701" w:type="dxa"/>
            <w:vAlign w:val="bottom"/>
          </w:tcPr>
          <w:p w14:paraId="00000171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5,4%</w:t>
            </w:r>
          </w:p>
        </w:tc>
        <w:tc>
          <w:tcPr>
            <w:tcW w:w="1700" w:type="dxa"/>
            <w:vAlign w:val="bottom"/>
          </w:tcPr>
          <w:p w14:paraId="00000172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-63,9%</w:t>
            </w:r>
          </w:p>
        </w:tc>
      </w:tr>
      <w:tr w:rsidR="00CE4D68" w14:paraId="6095835E" w14:textId="77777777" w:rsidTr="00CE4D6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73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Cuenca</w:t>
            </w:r>
          </w:p>
        </w:tc>
        <w:tc>
          <w:tcPr>
            <w:tcW w:w="1984" w:type="dxa"/>
            <w:vAlign w:val="bottom"/>
          </w:tcPr>
          <w:p w14:paraId="00000174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1.320 €</w:t>
            </w:r>
          </w:p>
        </w:tc>
        <w:tc>
          <w:tcPr>
            <w:tcW w:w="1559" w:type="dxa"/>
            <w:vAlign w:val="bottom"/>
          </w:tcPr>
          <w:p w14:paraId="00000175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0,8%</w:t>
            </w:r>
          </w:p>
        </w:tc>
        <w:tc>
          <w:tcPr>
            <w:tcW w:w="1701" w:type="dxa"/>
            <w:vAlign w:val="bottom"/>
          </w:tcPr>
          <w:p w14:paraId="00000176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4,6%</w:t>
            </w:r>
          </w:p>
        </w:tc>
        <w:tc>
          <w:tcPr>
            <w:tcW w:w="1700" w:type="dxa"/>
            <w:vAlign w:val="bottom"/>
          </w:tcPr>
          <w:p w14:paraId="00000177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-54,4%</w:t>
            </w:r>
          </w:p>
        </w:tc>
      </w:tr>
      <w:tr w:rsidR="00CE4D68" w14:paraId="62DD8B42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78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Lugo</w:t>
            </w:r>
          </w:p>
        </w:tc>
        <w:tc>
          <w:tcPr>
            <w:tcW w:w="1984" w:type="dxa"/>
            <w:vAlign w:val="bottom"/>
          </w:tcPr>
          <w:p w14:paraId="00000179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1.453 €</w:t>
            </w:r>
          </w:p>
        </w:tc>
        <w:tc>
          <w:tcPr>
            <w:tcW w:w="1559" w:type="dxa"/>
            <w:vAlign w:val="bottom"/>
          </w:tcPr>
          <w:p w14:paraId="0000017A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-0,8%</w:t>
            </w:r>
          </w:p>
        </w:tc>
        <w:tc>
          <w:tcPr>
            <w:tcW w:w="1701" w:type="dxa"/>
            <w:vAlign w:val="bottom"/>
          </w:tcPr>
          <w:p w14:paraId="0000017B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2,3%</w:t>
            </w:r>
          </w:p>
        </w:tc>
        <w:tc>
          <w:tcPr>
            <w:tcW w:w="1700" w:type="dxa"/>
            <w:vAlign w:val="bottom"/>
          </w:tcPr>
          <w:p w14:paraId="0000017C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-49,8%</w:t>
            </w:r>
          </w:p>
        </w:tc>
      </w:tr>
      <w:tr w:rsidR="00CE4D68" w14:paraId="68344235" w14:textId="77777777" w:rsidTr="00CE4D6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7D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Soria</w:t>
            </w:r>
          </w:p>
        </w:tc>
        <w:tc>
          <w:tcPr>
            <w:tcW w:w="1984" w:type="dxa"/>
            <w:vAlign w:val="bottom"/>
          </w:tcPr>
          <w:p w14:paraId="0000017E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1.461 €</w:t>
            </w:r>
          </w:p>
        </w:tc>
        <w:tc>
          <w:tcPr>
            <w:tcW w:w="1559" w:type="dxa"/>
            <w:vAlign w:val="bottom"/>
          </w:tcPr>
          <w:p w14:paraId="0000017F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1,9%</w:t>
            </w:r>
          </w:p>
        </w:tc>
        <w:tc>
          <w:tcPr>
            <w:tcW w:w="1701" w:type="dxa"/>
            <w:vAlign w:val="bottom"/>
          </w:tcPr>
          <w:p w14:paraId="00000180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1,3%</w:t>
            </w:r>
          </w:p>
        </w:tc>
        <w:tc>
          <w:tcPr>
            <w:tcW w:w="1700" w:type="dxa"/>
            <w:vAlign w:val="bottom"/>
          </w:tcPr>
          <w:p w14:paraId="00000181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-49,6%</w:t>
            </w:r>
          </w:p>
        </w:tc>
      </w:tr>
      <w:tr w:rsidR="00CE4D68" w14:paraId="37DCE649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82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Zamora</w:t>
            </w:r>
          </w:p>
        </w:tc>
        <w:tc>
          <w:tcPr>
            <w:tcW w:w="1984" w:type="dxa"/>
            <w:vAlign w:val="bottom"/>
          </w:tcPr>
          <w:p w14:paraId="00000183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1.142 €</w:t>
            </w:r>
          </w:p>
        </w:tc>
        <w:tc>
          <w:tcPr>
            <w:tcW w:w="1559" w:type="dxa"/>
            <w:vAlign w:val="bottom"/>
          </w:tcPr>
          <w:p w14:paraId="00000184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-4,0%</w:t>
            </w:r>
          </w:p>
        </w:tc>
        <w:tc>
          <w:tcPr>
            <w:tcW w:w="1701" w:type="dxa"/>
            <w:vAlign w:val="bottom"/>
          </w:tcPr>
          <w:p w14:paraId="00000185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-4,2%</w:t>
            </w:r>
          </w:p>
        </w:tc>
        <w:tc>
          <w:tcPr>
            <w:tcW w:w="1700" w:type="dxa"/>
            <w:vAlign w:val="bottom"/>
          </w:tcPr>
          <w:p w14:paraId="00000186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-60,6%</w:t>
            </w:r>
          </w:p>
        </w:tc>
      </w:tr>
      <w:tr w:rsidR="00CE4D68" w14:paraId="307B621A" w14:textId="77777777" w:rsidTr="00CE4D6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bottom"/>
          </w:tcPr>
          <w:p w14:paraId="00000187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Teruel</w:t>
            </w:r>
          </w:p>
        </w:tc>
        <w:tc>
          <w:tcPr>
            <w:tcW w:w="1984" w:type="dxa"/>
            <w:vAlign w:val="bottom"/>
          </w:tcPr>
          <w:p w14:paraId="00000188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1.139 €</w:t>
            </w:r>
          </w:p>
        </w:tc>
        <w:tc>
          <w:tcPr>
            <w:tcW w:w="1559" w:type="dxa"/>
            <w:vAlign w:val="bottom"/>
          </w:tcPr>
          <w:p w14:paraId="00000189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0,7%</w:t>
            </w:r>
          </w:p>
        </w:tc>
        <w:tc>
          <w:tcPr>
            <w:tcW w:w="1701" w:type="dxa"/>
            <w:vAlign w:val="bottom"/>
          </w:tcPr>
          <w:p w14:paraId="0000018A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-10,7%</w:t>
            </w:r>
          </w:p>
        </w:tc>
        <w:tc>
          <w:tcPr>
            <w:tcW w:w="1700" w:type="dxa"/>
            <w:vAlign w:val="bottom"/>
          </w:tcPr>
          <w:p w14:paraId="0000018B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-60,7%</w:t>
            </w:r>
          </w:p>
        </w:tc>
      </w:tr>
    </w:tbl>
    <w:p w14:paraId="0000018C" w14:textId="77777777" w:rsidR="00CE4D6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t>Capitales de provincias</w:t>
      </w:r>
    </w:p>
    <w:p w14:paraId="0000018D" w14:textId="77777777" w:rsidR="00CE4D6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En las 50 capitales de provincia con variación interanual sube el precio en enero respecto al año anterior, de los cuales </w:t>
      </w:r>
      <w:r>
        <w:rPr>
          <w:rFonts w:ascii="Open Sans" w:eastAsia="Open Sans" w:hAnsi="Open Sans" w:cs="Open Sans"/>
          <w:b/>
          <w:bCs/>
          <w:color w:val="000000"/>
        </w:rPr>
        <w:t>16 de las capitales tienen un incremento superior al 15% y las primeras son:</w:t>
      </w:r>
      <w:r>
        <w:rPr>
          <w:rFonts w:ascii="Open Sans" w:eastAsia="Open Sans" w:hAnsi="Open Sans" w:cs="Open Sans"/>
          <w:color w:val="000000"/>
        </w:rPr>
        <w:t xml:space="preserve"> León capital (26,2%), Santa Cruz de Tenerife capital (24,9%), Ciudad Real capital (22,9%), Guadalajara capital (22,2%), Córdoba capital (18,7%), Ourense capital (18,4%), A Coruña capital (17,8%), Salamanca </w:t>
      </w:r>
      <w:r>
        <w:rPr>
          <w:rFonts w:ascii="Open Sans" w:eastAsia="Open Sans" w:hAnsi="Open Sans" w:cs="Open Sans"/>
          <w:color w:val="000000"/>
        </w:rPr>
        <w:lastRenderedPageBreak/>
        <w:t>capital (16,7%), Segovia capital (16,5%), Palencia capital (16,2%), Jaén capital (15,9%), Ávila capital (15,6%), Madrid capital (15,5%), Valencia capital (15,3%), Castellón de la Plana / Castelló de la Plana (15,2%) y Murcia capital (15,1%).</w:t>
      </w:r>
    </w:p>
    <w:p w14:paraId="0000018E" w14:textId="77777777" w:rsidR="00CE4D6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Respecto a los precios, las diez capitales de provincia más caras son: Donostia - San Sebastián con 7.156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seguida de Madrid capital con 6.465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Barcelona capital con 5.362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Palma de Mallorca con 5.219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Málaga capital con 4.262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Bilbao con 3.861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Valencia capital con 3.573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A Coruña capital con 3.427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Cádiz capital con 3.251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y Pamplona / Iruña con 3.144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. Por otro lado, la capital con el precio medio más económico es Zaragoza con 1.415 euros el metro cuadrado.</w:t>
      </w:r>
    </w:p>
    <w:p w14:paraId="0000018F" w14:textId="77777777" w:rsidR="00CE4D6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t>Capitales de provincias de mayor a menor incremento interanual</w:t>
      </w:r>
    </w:p>
    <w:tbl>
      <w:tblPr>
        <w:tblStyle w:val="a1"/>
        <w:tblW w:w="9063" w:type="dxa"/>
        <w:tblInd w:w="-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268"/>
        <w:gridCol w:w="1984"/>
        <w:gridCol w:w="1559"/>
        <w:gridCol w:w="1692"/>
      </w:tblGrid>
      <w:tr w:rsidR="00CE4D68" w14:paraId="086F4249" w14:textId="77777777" w:rsidTr="00CE4D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00000190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Provincia</w:t>
            </w:r>
          </w:p>
        </w:tc>
        <w:tc>
          <w:tcPr>
            <w:tcW w:w="2268" w:type="dxa"/>
            <w:vAlign w:val="center"/>
          </w:tcPr>
          <w:p w14:paraId="00000191" w14:textId="77777777" w:rsidR="00CE4D68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Municipio</w:t>
            </w:r>
          </w:p>
        </w:tc>
        <w:tc>
          <w:tcPr>
            <w:tcW w:w="1984" w:type="dxa"/>
            <w:vAlign w:val="center"/>
          </w:tcPr>
          <w:p w14:paraId="00000192" w14:textId="77777777" w:rsidR="00CE4D6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Enero 2026</w:t>
            </w:r>
          </w:p>
          <w:p w14:paraId="00000193" w14:textId="77777777" w:rsidR="00CE4D6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(euros/m²)</w:t>
            </w:r>
          </w:p>
        </w:tc>
        <w:tc>
          <w:tcPr>
            <w:tcW w:w="1559" w:type="dxa"/>
            <w:vAlign w:val="center"/>
          </w:tcPr>
          <w:p w14:paraId="00000194" w14:textId="77777777" w:rsidR="00CE4D6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mensual (%)</w:t>
            </w:r>
          </w:p>
        </w:tc>
        <w:tc>
          <w:tcPr>
            <w:tcW w:w="1692" w:type="dxa"/>
            <w:vAlign w:val="center"/>
          </w:tcPr>
          <w:p w14:paraId="00000195" w14:textId="77777777" w:rsidR="00CE4D6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interanual (%)</w:t>
            </w:r>
          </w:p>
        </w:tc>
      </w:tr>
      <w:tr w:rsidR="00CE4D68" w14:paraId="2F4E9EE5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196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León</w:t>
            </w:r>
          </w:p>
        </w:tc>
        <w:tc>
          <w:tcPr>
            <w:tcW w:w="2268" w:type="dxa"/>
            <w:vAlign w:val="bottom"/>
          </w:tcPr>
          <w:p w14:paraId="00000197" w14:textId="77777777" w:rsidR="00CE4D68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León capital</w:t>
            </w:r>
          </w:p>
        </w:tc>
        <w:tc>
          <w:tcPr>
            <w:tcW w:w="1984" w:type="dxa"/>
            <w:vAlign w:val="bottom"/>
          </w:tcPr>
          <w:p w14:paraId="00000198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2.134 €</w:t>
            </w:r>
          </w:p>
        </w:tc>
        <w:tc>
          <w:tcPr>
            <w:tcW w:w="1559" w:type="dxa"/>
            <w:vAlign w:val="bottom"/>
          </w:tcPr>
          <w:p w14:paraId="00000199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2,4%</w:t>
            </w:r>
          </w:p>
        </w:tc>
        <w:tc>
          <w:tcPr>
            <w:tcW w:w="1692" w:type="dxa"/>
            <w:vAlign w:val="bottom"/>
          </w:tcPr>
          <w:p w14:paraId="0000019A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26,2%</w:t>
            </w:r>
          </w:p>
        </w:tc>
      </w:tr>
      <w:tr w:rsidR="00CE4D68" w14:paraId="76328FC1" w14:textId="77777777" w:rsidTr="00CE4D68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19B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Santa Cruz de Tenerife</w:t>
            </w:r>
          </w:p>
        </w:tc>
        <w:tc>
          <w:tcPr>
            <w:tcW w:w="2268" w:type="dxa"/>
            <w:vAlign w:val="bottom"/>
          </w:tcPr>
          <w:p w14:paraId="0000019C" w14:textId="77777777" w:rsidR="00CE4D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Santa Cruz de Tenerife capital</w:t>
            </w:r>
          </w:p>
        </w:tc>
        <w:tc>
          <w:tcPr>
            <w:tcW w:w="1984" w:type="dxa"/>
            <w:vAlign w:val="bottom"/>
          </w:tcPr>
          <w:p w14:paraId="0000019D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2.897 €</w:t>
            </w:r>
          </w:p>
        </w:tc>
        <w:tc>
          <w:tcPr>
            <w:tcW w:w="1559" w:type="dxa"/>
            <w:vAlign w:val="bottom"/>
          </w:tcPr>
          <w:p w14:paraId="0000019E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-2,3%</w:t>
            </w:r>
          </w:p>
        </w:tc>
        <w:tc>
          <w:tcPr>
            <w:tcW w:w="1692" w:type="dxa"/>
            <w:vAlign w:val="bottom"/>
          </w:tcPr>
          <w:p w14:paraId="0000019F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24,9%</w:t>
            </w:r>
          </w:p>
        </w:tc>
      </w:tr>
      <w:tr w:rsidR="00CE4D68" w14:paraId="0CC1D3C8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1A0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Ciudad Real</w:t>
            </w:r>
          </w:p>
        </w:tc>
        <w:tc>
          <w:tcPr>
            <w:tcW w:w="2268" w:type="dxa"/>
            <w:vAlign w:val="bottom"/>
          </w:tcPr>
          <w:p w14:paraId="000001A1" w14:textId="77777777" w:rsidR="00CE4D68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Ciudad Real capital</w:t>
            </w:r>
          </w:p>
        </w:tc>
        <w:tc>
          <w:tcPr>
            <w:tcW w:w="1984" w:type="dxa"/>
            <w:vAlign w:val="bottom"/>
          </w:tcPr>
          <w:p w14:paraId="000001A2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1.736 €</w:t>
            </w:r>
          </w:p>
        </w:tc>
        <w:tc>
          <w:tcPr>
            <w:tcW w:w="1559" w:type="dxa"/>
            <w:vAlign w:val="bottom"/>
          </w:tcPr>
          <w:p w14:paraId="000001A3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3,3%</w:t>
            </w:r>
          </w:p>
        </w:tc>
        <w:tc>
          <w:tcPr>
            <w:tcW w:w="1692" w:type="dxa"/>
            <w:vAlign w:val="bottom"/>
          </w:tcPr>
          <w:p w14:paraId="000001A4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22,9%</w:t>
            </w:r>
          </w:p>
        </w:tc>
      </w:tr>
      <w:tr w:rsidR="00CE4D68" w14:paraId="02E64C18" w14:textId="77777777" w:rsidTr="00CE4D68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1A5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Guadalajara</w:t>
            </w:r>
          </w:p>
        </w:tc>
        <w:tc>
          <w:tcPr>
            <w:tcW w:w="2268" w:type="dxa"/>
            <w:vAlign w:val="bottom"/>
          </w:tcPr>
          <w:p w14:paraId="000001A6" w14:textId="77777777" w:rsidR="00CE4D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Guadalajara capital</w:t>
            </w:r>
          </w:p>
        </w:tc>
        <w:tc>
          <w:tcPr>
            <w:tcW w:w="1984" w:type="dxa"/>
            <w:vAlign w:val="bottom"/>
          </w:tcPr>
          <w:p w14:paraId="000001A7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2.431 €</w:t>
            </w:r>
          </w:p>
        </w:tc>
        <w:tc>
          <w:tcPr>
            <w:tcW w:w="1559" w:type="dxa"/>
            <w:vAlign w:val="bottom"/>
          </w:tcPr>
          <w:p w14:paraId="000001A8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1,0%</w:t>
            </w:r>
          </w:p>
        </w:tc>
        <w:tc>
          <w:tcPr>
            <w:tcW w:w="1692" w:type="dxa"/>
            <w:vAlign w:val="bottom"/>
          </w:tcPr>
          <w:p w14:paraId="000001A9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22,2%</w:t>
            </w:r>
          </w:p>
        </w:tc>
      </w:tr>
      <w:tr w:rsidR="00CE4D68" w14:paraId="5801DD2E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1AA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Córdoba</w:t>
            </w:r>
          </w:p>
        </w:tc>
        <w:tc>
          <w:tcPr>
            <w:tcW w:w="2268" w:type="dxa"/>
            <w:vAlign w:val="bottom"/>
          </w:tcPr>
          <w:p w14:paraId="000001AB" w14:textId="77777777" w:rsidR="00CE4D68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Córdoba capital</w:t>
            </w:r>
          </w:p>
        </w:tc>
        <w:tc>
          <w:tcPr>
            <w:tcW w:w="1984" w:type="dxa"/>
            <w:vAlign w:val="bottom"/>
          </w:tcPr>
          <w:p w14:paraId="000001AC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2.027 €</w:t>
            </w:r>
          </w:p>
        </w:tc>
        <w:tc>
          <w:tcPr>
            <w:tcW w:w="1559" w:type="dxa"/>
            <w:vAlign w:val="bottom"/>
          </w:tcPr>
          <w:p w14:paraId="000001AD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1,6%</w:t>
            </w:r>
          </w:p>
        </w:tc>
        <w:tc>
          <w:tcPr>
            <w:tcW w:w="1692" w:type="dxa"/>
            <w:vAlign w:val="bottom"/>
          </w:tcPr>
          <w:p w14:paraId="000001AE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18,7%</w:t>
            </w:r>
          </w:p>
        </w:tc>
      </w:tr>
      <w:tr w:rsidR="00CE4D68" w14:paraId="5A8F0AD9" w14:textId="77777777" w:rsidTr="00CE4D68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1AF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Ourense</w:t>
            </w:r>
          </w:p>
        </w:tc>
        <w:tc>
          <w:tcPr>
            <w:tcW w:w="2268" w:type="dxa"/>
            <w:vAlign w:val="bottom"/>
          </w:tcPr>
          <w:p w14:paraId="000001B0" w14:textId="77777777" w:rsidR="00CE4D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Ourense capital</w:t>
            </w:r>
          </w:p>
        </w:tc>
        <w:tc>
          <w:tcPr>
            <w:tcW w:w="1984" w:type="dxa"/>
            <w:vAlign w:val="bottom"/>
          </w:tcPr>
          <w:p w14:paraId="000001B1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2.009 €</w:t>
            </w:r>
          </w:p>
        </w:tc>
        <w:tc>
          <w:tcPr>
            <w:tcW w:w="1559" w:type="dxa"/>
            <w:vAlign w:val="bottom"/>
          </w:tcPr>
          <w:p w14:paraId="000001B2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0,6%</w:t>
            </w:r>
          </w:p>
        </w:tc>
        <w:tc>
          <w:tcPr>
            <w:tcW w:w="1692" w:type="dxa"/>
            <w:vAlign w:val="bottom"/>
          </w:tcPr>
          <w:p w14:paraId="000001B3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18,4%</w:t>
            </w:r>
          </w:p>
        </w:tc>
      </w:tr>
      <w:tr w:rsidR="00CE4D68" w14:paraId="3CA00F35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1B4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 Coruña</w:t>
            </w:r>
          </w:p>
        </w:tc>
        <w:tc>
          <w:tcPr>
            <w:tcW w:w="2268" w:type="dxa"/>
            <w:vAlign w:val="bottom"/>
          </w:tcPr>
          <w:p w14:paraId="000001B5" w14:textId="77777777" w:rsidR="00CE4D68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A Coruña capital</w:t>
            </w:r>
          </w:p>
        </w:tc>
        <w:tc>
          <w:tcPr>
            <w:tcW w:w="1984" w:type="dxa"/>
            <w:vAlign w:val="bottom"/>
          </w:tcPr>
          <w:p w14:paraId="000001B6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3.427 €</w:t>
            </w:r>
          </w:p>
        </w:tc>
        <w:tc>
          <w:tcPr>
            <w:tcW w:w="1559" w:type="dxa"/>
            <w:vAlign w:val="bottom"/>
          </w:tcPr>
          <w:p w14:paraId="000001B7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1,0%</w:t>
            </w:r>
          </w:p>
        </w:tc>
        <w:tc>
          <w:tcPr>
            <w:tcW w:w="1692" w:type="dxa"/>
            <w:vAlign w:val="bottom"/>
          </w:tcPr>
          <w:p w14:paraId="000001B8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17,8%</w:t>
            </w:r>
          </w:p>
        </w:tc>
      </w:tr>
      <w:tr w:rsidR="00CE4D68" w14:paraId="63743F11" w14:textId="77777777" w:rsidTr="00CE4D68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1B9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Salamanca</w:t>
            </w:r>
          </w:p>
        </w:tc>
        <w:tc>
          <w:tcPr>
            <w:tcW w:w="2268" w:type="dxa"/>
            <w:vAlign w:val="bottom"/>
          </w:tcPr>
          <w:p w14:paraId="000001BA" w14:textId="77777777" w:rsidR="00CE4D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Salamanca capital</w:t>
            </w:r>
          </w:p>
        </w:tc>
        <w:tc>
          <w:tcPr>
            <w:tcW w:w="1984" w:type="dxa"/>
            <w:vAlign w:val="bottom"/>
          </w:tcPr>
          <w:p w14:paraId="000001BB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2.545 €</w:t>
            </w:r>
          </w:p>
        </w:tc>
        <w:tc>
          <w:tcPr>
            <w:tcW w:w="1559" w:type="dxa"/>
            <w:vAlign w:val="bottom"/>
          </w:tcPr>
          <w:p w14:paraId="000001BC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0,3%</w:t>
            </w:r>
          </w:p>
        </w:tc>
        <w:tc>
          <w:tcPr>
            <w:tcW w:w="1692" w:type="dxa"/>
            <w:vAlign w:val="bottom"/>
          </w:tcPr>
          <w:p w14:paraId="000001BD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16,7%</w:t>
            </w:r>
          </w:p>
        </w:tc>
      </w:tr>
      <w:tr w:rsidR="00CE4D68" w14:paraId="7DA44EB5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1BE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Segovia</w:t>
            </w:r>
          </w:p>
        </w:tc>
        <w:tc>
          <w:tcPr>
            <w:tcW w:w="2268" w:type="dxa"/>
            <w:vAlign w:val="bottom"/>
          </w:tcPr>
          <w:p w14:paraId="000001BF" w14:textId="77777777" w:rsidR="00CE4D68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Segovia capital</w:t>
            </w:r>
          </w:p>
        </w:tc>
        <w:tc>
          <w:tcPr>
            <w:tcW w:w="1984" w:type="dxa"/>
            <w:vAlign w:val="bottom"/>
          </w:tcPr>
          <w:p w14:paraId="000001C0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2.388 €</w:t>
            </w:r>
          </w:p>
        </w:tc>
        <w:tc>
          <w:tcPr>
            <w:tcW w:w="1559" w:type="dxa"/>
            <w:vAlign w:val="bottom"/>
          </w:tcPr>
          <w:p w14:paraId="000001C1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-1,3%</w:t>
            </w:r>
          </w:p>
        </w:tc>
        <w:tc>
          <w:tcPr>
            <w:tcW w:w="1692" w:type="dxa"/>
            <w:vAlign w:val="bottom"/>
          </w:tcPr>
          <w:p w14:paraId="000001C2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16,5%</w:t>
            </w:r>
          </w:p>
        </w:tc>
      </w:tr>
      <w:tr w:rsidR="00CE4D68" w14:paraId="236C664C" w14:textId="77777777" w:rsidTr="00CE4D68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1C3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Palencia</w:t>
            </w:r>
          </w:p>
        </w:tc>
        <w:tc>
          <w:tcPr>
            <w:tcW w:w="2268" w:type="dxa"/>
            <w:vAlign w:val="bottom"/>
          </w:tcPr>
          <w:p w14:paraId="000001C4" w14:textId="77777777" w:rsidR="00CE4D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Palencia capital</w:t>
            </w:r>
          </w:p>
        </w:tc>
        <w:tc>
          <w:tcPr>
            <w:tcW w:w="1984" w:type="dxa"/>
            <w:vAlign w:val="bottom"/>
          </w:tcPr>
          <w:p w14:paraId="000001C5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1.870 €</w:t>
            </w:r>
          </w:p>
        </w:tc>
        <w:tc>
          <w:tcPr>
            <w:tcW w:w="1559" w:type="dxa"/>
            <w:vAlign w:val="bottom"/>
          </w:tcPr>
          <w:p w14:paraId="000001C6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1,0%</w:t>
            </w:r>
          </w:p>
        </w:tc>
        <w:tc>
          <w:tcPr>
            <w:tcW w:w="1692" w:type="dxa"/>
            <w:vAlign w:val="bottom"/>
          </w:tcPr>
          <w:p w14:paraId="000001C7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16,2%</w:t>
            </w:r>
          </w:p>
        </w:tc>
      </w:tr>
      <w:tr w:rsidR="00CE4D68" w14:paraId="109D44DC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1C8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Jaén</w:t>
            </w:r>
          </w:p>
        </w:tc>
        <w:tc>
          <w:tcPr>
            <w:tcW w:w="2268" w:type="dxa"/>
            <w:vAlign w:val="bottom"/>
          </w:tcPr>
          <w:p w14:paraId="000001C9" w14:textId="77777777" w:rsidR="00CE4D68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Jaén capital</w:t>
            </w:r>
          </w:p>
        </w:tc>
        <w:tc>
          <w:tcPr>
            <w:tcW w:w="1984" w:type="dxa"/>
            <w:vAlign w:val="bottom"/>
          </w:tcPr>
          <w:p w14:paraId="000001CA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1.619 €</w:t>
            </w:r>
          </w:p>
        </w:tc>
        <w:tc>
          <w:tcPr>
            <w:tcW w:w="1559" w:type="dxa"/>
            <w:vAlign w:val="bottom"/>
          </w:tcPr>
          <w:p w14:paraId="000001CB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-0,1%</w:t>
            </w:r>
          </w:p>
        </w:tc>
        <w:tc>
          <w:tcPr>
            <w:tcW w:w="1692" w:type="dxa"/>
            <w:vAlign w:val="bottom"/>
          </w:tcPr>
          <w:p w14:paraId="000001CC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15,9%</w:t>
            </w:r>
          </w:p>
        </w:tc>
      </w:tr>
      <w:tr w:rsidR="00CE4D68" w14:paraId="7C6757D4" w14:textId="77777777" w:rsidTr="00CE4D68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1CD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Ávila</w:t>
            </w:r>
          </w:p>
        </w:tc>
        <w:tc>
          <w:tcPr>
            <w:tcW w:w="2268" w:type="dxa"/>
            <w:vAlign w:val="bottom"/>
          </w:tcPr>
          <w:p w14:paraId="000001CE" w14:textId="77777777" w:rsidR="00CE4D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Ávila capital</w:t>
            </w:r>
          </w:p>
        </w:tc>
        <w:tc>
          <w:tcPr>
            <w:tcW w:w="1984" w:type="dxa"/>
            <w:vAlign w:val="bottom"/>
          </w:tcPr>
          <w:p w14:paraId="000001CF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1.694 €</w:t>
            </w:r>
          </w:p>
        </w:tc>
        <w:tc>
          <w:tcPr>
            <w:tcW w:w="1559" w:type="dxa"/>
            <w:vAlign w:val="bottom"/>
          </w:tcPr>
          <w:p w14:paraId="000001D0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0,9%</w:t>
            </w:r>
          </w:p>
        </w:tc>
        <w:tc>
          <w:tcPr>
            <w:tcW w:w="1692" w:type="dxa"/>
            <w:vAlign w:val="bottom"/>
          </w:tcPr>
          <w:p w14:paraId="000001D1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15,6%</w:t>
            </w:r>
          </w:p>
        </w:tc>
      </w:tr>
      <w:tr w:rsidR="00CE4D68" w14:paraId="23A14ACA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1D2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Madrid</w:t>
            </w:r>
          </w:p>
        </w:tc>
        <w:tc>
          <w:tcPr>
            <w:tcW w:w="2268" w:type="dxa"/>
            <w:vAlign w:val="bottom"/>
          </w:tcPr>
          <w:p w14:paraId="000001D3" w14:textId="77777777" w:rsidR="00CE4D68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Madrid capital</w:t>
            </w:r>
          </w:p>
        </w:tc>
        <w:tc>
          <w:tcPr>
            <w:tcW w:w="1984" w:type="dxa"/>
            <w:vAlign w:val="bottom"/>
          </w:tcPr>
          <w:p w14:paraId="000001D4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6.465 €</w:t>
            </w:r>
          </w:p>
        </w:tc>
        <w:tc>
          <w:tcPr>
            <w:tcW w:w="1559" w:type="dxa"/>
            <w:vAlign w:val="bottom"/>
          </w:tcPr>
          <w:p w14:paraId="000001D5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692" w:type="dxa"/>
            <w:vAlign w:val="bottom"/>
          </w:tcPr>
          <w:p w14:paraId="000001D6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15,5%</w:t>
            </w:r>
          </w:p>
        </w:tc>
      </w:tr>
      <w:tr w:rsidR="00CE4D68" w14:paraId="7DBEFB13" w14:textId="77777777" w:rsidTr="00CE4D68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1D7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Valencia</w:t>
            </w:r>
          </w:p>
        </w:tc>
        <w:tc>
          <w:tcPr>
            <w:tcW w:w="2268" w:type="dxa"/>
            <w:vAlign w:val="bottom"/>
          </w:tcPr>
          <w:p w14:paraId="000001D8" w14:textId="77777777" w:rsidR="00CE4D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Valencia capital</w:t>
            </w:r>
          </w:p>
        </w:tc>
        <w:tc>
          <w:tcPr>
            <w:tcW w:w="1984" w:type="dxa"/>
            <w:vAlign w:val="bottom"/>
          </w:tcPr>
          <w:p w14:paraId="000001D9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3.573 €</w:t>
            </w:r>
          </w:p>
        </w:tc>
        <w:tc>
          <w:tcPr>
            <w:tcW w:w="1559" w:type="dxa"/>
            <w:vAlign w:val="bottom"/>
          </w:tcPr>
          <w:p w14:paraId="000001DA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0,9%</w:t>
            </w:r>
          </w:p>
        </w:tc>
        <w:tc>
          <w:tcPr>
            <w:tcW w:w="1692" w:type="dxa"/>
            <w:vAlign w:val="bottom"/>
          </w:tcPr>
          <w:p w14:paraId="000001DB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15,3%</w:t>
            </w:r>
          </w:p>
        </w:tc>
      </w:tr>
      <w:tr w:rsidR="00CE4D68" w14:paraId="22B303FC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1DC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Castellón</w:t>
            </w:r>
          </w:p>
        </w:tc>
        <w:tc>
          <w:tcPr>
            <w:tcW w:w="2268" w:type="dxa"/>
            <w:vAlign w:val="bottom"/>
          </w:tcPr>
          <w:p w14:paraId="000001DD" w14:textId="77777777" w:rsidR="00CE4D68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Castellón de la Plana / Castelló de la Plana</w:t>
            </w:r>
          </w:p>
        </w:tc>
        <w:tc>
          <w:tcPr>
            <w:tcW w:w="1984" w:type="dxa"/>
            <w:vAlign w:val="bottom"/>
          </w:tcPr>
          <w:p w14:paraId="000001DE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1.875 €</w:t>
            </w:r>
          </w:p>
        </w:tc>
        <w:tc>
          <w:tcPr>
            <w:tcW w:w="1559" w:type="dxa"/>
            <w:vAlign w:val="bottom"/>
          </w:tcPr>
          <w:p w14:paraId="000001DF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0,7%</w:t>
            </w:r>
          </w:p>
        </w:tc>
        <w:tc>
          <w:tcPr>
            <w:tcW w:w="1692" w:type="dxa"/>
            <w:vAlign w:val="bottom"/>
          </w:tcPr>
          <w:p w14:paraId="000001E0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15,2%</w:t>
            </w:r>
          </w:p>
        </w:tc>
      </w:tr>
      <w:tr w:rsidR="00CE4D68" w14:paraId="48ACAC98" w14:textId="77777777" w:rsidTr="00CE4D68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1E1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Murcia</w:t>
            </w:r>
          </w:p>
        </w:tc>
        <w:tc>
          <w:tcPr>
            <w:tcW w:w="2268" w:type="dxa"/>
            <w:vAlign w:val="bottom"/>
          </w:tcPr>
          <w:p w14:paraId="000001E2" w14:textId="77777777" w:rsidR="00CE4D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Murcia capital</w:t>
            </w:r>
          </w:p>
        </w:tc>
        <w:tc>
          <w:tcPr>
            <w:tcW w:w="1984" w:type="dxa"/>
            <w:vAlign w:val="bottom"/>
          </w:tcPr>
          <w:p w14:paraId="000001E3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1.945 €</w:t>
            </w:r>
          </w:p>
        </w:tc>
        <w:tc>
          <w:tcPr>
            <w:tcW w:w="1559" w:type="dxa"/>
            <w:vAlign w:val="bottom"/>
          </w:tcPr>
          <w:p w14:paraId="000001E4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-0,6%</w:t>
            </w:r>
          </w:p>
        </w:tc>
        <w:tc>
          <w:tcPr>
            <w:tcW w:w="1692" w:type="dxa"/>
            <w:vAlign w:val="bottom"/>
          </w:tcPr>
          <w:p w14:paraId="000001E5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15,1%</w:t>
            </w:r>
          </w:p>
        </w:tc>
      </w:tr>
      <w:tr w:rsidR="00CE4D68" w14:paraId="23661917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1E6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Las Palmas</w:t>
            </w:r>
          </w:p>
        </w:tc>
        <w:tc>
          <w:tcPr>
            <w:tcW w:w="2268" w:type="dxa"/>
            <w:vAlign w:val="bottom"/>
          </w:tcPr>
          <w:p w14:paraId="000001E7" w14:textId="77777777" w:rsidR="00CE4D68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Las Palmas de Gran Canaria</w:t>
            </w:r>
          </w:p>
        </w:tc>
        <w:tc>
          <w:tcPr>
            <w:tcW w:w="1984" w:type="dxa"/>
            <w:vAlign w:val="bottom"/>
          </w:tcPr>
          <w:p w14:paraId="000001E8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3.078 €</w:t>
            </w:r>
          </w:p>
        </w:tc>
        <w:tc>
          <w:tcPr>
            <w:tcW w:w="1559" w:type="dxa"/>
            <w:vAlign w:val="bottom"/>
          </w:tcPr>
          <w:p w14:paraId="000001E9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1,2%</w:t>
            </w:r>
          </w:p>
        </w:tc>
        <w:tc>
          <w:tcPr>
            <w:tcW w:w="1692" w:type="dxa"/>
            <w:vAlign w:val="bottom"/>
          </w:tcPr>
          <w:p w14:paraId="000001EA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14,4%</w:t>
            </w:r>
          </w:p>
        </w:tc>
      </w:tr>
      <w:tr w:rsidR="00CE4D68" w14:paraId="1EDD40FA" w14:textId="77777777" w:rsidTr="00CE4D68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1EB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Asturias</w:t>
            </w:r>
          </w:p>
        </w:tc>
        <w:tc>
          <w:tcPr>
            <w:tcW w:w="2268" w:type="dxa"/>
            <w:vAlign w:val="bottom"/>
          </w:tcPr>
          <w:p w14:paraId="000001EC" w14:textId="77777777" w:rsidR="00CE4D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Oviedo</w:t>
            </w:r>
          </w:p>
        </w:tc>
        <w:tc>
          <w:tcPr>
            <w:tcW w:w="1984" w:type="dxa"/>
            <w:vAlign w:val="bottom"/>
          </w:tcPr>
          <w:p w14:paraId="000001ED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2.518 €</w:t>
            </w:r>
          </w:p>
        </w:tc>
        <w:tc>
          <w:tcPr>
            <w:tcW w:w="1559" w:type="dxa"/>
            <w:vAlign w:val="bottom"/>
          </w:tcPr>
          <w:p w14:paraId="000001EE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1,9%</w:t>
            </w:r>
          </w:p>
        </w:tc>
        <w:tc>
          <w:tcPr>
            <w:tcW w:w="1692" w:type="dxa"/>
            <w:vAlign w:val="bottom"/>
          </w:tcPr>
          <w:p w14:paraId="000001EF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14,1%</w:t>
            </w:r>
          </w:p>
        </w:tc>
      </w:tr>
      <w:tr w:rsidR="00CE4D68" w14:paraId="29128473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1F0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Cáceres</w:t>
            </w:r>
          </w:p>
        </w:tc>
        <w:tc>
          <w:tcPr>
            <w:tcW w:w="2268" w:type="dxa"/>
            <w:vAlign w:val="bottom"/>
          </w:tcPr>
          <w:p w14:paraId="000001F1" w14:textId="77777777" w:rsidR="00CE4D68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Cáceres capital</w:t>
            </w:r>
          </w:p>
        </w:tc>
        <w:tc>
          <w:tcPr>
            <w:tcW w:w="1984" w:type="dxa"/>
            <w:vAlign w:val="bottom"/>
          </w:tcPr>
          <w:p w14:paraId="000001F2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1.716 €</w:t>
            </w:r>
          </w:p>
        </w:tc>
        <w:tc>
          <w:tcPr>
            <w:tcW w:w="1559" w:type="dxa"/>
            <w:vAlign w:val="bottom"/>
          </w:tcPr>
          <w:p w14:paraId="000001F3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0,8%</w:t>
            </w:r>
          </w:p>
        </w:tc>
        <w:tc>
          <w:tcPr>
            <w:tcW w:w="1692" w:type="dxa"/>
            <w:vAlign w:val="bottom"/>
          </w:tcPr>
          <w:p w14:paraId="000001F4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13,8%</w:t>
            </w:r>
          </w:p>
        </w:tc>
      </w:tr>
      <w:tr w:rsidR="00CE4D68" w14:paraId="466FEA25" w14:textId="77777777" w:rsidTr="00CE4D68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1F5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Granada</w:t>
            </w:r>
          </w:p>
        </w:tc>
        <w:tc>
          <w:tcPr>
            <w:tcW w:w="2268" w:type="dxa"/>
            <w:vAlign w:val="bottom"/>
          </w:tcPr>
          <w:p w14:paraId="000001F6" w14:textId="77777777" w:rsidR="00CE4D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Granada capital</w:t>
            </w:r>
          </w:p>
        </w:tc>
        <w:tc>
          <w:tcPr>
            <w:tcW w:w="1984" w:type="dxa"/>
            <w:vAlign w:val="bottom"/>
          </w:tcPr>
          <w:p w14:paraId="000001F7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2.967 €</w:t>
            </w:r>
          </w:p>
        </w:tc>
        <w:tc>
          <w:tcPr>
            <w:tcW w:w="1559" w:type="dxa"/>
            <w:vAlign w:val="bottom"/>
          </w:tcPr>
          <w:p w14:paraId="000001F8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2,0%</w:t>
            </w:r>
          </w:p>
        </w:tc>
        <w:tc>
          <w:tcPr>
            <w:tcW w:w="1692" w:type="dxa"/>
            <w:vAlign w:val="bottom"/>
          </w:tcPr>
          <w:p w14:paraId="000001F9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13,7%</w:t>
            </w:r>
          </w:p>
        </w:tc>
      </w:tr>
      <w:tr w:rsidR="00CE4D68" w14:paraId="4E767A63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1FA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Toledo</w:t>
            </w:r>
          </w:p>
        </w:tc>
        <w:tc>
          <w:tcPr>
            <w:tcW w:w="2268" w:type="dxa"/>
            <w:vAlign w:val="bottom"/>
          </w:tcPr>
          <w:p w14:paraId="000001FB" w14:textId="77777777" w:rsidR="00CE4D68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Toledo capital</w:t>
            </w:r>
          </w:p>
        </w:tc>
        <w:tc>
          <w:tcPr>
            <w:tcW w:w="1984" w:type="dxa"/>
            <w:vAlign w:val="bottom"/>
          </w:tcPr>
          <w:p w14:paraId="000001FC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2.036 €</w:t>
            </w:r>
          </w:p>
        </w:tc>
        <w:tc>
          <w:tcPr>
            <w:tcW w:w="1559" w:type="dxa"/>
            <w:vAlign w:val="bottom"/>
          </w:tcPr>
          <w:p w14:paraId="000001FD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2,3%</w:t>
            </w:r>
          </w:p>
        </w:tc>
        <w:tc>
          <w:tcPr>
            <w:tcW w:w="1692" w:type="dxa"/>
            <w:vAlign w:val="bottom"/>
          </w:tcPr>
          <w:p w14:paraId="000001FE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13,5%</w:t>
            </w:r>
          </w:p>
        </w:tc>
      </w:tr>
      <w:tr w:rsidR="00CE4D68" w14:paraId="324205DA" w14:textId="77777777" w:rsidTr="00CE4D68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1FF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Illes Balears</w:t>
            </w:r>
          </w:p>
        </w:tc>
        <w:tc>
          <w:tcPr>
            <w:tcW w:w="2268" w:type="dxa"/>
            <w:vAlign w:val="bottom"/>
          </w:tcPr>
          <w:p w14:paraId="00000200" w14:textId="77777777" w:rsidR="00CE4D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Palma de Mallorca</w:t>
            </w:r>
          </w:p>
        </w:tc>
        <w:tc>
          <w:tcPr>
            <w:tcW w:w="1984" w:type="dxa"/>
            <w:vAlign w:val="bottom"/>
          </w:tcPr>
          <w:p w14:paraId="00000201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5.219 €</w:t>
            </w:r>
          </w:p>
        </w:tc>
        <w:tc>
          <w:tcPr>
            <w:tcW w:w="1559" w:type="dxa"/>
            <w:vAlign w:val="bottom"/>
          </w:tcPr>
          <w:p w14:paraId="00000202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0,8%</w:t>
            </w:r>
          </w:p>
        </w:tc>
        <w:tc>
          <w:tcPr>
            <w:tcW w:w="1692" w:type="dxa"/>
            <w:vAlign w:val="bottom"/>
          </w:tcPr>
          <w:p w14:paraId="00000203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13,0%</w:t>
            </w:r>
          </w:p>
        </w:tc>
      </w:tr>
      <w:tr w:rsidR="00CE4D68" w14:paraId="29E74687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204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Pontevedra</w:t>
            </w:r>
          </w:p>
        </w:tc>
        <w:tc>
          <w:tcPr>
            <w:tcW w:w="2268" w:type="dxa"/>
            <w:vAlign w:val="bottom"/>
          </w:tcPr>
          <w:p w14:paraId="00000205" w14:textId="77777777" w:rsidR="00CE4D68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Pontevedra capital</w:t>
            </w:r>
          </w:p>
        </w:tc>
        <w:tc>
          <w:tcPr>
            <w:tcW w:w="1984" w:type="dxa"/>
            <w:vAlign w:val="bottom"/>
          </w:tcPr>
          <w:p w14:paraId="00000206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2.665 €</w:t>
            </w:r>
          </w:p>
        </w:tc>
        <w:tc>
          <w:tcPr>
            <w:tcW w:w="1559" w:type="dxa"/>
            <w:vAlign w:val="bottom"/>
          </w:tcPr>
          <w:p w14:paraId="00000207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-2,2%</w:t>
            </w:r>
          </w:p>
        </w:tc>
        <w:tc>
          <w:tcPr>
            <w:tcW w:w="1692" w:type="dxa"/>
            <w:vAlign w:val="bottom"/>
          </w:tcPr>
          <w:p w14:paraId="00000208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12,3%</w:t>
            </w:r>
          </w:p>
        </w:tc>
      </w:tr>
      <w:tr w:rsidR="00CE4D68" w14:paraId="288963B7" w14:textId="77777777" w:rsidTr="00CE4D68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209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lastRenderedPageBreak/>
              <w:t>Almería</w:t>
            </w:r>
          </w:p>
        </w:tc>
        <w:tc>
          <w:tcPr>
            <w:tcW w:w="2268" w:type="dxa"/>
            <w:vAlign w:val="bottom"/>
          </w:tcPr>
          <w:p w14:paraId="0000020A" w14:textId="77777777" w:rsidR="00CE4D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Almería capital</w:t>
            </w:r>
          </w:p>
        </w:tc>
        <w:tc>
          <w:tcPr>
            <w:tcW w:w="1984" w:type="dxa"/>
            <w:vAlign w:val="bottom"/>
          </w:tcPr>
          <w:p w14:paraId="0000020B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1.890 €</w:t>
            </w:r>
          </w:p>
        </w:tc>
        <w:tc>
          <w:tcPr>
            <w:tcW w:w="1559" w:type="dxa"/>
            <w:vAlign w:val="bottom"/>
          </w:tcPr>
          <w:p w14:paraId="0000020C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-1,3%</w:t>
            </w:r>
          </w:p>
        </w:tc>
        <w:tc>
          <w:tcPr>
            <w:tcW w:w="1692" w:type="dxa"/>
            <w:vAlign w:val="bottom"/>
          </w:tcPr>
          <w:p w14:paraId="0000020D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12,3%</w:t>
            </w:r>
          </w:p>
        </w:tc>
      </w:tr>
      <w:tr w:rsidR="00CE4D68" w14:paraId="39C31F93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20E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Valladolid</w:t>
            </w:r>
          </w:p>
        </w:tc>
        <w:tc>
          <w:tcPr>
            <w:tcW w:w="2268" w:type="dxa"/>
            <w:vAlign w:val="bottom"/>
          </w:tcPr>
          <w:p w14:paraId="0000020F" w14:textId="77777777" w:rsidR="00CE4D68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Valladolid capital</w:t>
            </w:r>
          </w:p>
        </w:tc>
        <w:tc>
          <w:tcPr>
            <w:tcW w:w="1984" w:type="dxa"/>
            <w:vAlign w:val="bottom"/>
          </w:tcPr>
          <w:p w14:paraId="00000210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2.335 €</w:t>
            </w:r>
          </w:p>
        </w:tc>
        <w:tc>
          <w:tcPr>
            <w:tcW w:w="1559" w:type="dxa"/>
            <w:vAlign w:val="bottom"/>
          </w:tcPr>
          <w:p w14:paraId="00000211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-0,3%</w:t>
            </w:r>
          </w:p>
        </w:tc>
        <w:tc>
          <w:tcPr>
            <w:tcW w:w="1692" w:type="dxa"/>
            <w:vAlign w:val="bottom"/>
          </w:tcPr>
          <w:p w14:paraId="00000212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11,8%</w:t>
            </w:r>
          </w:p>
        </w:tc>
      </w:tr>
      <w:tr w:rsidR="00CE4D68" w14:paraId="0D9F17CF" w14:textId="77777777" w:rsidTr="00CE4D68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213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Burgos</w:t>
            </w:r>
          </w:p>
        </w:tc>
        <w:tc>
          <w:tcPr>
            <w:tcW w:w="2268" w:type="dxa"/>
            <w:vAlign w:val="bottom"/>
          </w:tcPr>
          <w:p w14:paraId="00000214" w14:textId="77777777" w:rsidR="00CE4D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Burgos capital</w:t>
            </w:r>
          </w:p>
        </w:tc>
        <w:tc>
          <w:tcPr>
            <w:tcW w:w="1984" w:type="dxa"/>
            <w:vAlign w:val="bottom"/>
          </w:tcPr>
          <w:p w14:paraId="00000215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2.299 €</w:t>
            </w:r>
          </w:p>
        </w:tc>
        <w:tc>
          <w:tcPr>
            <w:tcW w:w="1559" w:type="dxa"/>
            <w:vAlign w:val="bottom"/>
          </w:tcPr>
          <w:p w14:paraId="00000216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0,3%</w:t>
            </w:r>
          </w:p>
        </w:tc>
        <w:tc>
          <w:tcPr>
            <w:tcW w:w="1692" w:type="dxa"/>
            <w:vAlign w:val="bottom"/>
          </w:tcPr>
          <w:p w14:paraId="00000217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11,7%</w:t>
            </w:r>
          </w:p>
        </w:tc>
      </w:tr>
      <w:tr w:rsidR="00CE4D68" w14:paraId="2B6105AA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218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Albacete</w:t>
            </w:r>
          </w:p>
        </w:tc>
        <w:tc>
          <w:tcPr>
            <w:tcW w:w="2268" w:type="dxa"/>
            <w:vAlign w:val="bottom"/>
          </w:tcPr>
          <w:p w14:paraId="00000219" w14:textId="77777777" w:rsidR="00CE4D68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Albacete capital</w:t>
            </w:r>
          </w:p>
        </w:tc>
        <w:tc>
          <w:tcPr>
            <w:tcW w:w="1984" w:type="dxa"/>
            <w:vAlign w:val="bottom"/>
          </w:tcPr>
          <w:p w14:paraId="0000021A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2.063 €</w:t>
            </w:r>
          </w:p>
        </w:tc>
        <w:tc>
          <w:tcPr>
            <w:tcW w:w="1559" w:type="dxa"/>
            <w:vAlign w:val="bottom"/>
          </w:tcPr>
          <w:p w14:paraId="0000021B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-0,3%</w:t>
            </w:r>
          </w:p>
        </w:tc>
        <w:tc>
          <w:tcPr>
            <w:tcW w:w="1692" w:type="dxa"/>
            <w:vAlign w:val="bottom"/>
          </w:tcPr>
          <w:p w14:paraId="0000021C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11,7%</w:t>
            </w:r>
          </w:p>
        </w:tc>
      </w:tr>
      <w:tr w:rsidR="00CE4D68" w14:paraId="44231DB4" w14:textId="77777777" w:rsidTr="00CE4D68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21D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Zaragoza</w:t>
            </w:r>
          </w:p>
        </w:tc>
        <w:tc>
          <w:tcPr>
            <w:tcW w:w="2268" w:type="dxa"/>
            <w:vAlign w:val="bottom"/>
          </w:tcPr>
          <w:p w14:paraId="0000021E" w14:textId="77777777" w:rsidR="00CE4D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Zaragoza capital</w:t>
            </w:r>
          </w:p>
        </w:tc>
        <w:tc>
          <w:tcPr>
            <w:tcW w:w="1984" w:type="dxa"/>
            <w:vAlign w:val="bottom"/>
          </w:tcPr>
          <w:p w14:paraId="0000021F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2.458 €</w:t>
            </w:r>
          </w:p>
        </w:tc>
        <w:tc>
          <w:tcPr>
            <w:tcW w:w="1559" w:type="dxa"/>
            <w:vAlign w:val="bottom"/>
          </w:tcPr>
          <w:p w14:paraId="00000220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1,4%</w:t>
            </w:r>
          </w:p>
        </w:tc>
        <w:tc>
          <w:tcPr>
            <w:tcW w:w="1692" w:type="dxa"/>
            <w:vAlign w:val="bottom"/>
          </w:tcPr>
          <w:p w14:paraId="00000221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11,3%</w:t>
            </w:r>
          </w:p>
        </w:tc>
      </w:tr>
      <w:tr w:rsidR="00CE4D68" w14:paraId="12375F28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222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La Rioja</w:t>
            </w:r>
          </w:p>
        </w:tc>
        <w:tc>
          <w:tcPr>
            <w:tcW w:w="2268" w:type="dxa"/>
            <w:vAlign w:val="bottom"/>
          </w:tcPr>
          <w:p w14:paraId="00000223" w14:textId="77777777" w:rsidR="00CE4D68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Logroño</w:t>
            </w:r>
          </w:p>
        </w:tc>
        <w:tc>
          <w:tcPr>
            <w:tcW w:w="1984" w:type="dxa"/>
            <w:vAlign w:val="bottom"/>
          </w:tcPr>
          <w:p w14:paraId="00000224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2.297 €</w:t>
            </w:r>
          </w:p>
        </w:tc>
        <w:tc>
          <w:tcPr>
            <w:tcW w:w="1559" w:type="dxa"/>
            <w:vAlign w:val="bottom"/>
          </w:tcPr>
          <w:p w14:paraId="00000225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-0,4%</w:t>
            </w:r>
          </w:p>
        </w:tc>
        <w:tc>
          <w:tcPr>
            <w:tcW w:w="1692" w:type="dxa"/>
            <w:vAlign w:val="bottom"/>
          </w:tcPr>
          <w:p w14:paraId="00000226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10,7%</w:t>
            </w:r>
          </w:p>
        </w:tc>
      </w:tr>
      <w:tr w:rsidR="00CE4D68" w14:paraId="714A300F" w14:textId="77777777" w:rsidTr="00CE4D68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227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Málaga</w:t>
            </w:r>
          </w:p>
        </w:tc>
        <w:tc>
          <w:tcPr>
            <w:tcW w:w="2268" w:type="dxa"/>
            <w:vAlign w:val="bottom"/>
          </w:tcPr>
          <w:p w14:paraId="00000228" w14:textId="77777777" w:rsidR="00CE4D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Málaga capital</w:t>
            </w:r>
          </w:p>
        </w:tc>
        <w:tc>
          <w:tcPr>
            <w:tcW w:w="1984" w:type="dxa"/>
            <w:vAlign w:val="bottom"/>
          </w:tcPr>
          <w:p w14:paraId="00000229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4.262 €</w:t>
            </w:r>
          </w:p>
        </w:tc>
        <w:tc>
          <w:tcPr>
            <w:tcW w:w="1559" w:type="dxa"/>
            <w:vAlign w:val="bottom"/>
          </w:tcPr>
          <w:p w14:paraId="0000022A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0,5%</w:t>
            </w:r>
          </w:p>
        </w:tc>
        <w:tc>
          <w:tcPr>
            <w:tcW w:w="1692" w:type="dxa"/>
            <w:vAlign w:val="bottom"/>
          </w:tcPr>
          <w:p w14:paraId="0000022B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10,5%</w:t>
            </w:r>
          </w:p>
        </w:tc>
      </w:tr>
      <w:tr w:rsidR="00CE4D68" w14:paraId="4622A7EF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22C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Badajoz</w:t>
            </w:r>
          </w:p>
        </w:tc>
        <w:tc>
          <w:tcPr>
            <w:tcW w:w="2268" w:type="dxa"/>
            <w:vAlign w:val="bottom"/>
          </w:tcPr>
          <w:p w14:paraId="0000022D" w14:textId="77777777" w:rsidR="00CE4D68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Badajoz capital</w:t>
            </w:r>
          </w:p>
        </w:tc>
        <w:tc>
          <w:tcPr>
            <w:tcW w:w="1984" w:type="dxa"/>
            <w:vAlign w:val="bottom"/>
          </w:tcPr>
          <w:p w14:paraId="0000022E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1.843 €</w:t>
            </w:r>
          </w:p>
        </w:tc>
        <w:tc>
          <w:tcPr>
            <w:tcW w:w="1559" w:type="dxa"/>
            <w:vAlign w:val="bottom"/>
          </w:tcPr>
          <w:p w14:paraId="0000022F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2,8%</w:t>
            </w:r>
          </w:p>
        </w:tc>
        <w:tc>
          <w:tcPr>
            <w:tcW w:w="1692" w:type="dxa"/>
            <w:vAlign w:val="bottom"/>
          </w:tcPr>
          <w:p w14:paraId="00000230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10,3%</w:t>
            </w:r>
          </w:p>
        </w:tc>
      </w:tr>
      <w:tr w:rsidR="00CE4D68" w14:paraId="3A9158A9" w14:textId="77777777" w:rsidTr="00CE4D68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231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Cuenca</w:t>
            </w:r>
          </w:p>
        </w:tc>
        <w:tc>
          <w:tcPr>
            <w:tcW w:w="2268" w:type="dxa"/>
            <w:vAlign w:val="bottom"/>
          </w:tcPr>
          <w:p w14:paraId="00000232" w14:textId="77777777" w:rsidR="00CE4D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Cuenca capital</w:t>
            </w:r>
          </w:p>
        </w:tc>
        <w:tc>
          <w:tcPr>
            <w:tcW w:w="1984" w:type="dxa"/>
            <w:vAlign w:val="bottom"/>
          </w:tcPr>
          <w:p w14:paraId="00000233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1.886 €</w:t>
            </w:r>
          </w:p>
        </w:tc>
        <w:tc>
          <w:tcPr>
            <w:tcW w:w="1559" w:type="dxa"/>
            <w:vAlign w:val="bottom"/>
          </w:tcPr>
          <w:p w14:paraId="00000234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-2,0%</w:t>
            </w:r>
          </w:p>
        </w:tc>
        <w:tc>
          <w:tcPr>
            <w:tcW w:w="1692" w:type="dxa"/>
            <w:vAlign w:val="bottom"/>
          </w:tcPr>
          <w:p w14:paraId="00000235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9,7%</w:t>
            </w:r>
          </w:p>
        </w:tc>
      </w:tr>
      <w:tr w:rsidR="00CE4D68" w14:paraId="75032741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236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Barcelona</w:t>
            </w:r>
          </w:p>
        </w:tc>
        <w:tc>
          <w:tcPr>
            <w:tcW w:w="2268" w:type="dxa"/>
            <w:vAlign w:val="bottom"/>
          </w:tcPr>
          <w:p w14:paraId="00000237" w14:textId="77777777" w:rsidR="00CE4D68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Barcelona capital</w:t>
            </w:r>
          </w:p>
        </w:tc>
        <w:tc>
          <w:tcPr>
            <w:tcW w:w="1984" w:type="dxa"/>
            <w:vAlign w:val="bottom"/>
          </w:tcPr>
          <w:p w14:paraId="00000238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5.362 €</w:t>
            </w:r>
          </w:p>
        </w:tc>
        <w:tc>
          <w:tcPr>
            <w:tcW w:w="1559" w:type="dxa"/>
            <w:vAlign w:val="bottom"/>
          </w:tcPr>
          <w:p w14:paraId="00000239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0,3%</w:t>
            </w:r>
          </w:p>
        </w:tc>
        <w:tc>
          <w:tcPr>
            <w:tcW w:w="1692" w:type="dxa"/>
            <w:vAlign w:val="bottom"/>
          </w:tcPr>
          <w:p w14:paraId="0000023A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9,6%</w:t>
            </w:r>
          </w:p>
        </w:tc>
      </w:tr>
      <w:tr w:rsidR="00CE4D68" w14:paraId="1505DCFB" w14:textId="77777777" w:rsidTr="00CE4D68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23B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Lleida</w:t>
            </w:r>
          </w:p>
        </w:tc>
        <w:tc>
          <w:tcPr>
            <w:tcW w:w="2268" w:type="dxa"/>
            <w:vAlign w:val="bottom"/>
          </w:tcPr>
          <w:p w14:paraId="0000023C" w14:textId="77777777" w:rsidR="00CE4D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Lleida capital</w:t>
            </w:r>
          </w:p>
        </w:tc>
        <w:tc>
          <w:tcPr>
            <w:tcW w:w="1984" w:type="dxa"/>
            <w:vAlign w:val="bottom"/>
          </w:tcPr>
          <w:p w14:paraId="0000023D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1.666 €</w:t>
            </w:r>
          </w:p>
        </w:tc>
        <w:tc>
          <w:tcPr>
            <w:tcW w:w="1559" w:type="dxa"/>
            <w:vAlign w:val="bottom"/>
          </w:tcPr>
          <w:p w14:paraId="0000023E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-2,4%</w:t>
            </w:r>
          </w:p>
        </w:tc>
        <w:tc>
          <w:tcPr>
            <w:tcW w:w="1692" w:type="dxa"/>
            <w:vAlign w:val="bottom"/>
          </w:tcPr>
          <w:p w14:paraId="0000023F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8,6%</w:t>
            </w:r>
          </w:p>
        </w:tc>
      </w:tr>
      <w:tr w:rsidR="00CE4D68" w14:paraId="1CFB401C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240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Gipuzkoa</w:t>
            </w:r>
          </w:p>
        </w:tc>
        <w:tc>
          <w:tcPr>
            <w:tcW w:w="2268" w:type="dxa"/>
            <w:vAlign w:val="bottom"/>
          </w:tcPr>
          <w:p w14:paraId="00000241" w14:textId="77777777" w:rsidR="00CE4D68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Donostia - San Sebastián</w:t>
            </w:r>
          </w:p>
        </w:tc>
        <w:tc>
          <w:tcPr>
            <w:tcW w:w="1984" w:type="dxa"/>
            <w:vAlign w:val="bottom"/>
          </w:tcPr>
          <w:p w14:paraId="00000242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7.156 €</w:t>
            </w:r>
          </w:p>
        </w:tc>
        <w:tc>
          <w:tcPr>
            <w:tcW w:w="1559" w:type="dxa"/>
            <w:vAlign w:val="bottom"/>
          </w:tcPr>
          <w:p w14:paraId="00000243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692" w:type="dxa"/>
            <w:vAlign w:val="bottom"/>
          </w:tcPr>
          <w:p w14:paraId="00000244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8,3%</w:t>
            </w:r>
          </w:p>
        </w:tc>
      </w:tr>
      <w:tr w:rsidR="00CE4D68" w14:paraId="6DD72B1D" w14:textId="77777777" w:rsidTr="00CE4D68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245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Cantabria</w:t>
            </w:r>
          </w:p>
        </w:tc>
        <w:tc>
          <w:tcPr>
            <w:tcW w:w="2268" w:type="dxa"/>
            <w:vAlign w:val="bottom"/>
          </w:tcPr>
          <w:p w14:paraId="00000246" w14:textId="77777777" w:rsidR="00CE4D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Santander</w:t>
            </w:r>
          </w:p>
        </w:tc>
        <w:tc>
          <w:tcPr>
            <w:tcW w:w="1984" w:type="dxa"/>
            <w:vAlign w:val="bottom"/>
          </w:tcPr>
          <w:p w14:paraId="00000247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2.952 €</w:t>
            </w:r>
          </w:p>
        </w:tc>
        <w:tc>
          <w:tcPr>
            <w:tcW w:w="1559" w:type="dxa"/>
            <w:vAlign w:val="bottom"/>
          </w:tcPr>
          <w:p w14:paraId="00000248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-1,1%</w:t>
            </w:r>
          </w:p>
        </w:tc>
        <w:tc>
          <w:tcPr>
            <w:tcW w:w="1692" w:type="dxa"/>
            <w:vAlign w:val="bottom"/>
          </w:tcPr>
          <w:p w14:paraId="00000249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8,3%</w:t>
            </w:r>
          </w:p>
        </w:tc>
      </w:tr>
      <w:tr w:rsidR="00CE4D68" w14:paraId="729DF988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24A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Sevilla</w:t>
            </w:r>
          </w:p>
        </w:tc>
        <w:tc>
          <w:tcPr>
            <w:tcW w:w="2268" w:type="dxa"/>
            <w:vAlign w:val="bottom"/>
          </w:tcPr>
          <w:p w14:paraId="0000024B" w14:textId="77777777" w:rsidR="00CE4D68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Sevilla capital</w:t>
            </w:r>
          </w:p>
        </w:tc>
        <w:tc>
          <w:tcPr>
            <w:tcW w:w="1984" w:type="dxa"/>
            <w:vAlign w:val="bottom"/>
          </w:tcPr>
          <w:p w14:paraId="0000024C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2.809 €</w:t>
            </w:r>
          </w:p>
        </w:tc>
        <w:tc>
          <w:tcPr>
            <w:tcW w:w="1559" w:type="dxa"/>
            <w:vAlign w:val="bottom"/>
          </w:tcPr>
          <w:p w14:paraId="0000024D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0,9%</w:t>
            </w:r>
          </w:p>
        </w:tc>
        <w:tc>
          <w:tcPr>
            <w:tcW w:w="1692" w:type="dxa"/>
            <w:vAlign w:val="bottom"/>
          </w:tcPr>
          <w:p w14:paraId="0000024E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7,9%</w:t>
            </w:r>
          </w:p>
        </w:tc>
      </w:tr>
      <w:tr w:rsidR="00CE4D68" w14:paraId="317ADC4E" w14:textId="77777777" w:rsidTr="00CE4D68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24F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Araba - Álava</w:t>
            </w:r>
          </w:p>
        </w:tc>
        <w:tc>
          <w:tcPr>
            <w:tcW w:w="2268" w:type="dxa"/>
            <w:vAlign w:val="bottom"/>
          </w:tcPr>
          <w:p w14:paraId="00000250" w14:textId="77777777" w:rsidR="00CE4D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Vitoria - Gasteiz</w:t>
            </w:r>
          </w:p>
        </w:tc>
        <w:tc>
          <w:tcPr>
            <w:tcW w:w="1984" w:type="dxa"/>
            <w:vAlign w:val="bottom"/>
          </w:tcPr>
          <w:p w14:paraId="00000251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3.132 €</w:t>
            </w:r>
          </w:p>
        </w:tc>
        <w:tc>
          <w:tcPr>
            <w:tcW w:w="1559" w:type="dxa"/>
            <w:vAlign w:val="bottom"/>
          </w:tcPr>
          <w:p w14:paraId="00000252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1,0%</w:t>
            </w:r>
          </w:p>
        </w:tc>
        <w:tc>
          <w:tcPr>
            <w:tcW w:w="1692" w:type="dxa"/>
            <w:vAlign w:val="bottom"/>
          </w:tcPr>
          <w:p w14:paraId="00000253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6,5%</w:t>
            </w:r>
          </w:p>
        </w:tc>
      </w:tr>
      <w:tr w:rsidR="00CE4D68" w14:paraId="51626697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254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Girona</w:t>
            </w:r>
          </w:p>
        </w:tc>
        <w:tc>
          <w:tcPr>
            <w:tcW w:w="2268" w:type="dxa"/>
            <w:vAlign w:val="bottom"/>
          </w:tcPr>
          <w:p w14:paraId="00000255" w14:textId="77777777" w:rsidR="00CE4D68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Girona capital</w:t>
            </w:r>
          </w:p>
        </w:tc>
        <w:tc>
          <w:tcPr>
            <w:tcW w:w="1984" w:type="dxa"/>
            <w:vAlign w:val="bottom"/>
          </w:tcPr>
          <w:p w14:paraId="00000256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3.001 €</w:t>
            </w:r>
          </w:p>
        </w:tc>
        <w:tc>
          <w:tcPr>
            <w:tcW w:w="1559" w:type="dxa"/>
            <w:vAlign w:val="bottom"/>
          </w:tcPr>
          <w:p w14:paraId="00000257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-1,0%</w:t>
            </w:r>
          </w:p>
        </w:tc>
        <w:tc>
          <w:tcPr>
            <w:tcW w:w="1692" w:type="dxa"/>
            <w:vAlign w:val="bottom"/>
          </w:tcPr>
          <w:p w14:paraId="00000258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6,5%</w:t>
            </w:r>
          </w:p>
        </w:tc>
      </w:tr>
      <w:tr w:rsidR="00CE4D68" w14:paraId="470688EB" w14:textId="77777777" w:rsidTr="00CE4D68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259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Bizkaia</w:t>
            </w:r>
          </w:p>
        </w:tc>
        <w:tc>
          <w:tcPr>
            <w:tcW w:w="2268" w:type="dxa"/>
            <w:vAlign w:val="bottom"/>
          </w:tcPr>
          <w:p w14:paraId="0000025A" w14:textId="77777777" w:rsidR="00CE4D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Bilbao</w:t>
            </w:r>
          </w:p>
        </w:tc>
        <w:tc>
          <w:tcPr>
            <w:tcW w:w="1984" w:type="dxa"/>
            <w:vAlign w:val="bottom"/>
          </w:tcPr>
          <w:p w14:paraId="0000025B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3.861 €</w:t>
            </w:r>
          </w:p>
        </w:tc>
        <w:tc>
          <w:tcPr>
            <w:tcW w:w="1559" w:type="dxa"/>
            <w:vAlign w:val="bottom"/>
          </w:tcPr>
          <w:p w14:paraId="0000025C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-1,2%</w:t>
            </w:r>
          </w:p>
        </w:tc>
        <w:tc>
          <w:tcPr>
            <w:tcW w:w="1692" w:type="dxa"/>
            <w:vAlign w:val="bottom"/>
          </w:tcPr>
          <w:p w14:paraId="0000025D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6,0%</w:t>
            </w:r>
          </w:p>
        </w:tc>
      </w:tr>
      <w:tr w:rsidR="00CE4D68" w14:paraId="60BF85F2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25E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Lugo</w:t>
            </w:r>
          </w:p>
        </w:tc>
        <w:tc>
          <w:tcPr>
            <w:tcW w:w="2268" w:type="dxa"/>
            <w:vAlign w:val="bottom"/>
          </w:tcPr>
          <w:p w14:paraId="0000025F" w14:textId="77777777" w:rsidR="00CE4D68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Lugo capital</w:t>
            </w:r>
          </w:p>
        </w:tc>
        <w:tc>
          <w:tcPr>
            <w:tcW w:w="1984" w:type="dxa"/>
            <w:vAlign w:val="bottom"/>
          </w:tcPr>
          <w:p w14:paraId="00000260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1.676 €</w:t>
            </w:r>
          </w:p>
        </w:tc>
        <w:tc>
          <w:tcPr>
            <w:tcW w:w="1559" w:type="dxa"/>
            <w:vAlign w:val="bottom"/>
          </w:tcPr>
          <w:p w14:paraId="00000261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-2,3%</w:t>
            </w:r>
          </w:p>
        </w:tc>
        <w:tc>
          <w:tcPr>
            <w:tcW w:w="1692" w:type="dxa"/>
            <w:vAlign w:val="bottom"/>
          </w:tcPr>
          <w:p w14:paraId="00000262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5,5%</w:t>
            </w:r>
          </w:p>
        </w:tc>
      </w:tr>
      <w:tr w:rsidR="00CE4D68" w14:paraId="2E82884E" w14:textId="77777777" w:rsidTr="00CE4D68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263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Huelva</w:t>
            </w:r>
          </w:p>
        </w:tc>
        <w:tc>
          <w:tcPr>
            <w:tcW w:w="2268" w:type="dxa"/>
            <w:vAlign w:val="bottom"/>
          </w:tcPr>
          <w:p w14:paraId="00000264" w14:textId="77777777" w:rsidR="00CE4D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Huelva capital</w:t>
            </w:r>
          </w:p>
        </w:tc>
        <w:tc>
          <w:tcPr>
            <w:tcW w:w="1984" w:type="dxa"/>
            <w:vAlign w:val="bottom"/>
          </w:tcPr>
          <w:p w14:paraId="00000265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1.642 €</w:t>
            </w:r>
          </w:p>
        </w:tc>
        <w:tc>
          <w:tcPr>
            <w:tcW w:w="1559" w:type="dxa"/>
            <w:vAlign w:val="bottom"/>
          </w:tcPr>
          <w:p w14:paraId="00000266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-1,9%</w:t>
            </w:r>
          </w:p>
        </w:tc>
        <w:tc>
          <w:tcPr>
            <w:tcW w:w="1692" w:type="dxa"/>
            <w:vAlign w:val="bottom"/>
          </w:tcPr>
          <w:p w14:paraId="00000267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5,3%</w:t>
            </w:r>
          </w:p>
        </w:tc>
      </w:tr>
      <w:tr w:rsidR="00CE4D68" w14:paraId="60B3E7AF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268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Alicante</w:t>
            </w:r>
          </w:p>
        </w:tc>
        <w:tc>
          <w:tcPr>
            <w:tcW w:w="2268" w:type="dxa"/>
            <w:vAlign w:val="bottom"/>
          </w:tcPr>
          <w:p w14:paraId="00000269" w14:textId="77777777" w:rsidR="00CE4D68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Alicante / Alacant</w:t>
            </w:r>
          </w:p>
        </w:tc>
        <w:tc>
          <w:tcPr>
            <w:tcW w:w="1984" w:type="dxa"/>
            <w:vAlign w:val="bottom"/>
          </w:tcPr>
          <w:p w14:paraId="0000026A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2.812 €</w:t>
            </w:r>
          </w:p>
        </w:tc>
        <w:tc>
          <w:tcPr>
            <w:tcW w:w="1559" w:type="dxa"/>
            <w:vAlign w:val="bottom"/>
          </w:tcPr>
          <w:p w14:paraId="0000026B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-0,6%</w:t>
            </w:r>
          </w:p>
        </w:tc>
        <w:tc>
          <w:tcPr>
            <w:tcW w:w="1692" w:type="dxa"/>
            <w:vAlign w:val="bottom"/>
          </w:tcPr>
          <w:p w14:paraId="0000026C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5,2%</w:t>
            </w:r>
          </w:p>
        </w:tc>
      </w:tr>
      <w:tr w:rsidR="00CE4D68" w14:paraId="70CC0C1F" w14:textId="77777777" w:rsidTr="00CE4D68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26D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Zamora</w:t>
            </w:r>
          </w:p>
        </w:tc>
        <w:tc>
          <w:tcPr>
            <w:tcW w:w="2268" w:type="dxa"/>
            <w:vAlign w:val="bottom"/>
          </w:tcPr>
          <w:p w14:paraId="0000026E" w14:textId="77777777" w:rsidR="00CE4D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Zamora capital</w:t>
            </w:r>
          </w:p>
        </w:tc>
        <w:tc>
          <w:tcPr>
            <w:tcW w:w="1984" w:type="dxa"/>
            <w:vAlign w:val="bottom"/>
          </w:tcPr>
          <w:p w14:paraId="0000026F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1.415 €</w:t>
            </w:r>
          </w:p>
        </w:tc>
        <w:tc>
          <w:tcPr>
            <w:tcW w:w="1559" w:type="dxa"/>
            <w:vAlign w:val="bottom"/>
          </w:tcPr>
          <w:p w14:paraId="00000270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0,5%</w:t>
            </w:r>
          </w:p>
        </w:tc>
        <w:tc>
          <w:tcPr>
            <w:tcW w:w="1692" w:type="dxa"/>
            <w:vAlign w:val="bottom"/>
          </w:tcPr>
          <w:p w14:paraId="00000271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4,5%</w:t>
            </w:r>
          </w:p>
        </w:tc>
      </w:tr>
      <w:tr w:rsidR="00CE4D68" w14:paraId="5EFA0283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272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Tarragona</w:t>
            </w:r>
          </w:p>
        </w:tc>
        <w:tc>
          <w:tcPr>
            <w:tcW w:w="2268" w:type="dxa"/>
            <w:vAlign w:val="bottom"/>
          </w:tcPr>
          <w:p w14:paraId="00000273" w14:textId="77777777" w:rsidR="00CE4D68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Tarragona capital</w:t>
            </w:r>
          </w:p>
        </w:tc>
        <w:tc>
          <w:tcPr>
            <w:tcW w:w="1984" w:type="dxa"/>
            <w:vAlign w:val="bottom"/>
          </w:tcPr>
          <w:p w14:paraId="00000274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1.793 €</w:t>
            </w:r>
          </w:p>
        </w:tc>
        <w:tc>
          <w:tcPr>
            <w:tcW w:w="1559" w:type="dxa"/>
            <w:vAlign w:val="bottom"/>
          </w:tcPr>
          <w:p w14:paraId="00000275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1692" w:type="dxa"/>
            <w:vAlign w:val="bottom"/>
          </w:tcPr>
          <w:p w14:paraId="00000276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3,4%</w:t>
            </w:r>
          </w:p>
        </w:tc>
      </w:tr>
      <w:tr w:rsidR="00CE4D68" w14:paraId="383F422B" w14:textId="77777777" w:rsidTr="00CE4D68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277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Cádiz</w:t>
            </w:r>
          </w:p>
        </w:tc>
        <w:tc>
          <w:tcPr>
            <w:tcW w:w="2268" w:type="dxa"/>
            <w:vAlign w:val="bottom"/>
          </w:tcPr>
          <w:p w14:paraId="00000278" w14:textId="77777777" w:rsidR="00CE4D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Cádiz capital</w:t>
            </w:r>
          </w:p>
        </w:tc>
        <w:tc>
          <w:tcPr>
            <w:tcW w:w="1984" w:type="dxa"/>
            <w:vAlign w:val="bottom"/>
          </w:tcPr>
          <w:p w14:paraId="00000279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3.251 €</w:t>
            </w:r>
          </w:p>
        </w:tc>
        <w:tc>
          <w:tcPr>
            <w:tcW w:w="1559" w:type="dxa"/>
            <w:vAlign w:val="bottom"/>
          </w:tcPr>
          <w:p w14:paraId="0000027A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0,7%</w:t>
            </w:r>
          </w:p>
        </w:tc>
        <w:tc>
          <w:tcPr>
            <w:tcW w:w="1692" w:type="dxa"/>
            <w:vAlign w:val="bottom"/>
          </w:tcPr>
          <w:p w14:paraId="0000027B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2,0%</w:t>
            </w:r>
          </w:p>
        </w:tc>
      </w:tr>
      <w:tr w:rsidR="00CE4D68" w14:paraId="6DDA38A5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000027C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Navarra</w:t>
            </w:r>
          </w:p>
        </w:tc>
        <w:tc>
          <w:tcPr>
            <w:tcW w:w="2268" w:type="dxa"/>
            <w:vAlign w:val="bottom"/>
          </w:tcPr>
          <w:p w14:paraId="0000027D" w14:textId="77777777" w:rsidR="00CE4D68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Pamplona / Iruña</w:t>
            </w:r>
          </w:p>
        </w:tc>
        <w:tc>
          <w:tcPr>
            <w:tcW w:w="1984" w:type="dxa"/>
            <w:vAlign w:val="bottom"/>
          </w:tcPr>
          <w:p w14:paraId="0000027E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3.144 €</w:t>
            </w:r>
          </w:p>
        </w:tc>
        <w:tc>
          <w:tcPr>
            <w:tcW w:w="1559" w:type="dxa"/>
            <w:vAlign w:val="bottom"/>
          </w:tcPr>
          <w:p w14:paraId="0000027F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0,0%</w:t>
            </w:r>
          </w:p>
        </w:tc>
        <w:tc>
          <w:tcPr>
            <w:tcW w:w="1692" w:type="dxa"/>
            <w:vAlign w:val="bottom"/>
          </w:tcPr>
          <w:p w14:paraId="00000280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1,6%</w:t>
            </w:r>
          </w:p>
        </w:tc>
      </w:tr>
    </w:tbl>
    <w:p w14:paraId="00000281" w14:textId="77777777" w:rsidR="00CE4D6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t>Municipios</w:t>
      </w:r>
    </w:p>
    <w:p w14:paraId="00000282" w14:textId="77777777" w:rsidR="00CE4D68" w:rsidRDefault="00000000">
      <w:pPr>
        <w:spacing w:line="276" w:lineRule="auto"/>
        <w:jc w:val="both"/>
        <w:rPr>
          <w:rFonts w:ascii="Open Sans" w:eastAsia="Open Sans" w:hAnsi="Open Sans" w:cs="Open Sans"/>
        </w:rPr>
      </w:pPr>
      <w:r w:rsidRPr="002E3E66">
        <w:rPr>
          <w:rFonts w:ascii="Open Sans" w:eastAsia="Open Sans" w:hAnsi="Open Sans" w:cs="Open Sans"/>
          <w:b/>
          <w:bCs/>
          <w:color w:val="000000"/>
        </w:rPr>
        <w:t xml:space="preserve">El precio medio de la vivienda de segunda mano sube en el 94% de los 398 municipios con variación interanual analizados </w:t>
      </w:r>
      <w:r w:rsidRPr="002E3E66">
        <w:rPr>
          <w:rFonts w:ascii="Open Sans" w:eastAsia="Open Sans" w:hAnsi="Open Sans" w:cs="Open Sans"/>
          <w:b/>
          <w:bCs/>
        </w:rPr>
        <w:t xml:space="preserve">por </w:t>
      </w:r>
      <w:hyperlink r:id="rId13">
        <w:r w:rsidRPr="002E3E66">
          <w:rPr>
            <w:rFonts w:ascii="Open Sans" w:eastAsia="Open Sans" w:hAnsi="Open Sans" w:cs="Open Sans"/>
            <w:b/>
            <w:bCs/>
            <w:color w:val="0000FF"/>
            <w:u w:val="single"/>
          </w:rPr>
          <w:t>Fotocasa</w:t>
        </w:r>
      </w:hyperlink>
      <w:r>
        <w:rPr>
          <w:rFonts w:ascii="Open Sans" w:eastAsia="Open Sans" w:hAnsi="Open Sans" w:cs="Open Sans"/>
        </w:rPr>
        <w:t xml:space="preserve">. En 14 (4%) </w:t>
      </w:r>
      <w:r>
        <w:rPr>
          <w:rFonts w:ascii="Open Sans" w:eastAsia="Open Sans" w:hAnsi="Open Sans" w:cs="Open Sans"/>
          <w:color w:val="000000"/>
        </w:rPr>
        <w:t>de los municipios sube el valor interanual de la vivienda por encima del 40% y son: La Alcaidesa (77,4%</w:t>
      </w:r>
      <w:r>
        <w:rPr>
          <w:rFonts w:ascii="Open Sans" w:eastAsia="Open Sans" w:hAnsi="Open Sans" w:cs="Open Sans"/>
        </w:rPr>
        <w:t xml:space="preserve">), </w:t>
      </w:r>
      <w:r>
        <w:rPr>
          <w:rFonts w:ascii="Open Sans" w:eastAsia="Open Sans" w:hAnsi="Open Sans" w:cs="Open Sans"/>
          <w:color w:val="000000"/>
        </w:rPr>
        <w:t>Bigastro (77,1%</w:t>
      </w:r>
      <w:r>
        <w:rPr>
          <w:rFonts w:ascii="Open Sans" w:eastAsia="Open Sans" w:hAnsi="Open Sans" w:cs="Open Sans"/>
        </w:rPr>
        <w:t xml:space="preserve">), </w:t>
      </w:r>
      <w:r>
        <w:rPr>
          <w:rFonts w:ascii="Open Sans" w:eastAsia="Open Sans" w:hAnsi="Open Sans" w:cs="Open Sans"/>
          <w:color w:val="000000"/>
        </w:rPr>
        <w:t>La Nucia (56,7%</w:t>
      </w:r>
      <w:r>
        <w:rPr>
          <w:rFonts w:ascii="Open Sans" w:eastAsia="Open Sans" w:hAnsi="Open Sans" w:cs="Open Sans"/>
        </w:rPr>
        <w:t xml:space="preserve">), </w:t>
      </w:r>
      <w:r>
        <w:rPr>
          <w:rFonts w:ascii="Open Sans" w:eastAsia="Open Sans" w:hAnsi="Open Sans" w:cs="Open Sans"/>
          <w:color w:val="000000"/>
        </w:rPr>
        <w:t>Vera (54,8%</w:t>
      </w:r>
      <w:r>
        <w:rPr>
          <w:rFonts w:ascii="Open Sans" w:eastAsia="Open Sans" w:hAnsi="Open Sans" w:cs="Open Sans"/>
        </w:rPr>
        <w:t xml:space="preserve">), </w:t>
      </w:r>
      <w:r>
        <w:rPr>
          <w:rFonts w:ascii="Open Sans" w:eastAsia="Open Sans" w:hAnsi="Open Sans" w:cs="Open Sans"/>
          <w:color w:val="000000"/>
        </w:rPr>
        <w:t>San Javier (53,4%</w:t>
      </w:r>
      <w:r>
        <w:rPr>
          <w:rFonts w:ascii="Open Sans" w:eastAsia="Open Sans" w:hAnsi="Open Sans" w:cs="Open Sans"/>
        </w:rPr>
        <w:t xml:space="preserve">), </w:t>
      </w:r>
      <w:r>
        <w:rPr>
          <w:rFonts w:ascii="Open Sans" w:eastAsia="Open Sans" w:hAnsi="Open Sans" w:cs="Open Sans"/>
          <w:color w:val="000000"/>
        </w:rPr>
        <w:t>Los Realejo (45,6%</w:t>
      </w:r>
      <w:r>
        <w:rPr>
          <w:rFonts w:ascii="Open Sans" w:eastAsia="Open Sans" w:hAnsi="Open Sans" w:cs="Open Sans"/>
        </w:rPr>
        <w:t xml:space="preserve">), </w:t>
      </w:r>
      <w:r>
        <w:rPr>
          <w:rFonts w:ascii="Open Sans" w:eastAsia="Open Sans" w:hAnsi="Open Sans" w:cs="Open Sans"/>
          <w:color w:val="000000"/>
        </w:rPr>
        <w:t>Atarfe (45,3%</w:t>
      </w:r>
      <w:r>
        <w:rPr>
          <w:rFonts w:ascii="Open Sans" w:eastAsia="Open Sans" w:hAnsi="Open Sans" w:cs="Open Sans"/>
        </w:rPr>
        <w:t xml:space="preserve">), </w:t>
      </w:r>
      <w:r>
        <w:rPr>
          <w:rFonts w:ascii="Open Sans" w:eastAsia="Open Sans" w:hAnsi="Open Sans" w:cs="Open Sans"/>
          <w:color w:val="000000"/>
        </w:rPr>
        <w:t>Cubelles (41,8%</w:t>
      </w:r>
      <w:r>
        <w:rPr>
          <w:rFonts w:ascii="Open Sans" w:eastAsia="Open Sans" w:hAnsi="Open Sans" w:cs="Open Sans"/>
        </w:rPr>
        <w:t xml:space="preserve">), </w:t>
      </w:r>
      <w:r>
        <w:rPr>
          <w:rFonts w:ascii="Open Sans" w:eastAsia="Open Sans" w:hAnsi="Open Sans" w:cs="Open Sans"/>
          <w:color w:val="000000"/>
        </w:rPr>
        <w:t>Alfafar (41,6%</w:t>
      </w:r>
      <w:r>
        <w:rPr>
          <w:rFonts w:ascii="Open Sans" w:eastAsia="Open Sans" w:hAnsi="Open Sans" w:cs="Open Sans"/>
        </w:rPr>
        <w:t xml:space="preserve">), </w:t>
      </w:r>
      <w:r>
        <w:rPr>
          <w:rFonts w:ascii="Open Sans" w:eastAsia="Open Sans" w:hAnsi="Open Sans" w:cs="Open Sans"/>
          <w:color w:val="000000"/>
        </w:rPr>
        <w:t>Xàtiva (41,1%</w:t>
      </w:r>
      <w:r>
        <w:rPr>
          <w:rFonts w:ascii="Open Sans" w:eastAsia="Open Sans" w:hAnsi="Open Sans" w:cs="Open Sans"/>
        </w:rPr>
        <w:t xml:space="preserve">), </w:t>
      </w:r>
      <w:r>
        <w:rPr>
          <w:rFonts w:ascii="Open Sans" w:eastAsia="Open Sans" w:hAnsi="Open Sans" w:cs="Open Sans"/>
          <w:color w:val="000000"/>
        </w:rPr>
        <w:t>Paiporta (40,8%</w:t>
      </w:r>
      <w:r>
        <w:rPr>
          <w:rFonts w:ascii="Open Sans" w:eastAsia="Open Sans" w:hAnsi="Open Sans" w:cs="Open Sans"/>
        </w:rPr>
        <w:t xml:space="preserve">), </w:t>
      </w:r>
      <w:r>
        <w:rPr>
          <w:rFonts w:ascii="Open Sans" w:eastAsia="Open Sans" w:hAnsi="Open Sans" w:cs="Open Sans"/>
          <w:color w:val="000000"/>
        </w:rPr>
        <w:t>Salobreña (40,7%</w:t>
      </w:r>
      <w:r>
        <w:rPr>
          <w:rFonts w:ascii="Open Sans" w:eastAsia="Open Sans" w:hAnsi="Open Sans" w:cs="Open Sans"/>
        </w:rPr>
        <w:t xml:space="preserve">), </w:t>
      </w:r>
      <w:r>
        <w:rPr>
          <w:rFonts w:ascii="Open Sans" w:eastAsia="Open Sans" w:hAnsi="Open Sans" w:cs="Open Sans"/>
          <w:color w:val="000000"/>
        </w:rPr>
        <w:t>Manilva (40,2%</w:t>
      </w:r>
      <w:r>
        <w:rPr>
          <w:rFonts w:ascii="Open Sans" w:eastAsia="Open Sans" w:hAnsi="Open Sans" w:cs="Open Sans"/>
        </w:rPr>
        <w:t xml:space="preserve">) y </w:t>
      </w:r>
      <w:r>
        <w:rPr>
          <w:rFonts w:ascii="Open Sans" w:eastAsia="Open Sans" w:hAnsi="Open Sans" w:cs="Open Sans"/>
          <w:color w:val="000000"/>
        </w:rPr>
        <w:t>La Manga del Mar Menor (40,0%</w:t>
      </w:r>
      <w:r>
        <w:rPr>
          <w:rFonts w:ascii="Open Sans" w:eastAsia="Open Sans" w:hAnsi="Open Sans" w:cs="Open Sans"/>
        </w:rPr>
        <w:t>). Por otro lado, las ciudades con los mayores descensos interanuales son: Población de Arroyo</w:t>
      </w:r>
      <w:r>
        <w:rPr>
          <w:rFonts w:ascii="Open Sans" w:eastAsia="Open Sans" w:hAnsi="Open Sans" w:cs="Open Sans"/>
          <w:color w:val="000000"/>
        </w:rPr>
        <w:t xml:space="preserve"> (</w:t>
      </w:r>
      <w:r>
        <w:rPr>
          <w:rFonts w:ascii="Open Sans" w:eastAsia="Open Sans" w:hAnsi="Open Sans" w:cs="Open Sans"/>
        </w:rPr>
        <w:t>-26,2%), Martorell</w:t>
      </w:r>
      <w:r>
        <w:rPr>
          <w:rFonts w:ascii="Open Sans" w:eastAsia="Open Sans" w:hAnsi="Open Sans" w:cs="Open Sans"/>
          <w:color w:val="000000"/>
        </w:rPr>
        <w:t xml:space="preserve"> (</w:t>
      </w:r>
      <w:r>
        <w:rPr>
          <w:rFonts w:ascii="Open Sans" w:eastAsia="Open Sans" w:hAnsi="Open Sans" w:cs="Open Sans"/>
        </w:rPr>
        <w:t>-15,8%), Torredonjimeno</w:t>
      </w:r>
      <w:r>
        <w:rPr>
          <w:rFonts w:ascii="Open Sans" w:eastAsia="Open Sans" w:hAnsi="Open Sans" w:cs="Open Sans"/>
          <w:color w:val="000000"/>
        </w:rPr>
        <w:t xml:space="preserve"> (</w:t>
      </w:r>
      <w:r>
        <w:rPr>
          <w:rFonts w:ascii="Open Sans" w:eastAsia="Open Sans" w:hAnsi="Open Sans" w:cs="Open Sans"/>
        </w:rPr>
        <w:t>-14,9%) y Benijófar</w:t>
      </w:r>
      <w:r>
        <w:rPr>
          <w:rFonts w:ascii="Open Sans" w:eastAsia="Open Sans" w:hAnsi="Open Sans" w:cs="Open Sans"/>
          <w:color w:val="000000"/>
        </w:rPr>
        <w:t xml:space="preserve"> (</w:t>
      </w:r>
      <w:r>
        <w:rPr>
          <w:rFonts w:ascii="Open Sans" w:eastAsia="Open Sans" w:hAnsi="Open Sans" w:cs="Open Sans"/>
        </w:rPr>
        <w:t>-14,6%).</w:t>
      </w:r>
    </w:p>
    <w:p w14:paraId="00000283" w14:textId="77777777" w:rsidR="00CE4D68" w:rsidRDefault="00CE4D68">
      <w:pPr>
        <w:spacing w:line="276" w:lineRule="auto"/>
        <w:jc w:val="both"/>
        <w:rPr>
          <w:rFonts w:ascii="Open Sans" w:eastAsia="Open Sans" w:hAnsi="Open Sans" w:cs="Open Sans"/>
        </w:rPr>
      </w:pPr>
    </w:p>
    <w:p w14:paraId="00000284" w14:textId="77777777" w:rsidR="00CE4D68" w:rsidRDefault="00000000">
      <w:pPr>
        <w:spacing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En cuanto al precio por metro cuadrado en enero, vemos que el orden de las ciudades con un precio </w:t>
      </w:r>
      <w:r>
        <w:rPr>
          <w:rFonts w:ascii="Open Sans" w:eastAsia="Open Sans" w:hAnsi="Open Sans" w:cs="Open Sans"/>
        </w:rPr>
        <w:t>superior a los 7.000 euros/m</w:t>
      </w:r>
      <w:r>
        <w:rPr>
          <w:rFonts w:ascii="Open Sans" w:eastAsia="Open Sans" w:hAnsi="Open Sans" w:cs="Open Sans"/>
          <w:vertAlign w:val="superscript"/>
        </w:rPr>
        <w:t>2</w:t>
      </w:r>
      <w:r>
        <w:rPr>
          <w:rFonts w:ascii="Open Sans" w:eastAsia="Open Sans" w:hAnsi="Open Sans" w:cs="Open Sans"/>
        </w:rPr>
        <w:t xml:space="preserve"> son: Santa Eulària des Riu</w:t>
      </w:r>
      <w:r>
        <w:rPr>
          <w:rFonts w:ascii="Open Sans" w:eastAsia="Open Sans" w:hAnsi="Open Sans" w:cs="Open Sans"/>
          <w:color w:val="000000"/>
        </w:rPr>
        <w:t xml:space="preserve"> con</w:t>
      </w:r>
      <w:r>
        <w:rPr>
          <w:rFonts w:ascii="Open Sans" w:eastAsia="Open Sans" w:hAnsi="Open Sans" w:cs="Open Sans"/>
        </w:rPr>
        <w:t xml:space="preserve"> 8.564 </w:t>
      </w:r>
      <w:r>
        <w:rPr>
          <w:rFonts w:ascii="Open Sans" w:eastAsia="Open Sans" w:hAnsi="Open Sans" w:cs="Open Sans"/>
          <w:color w:val="000000"/>
        </w:rPr>
        <w:t>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</w:t>
      </w:r>
      <w:r>
        <w:rPr>
          <w:rFonts w:ascii="Open Sans" w:eastAsia="Open Sans" w:hAnsi="Open Sans" w:cs="Open Sans"/>
        </w:rPr>
        <w:t xml:space="preserve"> Eivissa</w:t>
      </w:r>
      <w:r>
        <w:rPr>
          <w:rFonts w:ascii="Open Sans" w:eastAsia="Open Sans" w:hAnsi="Open Sans" w:cs="Open Sans"/>
          <w:color w:val="000000"/>
        </w:rPr>
        <w:t xml:space="preserve"> con</w:t>
      </w:r>
      <w:r>
        <w:rPr>
          <w:rFonts w:ascii="Open Sans" w:eastAsia="Open Sans" w:hAnsi="Open Sans" w:cs="Open Sans"/>
        </w:rPr>
        <w:t xml:space="preserve"> 7.712 </w:t>
      </w:r>
      <w:r>
        <w:rPr>
          <w:rFonts w:ascii="Open Sans" w:eastAsia="Open Sans" w:hAnsi="Open Sans" w:cs="Open Sans"/>
          <w:color w:val="000000"/>
        </w:rPr>
        <w:t>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, </w:t>
      </w:r>
      <w:r>
        <w:rPr>
          <w:rFonts w:ascii="Open Sans" w:eastAsia="Open Sans" w:hAnsi="Open Sans" w:cs="Open Sans"/>
        </w:rPr>
        <w:t>Donostia - San Sebastián</w:t>
      </w:r>
      <w:r>
        <w:rPr>
          <w:rFonts w:ascii="Open Sans" w:eastAsia="Open Sans" w:hAnsi="Open Sans" w:cs="Open Sans"/>
          <w:color w:val="000000"/>
        </w:rPr>
        <w:t xml:space="preserve"> con</w:t>
      </w:r>
      <w:r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</w:rPr>
        <w:lastRenderedPageBreak/>
        <w:t xml:space="preserve">7.156 </w:t>
      </w:r>
      <w:r>
        <w:rPr>
          <w:rFonts w:ascii="Open Sans" w:eastAsia="Open Sans" w:hAnsi="Open Sans" w:cs="Open Sans"/>
          <w:color w:val="000000"/>
        </w:rPr>
        <w:t>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y </w:t>
      </w:r>
      <w:r>
        <w:rPr>
          <w:rFonts w:ascii="Open Sans" w:eastAsia="Open Sans" w:hAnsi="Open Sans" w:cs="Open Sans"/>
        </w:rPr>
        <w:t>Calvià</w:t>
      </w:r>
      <w:r>
        <w:rPr>
          <w:rFonts w:ascii="Open Sans" w:eastAsia="Open Sans" w:hAnsi="Open Sans" w:cs="Open Sans"/>
          <w:color w:val="000000"/>
        </w:rPr>
        <w:t xml:space="preserve"> con</w:t>
      </w:r>
      <w:r>
        <w:rPr>
          <w:rFonts w:ascii="Open Sans" w:eastAsia="Open Sans" w:hAnsi="Open Sans" w:cs="Open Sans"/>
        </w:rPr>
        <w:t xml:space="preserve"> 7.057 </w:t>
      </w:r>
      <w:r>
        <w:rPr>
          <w:rFonts w:ascii="Open Sans" w:eastAsia="Open Sans" w:hAnsi="Open Sans" w:cs="Open Sans"/>
          <w:color w:val="000000"/>
        </w:rPr>
        <w:t>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. Por otro lado, los municipios más económicos con precios inferiores a los 700 euros el metro cuadrado son: Mancha Real con 757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Pozoblanco con 772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La Bañeza con 776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Torredonjimeno con 779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Bailén con 782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y Manzanares con 794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.</w:t>
      </w:r>
    </w:p>
    <w:p w14:paraId="00000288" w14:textId="77777777" w:rsidR="00CE4D6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t>Municipios con mayor incremento interanual</w:t>
      </w:r>
    </w:p>
    <w:tbl>
      <w:tblPr>
        <w:tblStyle w:val="a2"/>
        <w:tblW w:w="8931" w:type="dxa"/>
        <w:tblInd w:w="-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268"/>
        <w:gridCol w:w="1701"/>
        <w:gridCol w:w="1560"/>
        <w:gridCol w:w="1701"/>
      </w:tblGrid>
      <w:tr w:rsidR="00CE4D68" w14:paraId="67BC07A7" w14:textId="77777777" w:rsidTr="00CE4D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00000289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Provincia</w:t>
            </w:r>
          </w:p>
        </w:tc>
        <w:tc>
          <w:tcPr>
            <w:tcW w:w="2268" w:type="dxa"/>
            <w:vAlign w:val="center"/>
          </w:tcPr>
          <w:p w14:paraId="0000028A" w14:textId="77777777" w:rsidR="00CE4D68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Municipio</w:t>
            </w:r>
          </w:p>
        </w:tc>
        <w:tc>
          <w:tcPr>
            <w:tcW w:w="1701" w:type="dxa"/>
            <w:vAlign w:val="center"/>
          </w:tcPr>
          <w:p w14:paraId="0000028B" w14:textId="77777777" w:rsidR="00CE4D6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Enero 2026</w:t>
            </w:r>
          </w:p>
          <w:p w14:paraId="0000028C" w14:textId="77777777" w:rsidR="00CE4D6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(euros/m²)</w:t>
            </w:r>
          </w:p>
        </w:tc>
        <w:tc>
          <w:tcPr>
            <w:tcW w:w="1560" w:type="dxa"/>
            <w:vAlign w:val="center"/>
          </w:tcPr>
          <w:p w14:paraId="0000028D" w14:textId="77777777" w:rsidR="00CE4D6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mensual (%)</w:t>
            </w:r>
          </w:p>
        </w:tc>
        <w:tc>
          <w:tcPr>
            <w:tcW w:w="1701" w:type="dxa"/>
            <w:vAlign w:val="center"/>
          </w:tcPr>
          <w:p w14:paraId="0000028E" w14:textId="77777777" w:rsidR="00CE4D6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interanual (%)</w:t>
            </w:r>
          </w:p>
        </w:tc>
      </w:tr>
      <w:tr w:rsidR="00CE4D68" w14:paraId="337E794B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28F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Cádiz</w:t>
            </w:r>
          </w:p>
        </w:tc>
        <w:tc>
          <w:tcPr>
            <w:tcW w:w="2268" w:type="dxa"/>
            <w:vAlign w:val="bottom"/>
          </w:tcPr>
          <w:p w14:paraId="00000290" w14:textId="77777777" w:rsidR="00CE4D68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La Alcaidesa</w:t>
            </w:r>
          </w:p>
        </w:tc>
        <w:tc>
          <w:tcPr>
            <w:tcW w:w="1701" w:type="dxa"/>
            <w:vAlign w:val="bottom"/>
          </w:tcPr>
          <w:p w14:paraId="00000291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5.028 €</w:t>
            </w:r>
          </w:p>
        </w:tc>
        <w:tc>
          <w:tcPr>
            <w:tcW w:w="1560" w:type="dxa"/>
            <w:vAlign w:val="bottom"/>
          </w:tcPr>
          <w:p w14:paraId="00000292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11,6%</w:t>
            </w:r>
          </w:p>
        </w:tc>
        <w:tc>
          <w:tcPr>
            <w:tcW w:w="1701" w:type="dxa"/>
            <w:vAlign w:val="bottom"/>
          </w:tcPr>
          <w:p w14:paraId="00000293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77,4%</w:t>
            </w:r>
          </w:p>
        </w:tc>
      </w:tr>
      <w:tr w:rsidR="00CE4D68" w14:paraId="1600141B" w14:textId="77777777" w:rsidTr="00CE4D68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294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Alicante</w:t>
            </w:r>
          </w:p>
        </w:tc>
        <w:tc>
          <w:tcPr>
            <w:tcW w:w="2268" w:type="dxa"/>
            <w:vAlign w:val="bottom"/>
          </w:tcPr>
          <w:p w14:paraId="00000295" w14:textId="77777777" w:rsidR="00CE4D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Bigastro</w:t>
            </w:r>
          </w:p>
        </w:tc>
        <w:tc>
          <w:tcPr>
            <w:tcW w:w="1701" w:type="dxa"/>
            <w:vAlign w:val="bottom"/>
          </w:tcPr>
          <w:p w14:paraId="00000296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1.425 €</w:t>
            </w:r>
          </w:p>
        </w:tc>
        <w:tc>
          <w:tcPr>
            <w:tcW w:w="1560" w:type="dxa"/>
            <w:vAlign w:val="bottom"/>
          </w:tcPr>
          <w:p w14:paraId="00000297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39,2%</w:t>
            </w:r>
          </w:p>
        </w:tc>
        <w:tc>
          <w:tcPr>
            <w:tcW w:w="1701" w:type="dxa"/>
            <w:vAlign w:val="bottom"/>
          </w:tcPr>
          <w:p w14:paraId="00000298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77,1%</w:t>
            </w:r>
          </w:p>
        </w:tc>
      </w:tr>
      <w:tr w:rsidR="00CE4D68" w14:paraId="1C100BD4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299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Alicante</w:t>
            </w:r>
          </w:p>
        </w:tc>
        <w:tc>
          <w:tcPr>
            <w:tcW w:w="2268" w:type="dxa"/>
            <w:vAlign w:val="bottom"/>
          </w:tcPr>
          <w:p w14:paraId="0000029A" w14:textId="77777777" w:rsidR="00CE4D68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La Nucia</w:t>
            </w:r>
          </w:p>
        </w:tc>
        <w:tc>
          <w:tcPr>
            <w:tcW w:w="1701" w:type="dxa"/>
            <w:vAlign w:val="bottom"/>
          </w:tcPr>
          <w:p w14:paraId="0000029B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3.872 €</w:t>
            </w:r>
          </w:p>
        </w:tc>
        <w:tc>
          <w:tcPr>
            <w:tcW w:w="1560" w:type="dxa"/>
            <w:vAlign w:val="bottom"/>
          </w:tcPr>
          <w:p w14:paraId="0000029C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1,6%</w:t>
            </w:r>
          </w:p>
        </w:tc>
        <w:tc>
          <w:tcPr>
            <w:tcW w:w="1701" w:type="dxa"/>
            <w:vAlign w:val="bottom"/>
          </w:tcPr>
          <w:p w14:paraId="0000029D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56,7%</w:t>
            </w:r>
          </w:p>
        </w:tc>
      </w:tr>
      <w:tr w:rsidR="00CE4D68" w14:paraId="2EA28A73" w14:textId="77777777" w:rsidTr="00CE4D68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29E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Almería</w:t>
            </w:r>
          </w:p>
        </w:tc>
        <w:tc>
          <w:tcPr>
            <w:tcW w:w="2268" w:type="dxa"/>
            <w:vAlign w:val="bottom"/>
          </w:tcPr>
          <w:p w14:paraId="0000029F" w14:textId="77777777" w:rsidR="00CE4D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Vera</w:t>
            </w:r>
          </w:p>
        </w:tc>
        <w:tc>
          <w:tcPr>
            <w:tcW w:w="1701" w:type="dxa"/>
            <w:vAlign w:val="bottom"/>
          </w:tcPr>
          <w:p w14:paraId="000002A0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2.831 €</w:t>
            </w:r>
          </w:p>
        </w:tc>
        <w:tc>
          <w:tcPr>
            <w:tcW w:w="1560" w:type="dxa"/>
            <w:vAlign w:val="bottom"/>
          </w:tcPr>
          <w:p w14:paraId="000002A1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0,7%</w:t>
            </w:r>
          </w:p>
        </w:tc>
        <w:tc>
          <w:tcPr>
            <w:tcW w:w="1701" w:type="dxa"/>
            <w:vAlign w:val="bottom"/>
          </w:tcPr>
          <w:p w14:paraId="000002A2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54,8%</w:t>
            </w:r>
          </w:p>
        </w:tc>
      </w:tr>
      <w:tr w:rsidR="00CE4D68" w14:paraId="2CA62DBA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2A3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Murcia</w:t>
            </w:r>
          </w:p>
        </w:tc>
        <w:tc>
          <w:tcPr>
            <w:tcW w:w="2268" w:type="dxa"/>
            <w:vAlign w:val="bottom"/>
          </w:tcPr>
          <w:p w14:paraId="000002A4" w14:textId="77777777" w:rsidR="00CE4D68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San Javier</w:t>
            </w:r>
          </w:p>
        </w:tc>
        <w:tc>
          <w:tcPr>
            <w:tcW w:w="1701" w:type="dxa"/>
            <w:vAlign w:val="bottom"/>
          </w:tcPr>
          <w:p w14:paraId="000002A5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2.207 €</w:t>
            </w:r>
          </w:p>
        </w:tc>
        <w:tc>
          <w:tcPr>
            <w:tcW w:w="1560" w:type="dxa"/>
            <w:vAlign w:val="bottom"/>
          </w:tcPr>
          <w:p w14:paraId="000002A6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2,4%</w:t>
            </w:r>
          </w:p>
        </w:tc>
        <w:tc>
          <w:tcPr>
            <w:tcW w:w="1701" w:type="dxa"/>
            <w:vAlign w:val="bottom"/>
          </w:tcPr>
          <w:p w14:paraId="000002A7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53,4%</w:t>
            </w:r>
          </w:p>
        </w:tc>
      </w:tr>
      <w:tr w:rsidR="00CE4D68" w14:paraId="7E350B23" w14:textId="77777777" w:rsidTr="00CE4D68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2A8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Santa Cruz de Tenerife</w:t>
            </w:r>
          </w:p>
        </w:tc>
        <w:tc>
          <w:tcPr>
            <w:tcW w:w="2268" w:type="dxa"/>
            <w:vAlign w:val="bottom"/>
          </w:tcPr>
          <w:p w14:paraId="000002A9" w14:textId="77777777" w:rsidR="00CE4D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Los Realejos</w:t>
            </w:r>
          </w:p>
        </w:tc>
        <w:tc>
          <w:tcPr>
            <w:tcW w:w="1701" w:type="dxa"/>
            <w:vAlign w:val="bottom"/>
          </w:tcPr>
          <w:p w14:paraId="000002AA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2.465 €</w:t>
            </w:r>
          </w:p>
        </w:tc>
        <w:tc>
          <w:tcPr>
            <w:tcW w:w="1560" w:type="dxa"/>
            <w:vAlign w:val="bottom"/>
          </w:tcPr>
          <w:p w14:paraId="000002AB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10,3%</w:t>
            </w:r>
          </w:p>
        </w:tc>
        <w:tc>
          <w:tcPr>
            <w:tcW w:w="1701" w:type="dxa"/>
            <w:vAlign w:val="bottom"/>
          </w:tcPr>
          <w:p w14:paraId="000002AC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45,6%</w:t>
            </w:r>
          </w:p>
        </w:tc>
      </w:tr>
      <w:tr w:rsidR="00CE4D68" w14:paraId="53F9445C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2AD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Granada</w:t>
            </w:r>
          </w:p>
        </w:tc>
        <w:tc>
          <w:tcPr>
            <w:tcW w:w="2268" w:type="dxa"/>
            <w:vAlign w:val="bottom"/>
          </w:tcPr>
          <w:p w14:paraId="000002AE" w14:textId="77777777" w:rsidR="00CE4D68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Atarfe</w:t>
            </w:r>
          </w:p>
        </w:tc>
        <w:tc>
          <w:tcPr>
            <w:tcW w:w="1701" w:type="dxa"/>
            <w:vAlign w:val="bottom"/>
          </w:tcPr>
          <w:p w14:paraId="000002AF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1.743 €</w:t>
            </w:r>
          </w:p>
        </w:tc>
        <w:tc>
          <w:tcPr>
            <w:tcW w:w="1560" w:type="dxa"/>
            <w:vAlign w:val="bottom"/>
          </w:tcPr>
          <w:p w14:paraId="000002B0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-2,0%</w:t>
            </w:r>
          </w:p>
        </w:tc>
        <w:tc>
          <w:tcPr>
            <w:tcW w:w="1701" w:type="dxa"/>
            <w:vAlign w:val="bottom"/>
          </w:tcPr>
          <w:p w14:paraId="000002B1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45,3%</w:t>
            </w:r>
          </w:p>
        </w:tc>
      </w:tr>
      <w:tr w:rsidR="00CE4D68" w14:paraId="1CC06700" w14:textId="77777777" w:rsidTr="00CE4D68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2B2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Barcelona</w:t>
            </w:r>
          </w:p>
        </w:tc>
        <w:tc>
          <w:tcPr>
            <w:tcW w:w="2268" w:type="dxa"/>
            <w:vAlign w:val="bottom"/>
          </w:tcPr>
          <w:p w14:paraId="000002B3" w14:textId="77777777" w:rsidR="00CE4D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Cubelles</w:t>
            </w:r>
          </w:p>
        </w:tc>
        <w:tc>
          <w:tcPr>
            <w:tcW w:w="1701" w:type="dxa"/>
            <w:vAlign w:val="bottom"/>
          </w:tcPr>
          <w:p w14:paraId="000002B4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3.656 €</w:t>
            </w:r>
          </w:p>
        </w:tc>
        <w:tc>
          <w:tcPr>
            <w:tcW w:w="1560" w:type="dxa"/>
            <w:vAlign w:val="bottom"/>
          </w:tcPr>
          <w:p w14:paraId="000002B5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9,8%</w:t>
            </w:r>
          </w:p>
        </w:tc>
        <w:tc>
          <w:tcPr>
            <w:tcW w:w="1701" w:type="dxa"/>
            <w:vAlign w:val="bottom"/>
          </w:tcPr>
          <w:p w14:paraId="000002B6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41,8%</w:t>
            </w:r>
          </w:p>
        </w:tc>
      </w:tr>
      <w:tr w:rsidR="00CE4D68" w14:paraId="1C3C1BDB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2B7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Valencia</w:t>
            </w:r>
          </w:p>
        </w:tc>
        <w:tc>
          <w:tcPr>
            <w:tcW w:w="2268" w:type="dxa"/>
            <w:vAlign w:val="bottom"/>
          </w:tcPr>
          <w:p w14:paraId="000002B8" w14:textId="77777777" w:rsidR="00CE4D68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Alfafar</w:t>
            </w:r>
          </w:p>
        </w:tc>
        <w:tc>
          <w:tcPr>
            <w:tcW w:w="1701" w:type="dxa"/>
            <w:vAlign w:val="bottom"/>
          </w:tcPr>
          <w:p w14:paraId="000002B9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2.272 €</w:t>
            </w:r>
          </w:p>
        </w:tc>
        <w:tc>
          <w:tcPr>
            <w:tcW w:w="1560" w:type="dxa"/>
            <w:vAlign w:val="bottom"/>
          </w:tcPr>
          <w:p w14:paraId="000002BA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1,9%</w:t>
            </w:r>
          </w:p>
        </w:tc>
        <w:tc>
          <w:tcPr>
            <w:tcW w:w="1701" w:type="dxa"/>
            <w:vAlign w:val="bottom"/>
          </w:tcPr>
          <w:p w14:paraId="000002BB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41,6%</w:t>
            </w:r>
          </w:p>
        </w:tc>
      </w:tr>
      <w:tr w:rsidR="00CE4D68" w14:paraId="49056485" w14:textId="77777777" w:rsidTr="00CE4D68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2BC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Valencia</w:t>
            </w:r>
          </w:p>
        </w:tc>
        <w:tc>
          <w:tcPr>
            <w:tcW w:w="2268" w:type="dxa"/>
            <w:vAlign w:val="bottom"/>
          </w:tcPr>
          <w:p w14:paraId="000002BD" w14:textId="77777777" w:rsidR="00CE4D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Xàtiva</w:t>
            </w:r>
          </w:p>
        </w:tc>
        <w:tc>
          <w:tcPr>
            <w:tcW w:w="1701" w:type="dxa"/>
            <w:vAlign w:val="bottom"/>
          </w:tcPr>
          <w:p w14:paraId="000002BE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1.602 €</w:t>
            </w:r>
          </w:p>
        </w:tc>
        <w:tc>
          <w:tcPr>
            <w:tcW w:w="1560" w:type="dxa"/>
            <w:vAlign w:val="bottom"/>
          </w:tcPr>
          <w:p w14:paraId="000002BF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-1,3%</w:t>
            </w:r>
          </w:p>
        </w:tc>
        <w:tc>
          <w:tcPr>
            <w:tcW w:w="1701" w:type="dxa"/>
            <w:vAlign w:val="bottom"/>
          </w:tcPr>
          <w:p w14:paraId="000002C0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41,1%</w:t>
            </w:r>
          </w:p>
        </w:tc>
      </w:tr>
    </w:tbl>
    <w:p w14:paraId="409854F0" w14:textId="77777777" w:rsidR="002E3E66" w:rsidRDefault="002E3E66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</w:p>
    <w:p w14:paraId="000002C1" w14:textId="2EA9BBDA" w:rsidR="00CE4D6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t>Municipios con mayor descenso interanual</w:t>
      </w:r>
    </w:p>
    <w:tbl>
      <w:tblPr>
        <w:tblStyle w:val="a3"/>
        <w:tblW w:w="8931" w:type="dxa"/>
        <w:tblInd w:w="-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268"/>
        <w:gridCol w:w="1714"/>
        <w:gridCol w:w="1554"/>
        <w:gridCol w:w="1694"/>
      </w:tblGrid>
      <w:tr w:rsidR="00CE4D68" w14:paraId="6EEE127D" w14:textId="77777777" w:rsidTr="00CE4D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000002C2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Provincia</w:t>
            </w:r>
          </w:p>
        </w:tc>
        <w:tc>
          <w:tcPr>
            <w:tcW w:w="2268" w:type="dxa"/>
            <w:vAlign w:val="center"/>
          </w:tcPr>
          <w:p w14:paraId="000002C3" w14:textId="77777777" w:rsidR="00CE4D68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Municipio</w:t>
            </w:r>
          </w:p>
        </w:tc>
        <w:tc>
          <w:tcPr>
            <w:tcW w:w="1714" w:type="dxa"/>
            <w:vAlign w:val="center"/>
          </w:tcPr>
          <w:p w14:paraId="000002C4" w14:textId="77777777" w:rsidR="00CE4D6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Enero 2026 (euros/m²)</w:t>
            </w:r>
          </w:p>
        </w:tc>
        <w:tc>
          <w:tcPr>
            <w:tcW w:w="1554" w:type="dxa"/>
            <w:vAlign w:val="center"/>
          </w:tcPr>
          <w:p w14:paraId="000002C5" w14:textId="77777777" w:rsidR="00CE4D6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mensual (%)</w:t>
            </w:r>
          </w:p>
        </w:tc>
        <w:tc>
          <w:tcPr>
            <w:tcW w:w="1694" w:type="dxa"/>
            <w:vAlign w:val="center"/>
          </w:tcPr>
          <w:p w14:paraId="000002C6" w14:textId="77777777" w:rsidR="00CE4D6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interanual (%)</w:t>
            </w:r>
          </w:p>
        </w:tc>
      </w:tr>
      <w:tr w:rsidR="00CE4D68" w14:paraId="3E482CE3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2C7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Palencia</w:t>
            </w:r>
          </w:p>
        </w:tc>
        <w:tc>
          <w:tcPr>
            <w:tcW w:w="2268" w:type="dxa"/>
            <w:vAlign w:val="bottom"/>
          </w:tcPr>
          <w:p w14:paraId="000002C8" w14:textId="77777777" w:rsidR="00CE4D68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Población de Arroyo</w:t>
            </w:r>
          </w:p>
        </w:tc>
        <w:tc>
          <w:tcPr>
            <w:tcW w:w="1714" w:type="dxa"/>
            <w:vAlign w:val="bottom"/>
          </w:tcPr>
          <w:p w14:paraId="000002C9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1.467 €</w:t>
            </w:r>
          </w:p>
        </w:tc>
        <w:tc>
          <w:tcPr>
            <w:tcW w:w="1554" w:type="dxa"/>
            <w:vAlign w:val="bottom"/>
          </w:tcPr>
          <w:p w14:paraId="000002CA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0,6%</w:t>
            </w:r>
          </w:p>
        </w:tc>
        <w:tc>
          <w:tcPr>
            <w:tcW w:w="1694" w:type="dxa"/>
            <w:vAlign w:val="bottom"/>
          </w:tcPr>
          <w:p w14:paraId="000002CB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-26,2%</w:t>
            </w:r>
          </w:p>
        </w:tc>
      </w:tr>
      <w:tr w:rsidR="00CE4D68" w14:paraId="71EED475" w14:textId="77777777" w:rsidTr="00CE4D68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2CC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Barcelona</w:t>
            </w:r>
          </w:p>
        </w:tc>
        <w:tc>
          <w:tcPr>
            <w:tcW w:w="2268" w:type="dxa"/>
            <w:vAlign w:val="bottom"/>
          </w:tcPr>
          <w:p w14:paraId="000002CD" w14:textId="77777777" w:rsidR="00CE4D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Martorell</w:t>
            </w:r>
          </w:p>
        </w:tc>
        <w:tc>
          <w:tcPr>
            <w:tcW w:w="1714" w:type="dxa"/>
            <w:vAlign w:val="bottom"/>
          </w:tcPr>
          <w:p w14:paraId="000002CE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2.008 €</w:t>
            </w:r>
          </w:p>
        </w:tc>
        <w:tc>
          <w:tcPr>
            <w:tcW w:w="1554" w:type="dxa"/>
            <w:vAlign w:val="bottom"/>
          </w:tcPr>
          <w:p w14:paraId="000002CF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-2,3%</w:t>
            </w:r>
          </w:p>
        </w:tc>
        <w:tc>
          <w:tcPr>
            <w:tcW w:w="1694" w:type="dxa"/>
            <w:vAlign w:val="bottom"/>
          </w:tcPr>
          <w:p w14:paraId="000002D0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-15,8%</w:t>
            </w:r>
          </w:p>
        </w:tc>
      </w:tr>
      <w:tr w:rsidR="00CE4D68" w14:paraId="72597E18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2D1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Jaén</w:t>
            </w:r>
          </w:p>
        </w:tc>
        <w:tc>
          <w:tcPr>
            <w:tcW w:w="2268" w:type="dxa"/>
            <w:vAlign w:val="bottom"/>
          </w:tcPr>
          <w:p w14:paraId="000002D2" w14:textId="77777777" w:rsidR="00CE4D68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Torredonjimeno</w:t>
            </w:r>
          </w:p>
        </w:tc>
        <w:tc>
          <w:tcPr>
            <w:tcW w:w="1714" w:type="dxa"/>
            <w:vAlign w:val="bottom"/>
          </w:tcPr>
          <w:p w14:paraId="000002D3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779 €</w:t>
            </w:r>
          </w:p>
        </w:tc>
        <w:tc>
          <w:tcPr>
            <w:tcW w:w="1554" w:type="dxa"/>
            <w:vAlign w:val="bottom"/>
          </w:tcPr>
          <w:p w14:paraId="000002D4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0,9%</w:t>
            </w:r>
          </w:p>
        </w:tc>
        <w:tc>
          <w:tcPr>
            <w:tcW w:w="1694" w:type="dxa"/>
            <w:vAlign w:val="bottom"/>
          </w:tcPr>
          <w:p w14:paraId="000002D5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-14,9%</w:t>
            </w:r>
          </w:p>
        </w:tc>
      </w:tr>
      <w:tr w:rsidR="00CE4D68" w14:paraId="6E4746A4" w14:textId="77777777" w:rsidTr="00CE4D68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2D6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Alicante</w:t>
            </w:r>
          </w:p>
        </w:tc>
        <w:tc>
          <w:tcPr>
            <w:tcW w:w="2268" w:type="dxa"/>
            <w:vAlign w:val="bottom"/>
          </w:tcPr>
          <w:p w14:paraId="000002D7" w14:textId="77777777" w:rsidR="00CE4D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Benijófar</w:t>
            </w:r>
          </w:p>
        </w:tc>
        <w:tc>
          <w:tcPr>
            <w:tcW w:w="1714" w:type="dxa"/>
            <w:vAlign w:val="bottom"/>
          </w:tcPr>
          <w:p w14:paraId="000002D8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3.817 €</w:t>
            </w:r>
          </w:p>
        </w:tc>
        <w:tc>
          <w:tcPr>
            <w:tcW w:w="1554" w:type="dxa"/>
            <w:vAlign w:val="bottom"/>
          </w:tcPr>
          <w:p w14:paraId="000002D9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2,8%</w:t>
            </w:r>
          </w:p>
        </w:tc>
        <w:tc>
          <w:tcPr>
            <w:tcW w:w="1694" w:type="dxa"/>
            <w:vAlign w:val="bottom"/>
          </w:tcPr>
          <w:p w14:paraId="000002DA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-14,6%</w:t>
            </w:r>
          </w:p>
        </w:tc>
      </w:tr>
      <w:tr w:rsidR="00CE4D68" w14:paraId="3F6DFF62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2DB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Barcelona</w:t>
            </w:r>
          </w:p>
        </w:tc>
        <w:tc>
          <w:tcPr>
            <w:tcW w:w="2268" w:type="dxa"/>
            <w:vAlign w:val="bottom"/>
          </w:tcPr>
          <w:p w14:paraId="000002DC" w14:textId="77777777" w:rsidR="00CE4D68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Sant Adrià de Besòs</w:t>
            </w:r>
          </w:p>
        </w:tc>
        <w:tc>
          <w:tcPr>
            <w:tcW w:w="1714" w:type="dxa"/>
            <w:vAlign w:val="bottom"/>
          </w:tcPr>
          <w:p w14:paraId="000002DD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3.076 €</w:t>
            </w:r>
          </w:p>
        </w:tc>
        <w:tc>
          <w:tcPr>
            <w:tcW w:w="1554" w:type="dxa"/>
            <w:vAlign w:val="bottom"/>
          </w:tcPr>
          <w:p w14:paraId="000002DE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2,0%</w:t>
            </w:r>
          </w:p>
        </w:tc>
        <w:tc>
          <w:tcPr>
            <w:tcW w:w="1694" w:type="dxa"/>
            <w:vAlign w:val="bottom"/>
          </w:tcPr>
          <w:p w14:paraId="000002DF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-8,6%</w:t>
            </w:r>
          </w:p>
        </w:tc>
      </w:tr>
      <w:tr w:rsidR="00CE4D68" w14:paraId="79EB2B8A" w14:textId="77777777" w:rsidTr="00CE4D68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2E0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León</w:t>
            </w:r>
          </w:p>
        </w:tc>
        <w:tc>
          <w:tcPr>
            <w:tcW w:w="2268" w:type="dxa"/>
            <w:vAlign w:val="bottom"/>
          </w:tcPr>
          <w:p w14:paraId="000002E1" w14:textId="77777777" w:rsidR="00CE4D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Astorga</w:t>
            </w:r>
          </w:p>
        </w:tc>
        <w:tc>
          <w:tcPr>
            <w:tcW w:w="1714" w:type="dxa"/>
            <w:vAlign w:val="bottom"/>
          </w:tcPr>
          <w:p w14:paraId="000002E2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837 €</w:t>
            </w:r>
          </w:p>
        </w:tc>
        <w:tc>
          <w:tcPr>
            <w:tcW w:w="1554" w:type="dxa"/>
            <w:vAlign w:val="bottom"/>
          </w:tcPr>
          <w:p w14:paraId="000002E3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-1,2%</w:t>
            </w:r>
          </w:p>
        </w:tc>
        <w:tc>
          <w:tcPr>
            <w:tcW w:w="1694" w:type="dxa"/>
            <w:vAlign w:val="bottom"/>
          </w:tcPr>
          <w:p w14:paraId="000002E4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-7,5%</w:t>
            </w:r>
          </w:p>
        </w:tc>
      </w:tr>
      <w:tr w:rsidR="00CE4D68" w14:paraId="4DF23E46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2E5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Huelva</w:t>
            </w:r>
          </w:p>
        </w:tc>
        <w:tc>
          <w:tcPr>
            <w:tcW w:w="2268" w:type="dxa"/>
            <w:vAlign w:val="bottom"/>
          </w:tcPr>
          <w:p w14:paraId="000002E6" w14:textId="77777777" w:rsidR="00CE4D68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Ayamonte</w:t>
            </w:r>
          </w:p>
        </w:tc>
        <w:tc>
          <w:tcPr>
            <w:tcW w:w="1714" w:type="dxa"/>
            <w:vAlign w:val="bottom"/>
          </w:tcPr>
          <w:p w14:paraId="000002E7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2.369 €</w:t>
            </w:r>
          </w:p>
        </w:tc>
        <w:tc>
          <w:tcPr>
            <w:tcW w:w="1554" w:type="dxa"/>
            <w:vAlign w:val="bottom"/>
          </w:tcPr>
          <w:p w14:paraId="000002E8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-5,4%</w:t>
            </w:r>
          </w:p>
        </w:tc>
        <w:tc>
          <w:tcPr>
            <w:tcW w:w="1694" w:type="dxa"/>
            <w:vAlign w:val="bottom"/>
          </w:tcPr>
          <w:p w14:paraId="000002E9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-7,3%</w:t>
            </w:r>
          </w:p>
        </w:tc>
      </w:tr>
      <w:tr w:rsidR="00CE4D68" w14:paraId="614BE80F" w14:textId="77777777" w:rsidTr="00CE4D68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2EA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Girona</w:t>
            </w:r>
          </w:p>
        </w:tc>
        <w:tc>
          <w:tcPr>
            <w:tcW w:w="2268" w:type="dxa"/>
            <w:vAlign w:val="bottom"/>
          </w:tcPr>
          <w:p w14:paraId="000002EB" w14:textId="77777777" w:rsidR="00CE4D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Blanes</w:t>
            </w:r>
          </w:p>
        </w:tc>
        <w:tc>
          <w:tcPr>
            <w:tcW w:w="1714" w:type="dxa"/>
            <w:vAlign w:val="bottom"/>
          </w:tcPr>
          <w:p w14:paraId="000002EC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1.948 €</w:t>
            </w:r>
          </w:p>
        </w:tc>
        <w:tc>
          <w:tcPr>
            <w:tcW w:w="1554" w:type="dxa"/>
            <w:vAlign w:val="bottom"/>
          </w:tcPr>
          <w:p w14:paraId="000002ED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1,7%</w:t>
            </w:r>
          </w:p>
        </w:tc>
        <w:tc>
          <w:tcPr>
            <w:tcW w:w="1694" w:type="dxa"/>
            <w:vAlign w:val="bottom"/>
          </w:tcPr>
          <w:p w14:paraId="000002EE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-6,8%</w:t>
            </w:r>
          </w:p>
        </w:tc>
      </w:tr>
      <w:tr w:rsidR="00CE4D68" w14:paraId="38125F1E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2EF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Cantabria</w:t>
            </w:r>
          </w:p>
        </w:tc>
        <w:tc>
          <w:tcPr>
            <w:tcW w:w="2268" w:type="dxa"/>
            <w:vAlign w:val="bottom"/>
          </w:tcPr>
          <w:p w14:paraId="000002F0" w14:textId="77777777" w:rsidR="00CE4D68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El Astillero</w:t>
            </w:r>
          </w:p>
        </w:tc>
        <w:tc>
          <w:tcPr>
            <w:tcW w:w="1714" w:type="dxa"/>
            <w:vAlign w:val="bottom"/>
          </w:tcPr>
          <w:p w14:paraId="000002F1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1.654 €</w:t>
            </w:r>
          </w:p>
        </w:tc>
        <w:tc>
          <w:tcPr>
            <w:tcW w:w="1554" w:type="dxa"/>
            <w:vAlign w:val="bottom"/>
          </w:tcPr>
          <w:p w14:paraId="000002F2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2,3%</w:t>
            </w:r>
          </w:p>
        </w:tc>
        <w:tc>
          <w:tcPr>
            <w:tcW w:w="1694" w:type="dxa"/>
            <w:vAlign w:val="bottom"/>
          </w:tcPr>
          <w:p w14:paraId="000002F3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-5,2%</w:t>
            </w:r>
          </w:p>
        </w:tc>
      </w:tr>
      <w:tr w:rsidR="00CE4D68" w14:paraId="33D7C94E" w14:textId="77777777" w:rsidTr="00CE4D68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2F4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Girona</w:t>
            </w:r>
          </w:p>
        </w:tc>
        <w:tc>
          <w:tcPr>
            <w:tcW w:w="2268" w:type="dxa"/>
            <w:vAlign w:val="bottom"/>
          </w:tcPr>
          <w:p w14:paraId="000002F5" w14:textId="77777777" w:rsidR="00CE4D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Olot</w:t>
            </w:r>
          </w:p>
        </w:tc>
        <w:tc>
          <w:tcPr>
            <w:tcW w:w="1714" w:type="dxa"/>
            <w:vAlign w:val="bottom"/>
          </w:tcPr>
          <w:p w14:paraId="000002F6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2.086 €</w:t>
            </w:r>
          </w:p>
        </w:tc>
        <w:tc>
          <w:tcPr>
            <w:tcW w:w="1554" w:type="dxa"/>
            <w:vAlign w:val="bottom"/>
          </w:tcPr>
          <w:p w14:paraId="000002F7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-0,3%</w:t>
            </w:r>
          </w:p>
        </w:tc>
        <w:tc>
          <w:tcPr>
            <w:tcW w:w="1694" w:type="dxa"/>
            <w:vAlign w:val="bottom"/>
          </w:tcPr>
          <w:p w14:paraId="000002F8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-4,2%</w:t>
            </w:r>
          </w:p>
        </w:tc>
      </w:tr>
    </w:tbl>
    <w:p w14:paraId="13FC8A80" w14:textId="77777777" w:rsidR="002E3E66" w:rsidRDefault="002E3E66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</w:p>
    <w:p w14:paraId="49C1E638" w14:textId="77777777" w:rsidR="002E3E66" w:rsidRDefault="002E3E66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</w:p>
    <w:p w14:paraId="000002F9" w14:textId="5A5A0014" w:rsidR="00CE4D6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lastRenderedPageBreak/>
        <w:t xml:space="preserve">Municipios con mayor precio </w:t>
      </w:r>
    </w:p>
    <w:tbl>
      <w:tblPr>
        <w:tblStyle w:val="a4"/>
        <w:tblW w:w="8931" w:type="dxa"/>
        <w:tblInd w:w="-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268"/>
        <w:gridCol w:w="1701"/>
        <w:gridCol w:w="1560"/>
        <w:gridCol w:w="1701"/>
      </w:tblGrid>
      <w:tr w:rsidR="00CE4D68" w14:paraId="78529325" w14:textId="77777777" w:rsidTr="00CE4D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000002FA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Provincia</w:t>
            </w:r>
          </w:p>
        </w:tc>
        <w:tc>
          <w:tcPr>
            <w:tcW w:w="2268" w:type="dxa"/>
            <w:vAlign w:val="center"/>
          </w:tcPr>
          <w:p w14:paraId="000002FB" w14:textId="77777777" w:rsidR="00CE4D68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Municipio</w:t>
            </w:r>
          </w:p>
        </w:tc>
        <w:tc>
          <w:tcPr>
            <w:tcW w:w="1701" w:type="dxa"/>
            <w:vAlign w:val="center"/>
          </w:tcPr>
          <w:p w14:paraId="000002FC" w14:textId="77777777" w:rsidR="00CE4D6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Enero 2026 (euros/m²)</w:t>
            </w:r>
          </w:p>
        </w:tc>
        <w:tc>
          <w:tcPr>
            <w:tcW w:w="1560" w:type="dxa"/>
            <w:vAlign w:val="center"/>
          </w:tcPr>
          <w:p w14:paraId="000002FD" w14:textId="77777777" w:rsidR="00CE4D6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mensual (%)</w:t>
            </w:r>
          </w:p>
        </w:tc>
        <w:tc>
          <w:tcPr>
            <w:tcW w:w="1701" w:type="dxa"/>
            <w:vAlign w:val="center"/>
          </w:tcPr>
          <w:p w14:paraId="000002FE" w14:textId="77777777" w:rsidR="00CE4D6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interanual (%)</w:t>
            </w:r>
          </w:p>
        </w:tc>
      </w:tr>
      <w:tr w:rsidR="00CE4D68" w14:paraId="12E3DC2B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2FF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Illes Balears</w:t>
            </w:r>
          </w:p>
        </w:tc>
        <w:tc>
          <w:tcPr>
            <w:tcW w:w="2268" w:type="dxa"/>
            <w:vAlign w:val="bottom"/>
          </w:tcPr>
          <w:p w14:paraId="00000300" w14:textId="77777777" w:rsidR="00CE4D68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Santa Eulària des Riu</w:t>
            </w:r>
          </w:p>
        </w:tc>
        <w:tc>
          <w:tcPr>
            <w:tcW w:w="1701" w:type="dxa"/>
            <w:vAlign w:val="bottom"/>
          </w:tcPr>
          <w:p w14:paraId="00000301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8.564 €</w:t>
            </w:r>
          </w:p>
        </w:tc>
        <w:tc>
          <w:tcPr>
            <w:tcW w:w="1560" w:type="dxa"/>
            <w:vAlign w:val="bottom"/>
          </w:tcPr>
          <w:p w14:paraId="00000302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0,8%</w:t>
            </w:r>
          </w:p>
        </w:tc>
        <w:tc>
          <w:tcPr>
            <w:tcW w:w="1701" w:type="dxa"/>
            <w:vAlign w:val="bottom"/>
          </w:tcPr>
          <w:p w14:paraId="00000303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0,4%</w:t>
            </w:r>
          </w:p>
        </w:tc>
      </w:tr>
      <w:tr w:rsidR="00CE4D68" w14:paraId="4A821C7C" w14:textId="77777777" w:rsidTr="00CE4D68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304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Illes Balears</w:t>
            </w:r>
          </w:p>
        </w:tc>
        <w:tc>
          <w:tcPr>
            <w:tcW w:w="2268" w:type="dxa"/>
            <w:vAlign w:val="bottom"/>
          </w:tcPr>
          <w:p w14:paraId="00000305" w14:textId="77777777" w:rsidR="00CE4D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Eivissa</w:t>
            </w:r>
          </w:p>
        </w:tc>
        <w:tc>
          <w:tcPr>
            <w:tcW w:w="1701" w:type="dxa"/>
            <w:vAlign w:val="bottom"/>
          </w:tcPr>
          <w:p w14:paraId="00000306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7.712 €</w:t>
            </w:r>
          </w:p>
        </w:tc>
        <w:tc>
          <w:tcPr>
            <w:tcW w:w="1560" w:type="dxa"/>
            <w:vAlign w:val="bottom"/>
          </w:tcPr>
          <w:p w14:paraId="00000307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0,3%</w:t>
            </w:r>
          </w:p>
        </w:tc>
        <w:tc>
          <w:tcPr>
            <w:tcW w:w="1701" w:type="dxa"/>
            <w:vAlign w:val="bottom"/>
          </w:tcPr>
          <w:p w14:paraId="00000308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13,0%</w:t>
            </w:r>
          </w:p>
        </w:tc>
      </w:tr>
      <w:tr w:rsidR="00CE4D68" w14:paraId="7C8BAA18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309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Gipuzkoa</w:t>
            </w:r>
          </w:p>
        </w:tc>
        <w:tc>
          <w:tcPr>
            <w:tcW w:w="2268" w:type="dxa"/>
            <w:vAlign w:val="bottom"/>
          </w:tcPr>
          <w:p w14:paraId="0000030A" w14:textId="77777777" w:rsidR="00CE4D68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Donostia - San Sebastián</w:t>
            </w:r>
          </w:p>
        </w:tc>
        <w:tc>
          <w:tcPr>
            <w:tcW w:w="1701" w:type="dxa"/>
            <w:vAlign w:val="bottom"/>
          </w:tcPr>
          <w:p w14:paraId="0000030B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7.156 €</w:t>
            </w:r>
          </w:p>
        </w:tc>
        <w:tc>
          <w:tcPr>
            <w:tcW w:w="1560" w:type="dxa"/>
            <w:vAlign w:val="bottom"/>
          </w:tcPr>
          <w:p w14:paraId="0000030C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701" w:type="dxa"/>
            <w:vAlign w:val="bottom"/>
          </w:tcPr>
          <w:p w14:paraId="0000030D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8,3%</w:t>
            </w:r>
          </w:p>
        </w:tc>
      </w:tr>
      <w:tr w:rsidR="00CE4D68" w14:paraId="15094DE3" w14:textId="77777777" w:rsidTr="00CE4D68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30E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Illes Balears</w:t>
            </w:r>
          </w:p>
        </w:tc>
        <w:tc>
          <w:tcPr>
            <w:tcW w:w="2268" w:type="dxa"/>
            <w:vAlign w:val="bottom"/>
          </w:tcPr>
          <w:p w14:paraId="0000030F" w14:textId="77777777" w:rsidR="00CE4D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Calvià</w:t>
            </w:r>
          </w:p>
        </w:tc>
        <w:tc>
          <w:tcPr>
            <w:tcW w:w="1701" w:type="dxa"/>
            <w:vAlign w:val="bottom"/>
          </w:tcPr>
          <w:p w14:paraId="00000310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7.057 €</w:t>
            </w:r>
          </w:p>
        </w:tc>
        <w:tc>
          <w:tcPr>
            <w:tcW w:w="1560" w:type="dxa"/>
            <w:vAlign w:val="bottom"/>
          </w:tcPr>
          <w:p w14:paraId="00000311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4,6%</w:t>
            </w:r>
          </w:p>
        </w:tc>
        <w:tc>
          <w:tcPr>
            <w:tcW w:w="1701" w:type="dxa"/>
            <w:vAlign w:val="bottom"/>
          </w:tcPr>
          <w:p w14:paraId="00000312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11,2%</w:t>
            </w:r>
          </w:p>
        </w:tc>
      </w:tr>
      <w:tr w:rsidR="00CE4D68" w14:paraId="20FDB7FC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313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Illes Balears</w:t>
            </w:r>
          </w:p>
        </w:tc>
        <w:tc>
          <w:tcPr>
            <w:tcW w:w="2268" w:type="dxa"/>
            <w:vAlign w:val="bottom"/>
          </w:tcPr>
          <w:p w14:paraId="00000314" w14:textId="77777777" w:rsidR="00CE4D68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Campos</w:t>
            </w:r>
          </w:p>
        </w:tc>
        <w:tc>
          <w:tcPr>
            <w:tcW w:w="1701" w:type="dxa"/>
            <w:vAlign w:val="bottom"/>
          </w:tcPr>
          <w:p w14:paraId="00000315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6.724 €</w:t>
            </w:r>
          </w:p>
        </w:tc>
        <w:tc>
          <w:tcPr>
            <w:tcW w:w="1560" w:type="dxa"/>
            <w:vAlign w:val="bottom"/>
          </w:tcPr>
          <w:p w14:paraId="00000316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-1,0%</w:t>
            </w:r>
          </w:p>
        </w:tc>
        <w:tc>
          <w:tcPr>
            <w:tcW w:w="1701" w:type="dxa"/>
            <w:vAlign w:val="bottom"/>
          </w:tcPr>
          <w:p w14:paraId="00000317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23,3%</w:t>
            </w:r>
          </w:p>
        </w:tc>
      </w:tr>
      <w:tr w:rsidR="00CE4D68" w14:paraId="40881311" w14:textId="77777777" w:rsidTr="00CE4D68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318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Madrid</w:t>
            </w:r>
          </w:p>
        </w:tc>
        <w:tc>
          <w:tcPr>
            <w:tcW w:w="2268" w:type="dxa"/>
            <w:vAlign w:val="bottom"/>
          </w:tcPr>
          <w:p w14:paraId="00000319" w14:textId="77777777" w:rsidR="00CE4D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Madrid capital</w:t>
            </w:r>
          </w:p>
        </w:tc>
        <w:tc>
          <w:tcPr>
            <w:tcW w:w="1701" w:type="dxa"/>
            <w:vAlign w:val="bottom"/>
          </w:tcPr>
          <w:p w14:paraId="0000031A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6.465 €</w:t>
            </w:r>
          </w:p>
        </w:tc>
        <w:tc>
          <w:tcPr>
            <w:tcW w:w="1560" w:type="dxa"/>
            <w:vAlign w:val="bottom"/>
          </w:tcPr>
          <w:p w14:paraId="0000031B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701" w:type="dxa"/>
            <w:vAlign w:val="bottom"/>
          </w:tcPr>
          <w:p w14:paraId="0000031C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15,5%</w:t>
            </w:r>
          </w:p>
        </w:tc>
      </w:tr>
      <w:tr w:rsidR="00CE4D68" w14:paraId="3F5048D2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31D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Barcelona</w:t>
            </w:r>
          </w:p>
        </w:tc>
        <w:tc>
          <w:tcPr>
            <w:tcW w:w="2268" w:type="dxa"/>
            <w:vAlign w:val="bottom"/>
          </w:tcPr>
          <w:p w14:paraId="0000031E" w14:textId="77777777" w:rsidR="00CE4D68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Sant Cugat del Vallès</w:t>
            </w:r>
          </w:p>
        </w:tc>
        <w:tc>
          <w:tcPr>
            <w:tcW w:w="1701" w:type="dxa"/>
            <w:vAlign w:val="bottom"/>
          </w:tcPr>
          <w:p w14:paraId="0000031F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6.144 €</w:t>
            </w:r>
          </w:p>
        </w:tc>
        <w:tc>
          <w:tcPr>
            <w:tcW w:w="1560" w:type="dxa"/>
            <w:vAlign w:val="bottom"/>
          </w:tcPr>
          <w:p w14:paraId="00000320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1,6%</w:t>
            </w:r>
          </w:p>
        </w:tc>
        <w:tc>
          <w:tcPr>
            <w:tcW w:w="1701" w:type="dxa"/>
            <w:vAlign w:val="bottom"/>
          </w:tcPr>
          <w:p w14:paraId="00000321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15,8%</w:t>
            </w:r>
          </w:p>
        </w:tc>
      </w:tr>
      <w:tr w:rsidR="00CE4D68" w14:paraId="06066B5F" w14:textId="77777777" w:rsidTr="00CE4D68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322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Barcelona</w:t>
            </w:r>
          </w:p>
        </w:tc>
        <w:tc>
          <w:tcPr>
            <w:tcW w:w="2268" w:type="dxa"/>
            <w:vAlign w:val="bottom"/>
          </w:tcPr>
          <w:p w14:paraId="00000323" w14:textId="77777777" w:rsidR="00CE4D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Sitges</w:t>
            </w:r>
          </w:p>
        </w:tc>
        <w:tc>
          <w:tcPr>
            <w:tcW w:w="1701" w:type="dxa"/>
            <w:vAlign w:val="bottom"/>
          </w:tcPr>
          <w:p w14:paraId="00000324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5.882 €</w:t>
            </w:r>
          </w:p>
        </w:tc>
        <w:tc>
          <w:tcPr>
            <w:tcW w:w="1560" w:type="dxa"/>
            <w:vAlign w:val="bottom"/>
          </w:tcPr>
          <w:p w14:paraId="00000325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-2,9%</w:t>
            </w:r>
          </w:p>
        </w:tc>
        <w:tc>
          <w:tcPr>
            <w:tcW w:w="1701" w:type="dxa"/>
            <w:vAlign w:val="bottom"/>
          </w:tcPr>
          <w:p w14:paraId="00000326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16,4%</w:t>
            </w:r>
          </w:p>
        </w:tc>
      </w:tr>
      <w:tr w:rsidR="00CE4D68" w14:paraId="3F51CF23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327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Málaga</w:t>
            </w:r>
          </w:p>
        </w:tc>
        <w:tc>
          <w:tcPr>
            <w:tcW w:w="2268" w:type="dxa"/>
            <w:vAlign w:val="bottom"/>
          </w:tcPr>
          <w:p w14:paraId="00000328" w14:textId="77777777" w:rsidR="00CE4D68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Marbella</w:t>
            </w:r>
          </w:p>
        </w:tc>
        <w:tc>
          <w:tcPr>
            <w:tcW w:w="1701" w:type="dxa"/>
            <w:vAlign w:val="bottom"/>
          </w:tcPr>
          <w:p w14:paraId="00000329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5.538 €</w:t>
            </w:r>
          </w:p>
        </w:tc>
        <w:tc>
          <w:tcPr>
            <w:tcW w:w="1560" w:type="dxa"/>
            <w:vAlign w:val="bottom"/>
          </w:tcPr>
          <w:p w14:paraId="0000032A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2,1%</w:t>
            </w:r>
          </w:p>
        </w:tc>
        <w:tc>
          <w:tcPr>
            <w:tcW w:w="1701" w:type="dxa"/>
            <w:vAlign w:val="bottom"/>
          </w:tcPr>
          <w:p w14:paraId="0000032B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8,0%</w:t>
            </w:r>
          </w:p>
        </w:tc>
      </w:tr>
      <w:tr w:rsidR="00CE4D68" w14:paraId="40845153" w14:textId="77777777" w:rsidTr="00CE4D68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32C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Málaga</w:t>
            </w:r>
          </w:p>
        </w:tc>
        <w:tc>
          <w:tcPr>
            <w:tcW w:w="2268" w:type="dxa"/>
            <w:vAlign w:val="bottom"/>
          </w:tcPr>
          <w:p w14:paraId="0000032D" w14:textId="77777777" w:rsidR="00CE4D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Benahavís</w:t>
            </w:r>
          </w:p>
        </w:tc>
        <w:tc>
          <w:tcPr>
            <w:tcW w:w="1701" w:type="dxa"/>
            <w:vAlign w:val="bottom"/>
          </w:tcPr>
          <w:p w14:paraId="0000032E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5.504 €</w:t>
            </w:r>
          </w:p>
        </w:tc>
        <w:tc>
          <w:tcPr>
            <w:tcW w:w="1560" w:type="dxa"/>
            <w:vAlign w:val="bottom"/>
          </w:tcPr>
          <w:p w14:paraId="0000032F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-1,8%</w:t>
            </w:r>
          </w:p>
        </w:tc>
        <w:tc>
          <w:tcPr>
            <w:tcW w:w="1701" w:type="dxa"/>
            <w:vAlign w:val="bottom"/>
          </w:tcPr>
          <w:p w14:paraId="00000330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0,7%</w:t>
            </w:r>
          </w:p>
        </w:tc>
      </w:tr>
    </w:tbl>
    <w:p w14:paraId="00000331" w14:textId="77777777" w:rsidR="00CE4D6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t xml:space="preserve">Municipios con menor precio </w:t>
      </w:r>
    </w:p>
    <w:tbl>
      <w:tblPr>
        <w:tblStyle w:val="a5"/>
        <w:tblW w:w="8931" w:type="dxa"/>
        <w:tblInd w:w="-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268"/>
        <w:gridCol w:w="1701"/>
        <w:gridCol w:w="1560"/>
        <w:gridCol w:w="1701"/>
      </w:tblGrid>
      <w:tr w:rsidR="00CE4D68" w14:paraId="2F30AE4D" w14:textId="77777777" w:rsidTr="00CE4D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00000332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Provincia</w:t>
            </w:r>
          </w:p>
        </w:tc>
        <w:tc>
          <w:tcPr>
            <w:tcW w:w="2268" w:type="dxa"/>
            <w:vAlign w:val="center"/>
          </w:tcPr>
          <w:p w14:paraId="00000333" w14:textId="77777777" w:rsidR="00CE4D68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Municipio</w:t>
            </w:r>
          </w:p>
        </w:tc>
        <w:tc>
          <w:tcPr>
            <w:tcW w:w="1701" w:type="dxa"/>
            <w:vAlign w:val="center"/>
          </w:tcPr>
          <w:p w14:paraId="00000334" w14:textId="77777777" w:rsidR="00CE4D6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Enero 2026 (euros/m²)</w:t>
            </w:r>
          </w:p>
        </w:tc>
        <w:tc>
          <w:tcPr>
            <w:tcW w:w="1560" w:type="dxa"/>
            <w:vAlign w:val="center"/>
          </w:tcPr>
          <w:p w14:paraId="00000335" w14:textId="77777777" w:rsidR="00CE4D6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mensual (%)</w:t>
            </w:r>
          </w:p>
        </w:tc>
        <w:tc>
          <w:tcPr>
            <w:tcW w:w="1701" w:type="dxa"/>
            <w:vAlign w:val="center"/>
          </w:tcPr>
          <w:p w14:paraId="00000336" w14:textId="77777777" w:rsidR="00CE4D6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interanual (%)</w:t>
            </w:r>
          </w:p>
        </w:tc>
      </w:tr>
      <w:tr w:rsidR="00CE4D68" w14:paraId="799B8EF2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337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Jaén</w:t>
            </w:r>
          </w:p>
        </w:tc>
        <w:tc>
          <w:tcPr>
            <w:tcW w:w="2268" w:type="dxa"/>
            <w:vAlign w:val="bottom"/>
          </w:tcPr>
          <w:p w14:paraId="00000338" w14:textId="77777777" w:rsidR="00CE4D68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Mancha Real</w:t>
            </w:r>
          </w:p>
        </w:tc>
        <w:tc>
          <w:tcPr>
            <w:tcW w:w="1701" w:type="dxa"/>
            <w:vAlign w:val="bottom"/>
          </w:tcPr>
          <w:p w14:paraId="00000339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757 €</w:t>
            </w:r>
          </w:p>
        </w:tc>
        <w:tc>
          <w:tcPr>
            <w:tcW w:w="1560" w:type="dxa"/>
            <w:vAlign w:val="bottom"/>
          </w:tcPr>
          <w:p w14:paraId="0000033A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1,3%</w:t>
            </w:r>
          </w:p>
        </w:tc>
        <w:tc>
          <w:tcPr>
            <w:tcW w:w="1701" w:type="dxa"/>
            <w:vAlign w:val="bottom"/>
          </w:tcPr>
          <w:p w14:paraId="0000033B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9,2%</w:t>
            </w:r>
          </w:p>
        </w:tc>
      </w:tr>
      <w:tr w:rsidR="00CE4D68" w14:paraId="5FC7C4FC" w14:textId="77777777" w:rsidTr="00CE4D68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33C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Córdoba</w:t>
            </w:r>
          </w:p>
        </w:tc>
        <w:tc>
          <w:tcPr>
            <w:tcW w:w="2268" w:type="dxa"/>
            <w:vAlign w:val="bottom"/>
          </w:tcPr>
          <w:p w14:paraId="0000033D" w14:textId="77777777" w:rsidR="00CE4D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Pozoblanco</w:t>
            </w:r>
          </w:p>
        </w:tc>
        <w:tc>
          <w:tcPr>
            <w:tcW w:w="1701" w:type="dxa"/>
            <w:vAlign w:val="bottom"/>
          </w:tcPr>
          <w:p w14:paraId="0000033E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772 €</w:t>
            </w:r>
          </w:p>
        </w:tc>
        <w:tc>
          <w:tcPr>
            <w:tcW w:w="1560" w:type="dxa"/>
            <w:vAlign w:val="bottom"/>
          </w:tcPr>
          <w:p w14:paraId="0000033F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2,1%</w:t>
            </w:r>
          </w:p>
        </w:tc>
        <w:tc>
          <w:tcPr>
            <w:tcW w:w="1701" w:type="dxa"/>
            <w:vAlign w:val="bottom"/>
          </w:tcPr>
          <w:p w14:paraId="00000340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-1,7%</w:t>
            </w:r>
          </w:p>
        </w:tc>
      </w:tr>
      <w:tr w:rsidR="00CE4D68" w14:paraId="0DDCE71E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341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León</w:t>
            </w:r>
          </w:p>
        </w:tc>
        <w:tc>
          <w:tcPr>
            <w:tcW w:w="2268" w:type="dxa"/>
            <w:vAlign w:val="bottom"/>
          </w:tcPr>
          <w:p w14:paraId="00000342" w14:textId="77777777" w:rsidR="00CE4D68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La Bañeza</w:t>
            </w:r>
          </w:p>
        </w:tc>
        <w:tc>
          <w:tcPr>
            <w:tcW w:w="1701" w:type="dxa"/>
            <w:vAlign w:val="bottom"/>
          </w:tcPr>
          <w:p w14:paraId="00000343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776 €</w:t>
            </w:r>
          </w:p>
        </w:tc>
        <w:tc>
          <w:tcPr>
            <w:tcW w:w="1560" w:type="dxa"/>
            <w:vAlign w:val="bottom"/>
          </w:tcPr>
          <w:p w14:paraId="00000344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1,9%</w:t>
            </w:r>
          </w:p>
        </w:tc>
        <w:tc>
          <w:tcPr>
            <w:tcW w:w="1701" w:type="dxa"/>
            <w:vAlign w:val="bottom"/>
          </w:tcPr>
          <w:p w14:paraId="00000345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1,9%</w:t>
            </w:r>
          </w:p>
        </w:tc>
      </w:tr>
      <w:tr w:rsidR="00CE4D68" w14:paraId="6E9B2F21" w14:textId="77777777" w:rsidTr="00CE4D68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346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Jaén</w:t>
            </w:r>
          </w:p>
        </w:tc>
        <w:tc>
          <w:tcPr>
            <w:tcW w:w="2268" w:type="dxa"/>
            <w:vAlign w:val="bottom"/>
          </w:tcPr>
          <w:p w14:paraId="00000347" w14:textId="77777777" w:rsidR="00CE4D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Torredonjimeno</w:t>
            </w:r>
          </w:p>
        </w:tc>
        <w:tc>
          <w:tcPr>
            <w:tcW w:w="1701" w:type="dxa"/>
            <w:vAlign w:val="bottom"/>
          </w:tcPr>
          <w:p w14:paraId="00000348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779 €</w:t>
            </w:r>
          </w:p>
        </w:tc>
        <w:tc>
          <w:tcPr>
            <w:tcW w:w="1560" w:type="dxa"/>
            <w:vAlign w:val="bottom"/>
          </w:tcPr>
          <w:p w14:paraId="00000349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0,9%</w:t>
            </w:r>
          </w:p>
        </w:tc>
        <w:tc>
          <w:tcPr>
            <w:tcW w:w="1701" w:type="dxa"/>
            <w:vAlign w:val="bottom"/>
          </w:tcPr>
          <w:p w14:paraId="0000034A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-14,9%</w:t>
            </w:r>
          </w:p>
        </w:tc>
      </w:tr>
      <w:tr w:rsidR="00CE4D68" w14:paraId="526BFEE5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34B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Jaén</w:t>
            </w:r>
          </w:p>
        </w:tc>
        <w:tc>
          <w:tcPr>
            <w:tcW w:w="2268" w:type="dxa"/>
            <w:vAlign w:val="bottom"/>
          </w:tcPr>
          <w:p w14:paraId="0000034C" w14:textId="77777777" w:rsidR="00CE4D68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Bailén</w:t>
            </w:r>
          </w:p>
        </w:tc>
        <w:tc>
          <w:tcPr>
            <w:tcW w:w="1701" w:type="dxa"/>
            <w:vAlign w:val="bottom"/>
          </w:tcPr>
          <w:p w14:paraId="0000034D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782 €</w:t>
            </w:r>
          </w:p>
        </w:tc>
        <w:tc>
          <w:tcPr>
            <w:tcW w:w="1560" w:type="dxa"/>
            <w:vAlign w:val="bottom"/>
          </w:tcPr>
          <w:p w14:paraId="0000034E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0,5%</w:t>
            </w:r>
          </w:p>
        </w:tc>
        <w:tc>
          <w:tcPr>
            <w:tcW w:w="1701" w:type="dxa"/>
            <w:vAlign w:val="bottom"/>
          </w:tcPr>
          <w:p w14:paraId="0000034F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5,9%</w:t>
            </w:r>
          </w:p>
        </w:tc>
      </w:tr>
      <w:tr w:rsidR="00CE4D68" w14:paraId="141E856A" w14:textId="77777777" w:rsidTr="00CE4D68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350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Ciudad Real</w:t>
            </w:r>
          </w:p>
        </w:tc>
        <w:tc>
          <w:tcPr>
            <w:tcW w:w="2268" w:type="dxa"/>
            <w:vAlign w:val="bottom"/>
          </w:tcPr>
          <w:p w14:paraId="00000351" w14:textId="77777777" w:rsidR="00CE4D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Manzanares</w:t>
            </w:r>
          </w:p>
        </w:tc>
        <w:tc>
          <w:tcPr>
            <w:tcW w:w="1701" w:type="dxa"/>
            <w:vAlign w:val="bottom"/>
          </w:tcPr>
          <w:p w14:paraId="00000352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794 €</w:t>
            </w:r>
          </w:p>
        </w:tc>
        <w:tc>
          <w:tcPr>
            <w:tcW w:w="1560" w:type="dxa"/>
            <w:vAlign w:val="bottom"/>
          </w:tcPr>
          <w:p w14:paraId="00000353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-0,6%</w:t>
            </w:r>
          </w:p>
        </w:tc>
        <w:tc>
          <w:tcPr>
            <w:tcW w:w="1701" w:type="dxa"/>
            <w:vAlign w:val="bottom"/>
          </w:tcPr>
          <w:p w14:paraId="00000354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0,0%</w:t>
            </w:r>
          </w:p>
        </w:tc>
      </w:tr>
      <w:tr w:rsidR="00CE4D68" w14:paraId="71F0EE66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355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Albacete</w:t>
            </w:r>
          </w:p>
        </w:tc>
        <w:tc>
          <w:tcPr>
            <w:tcW w:w="2268" w:type="dxa"/>
            <w:vAlign w:val="bottom"/>
          </w:tcPr>
          <w:p w14:paraId="00000356" w14:textId="77777777" w:rsidR="00CE4D68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Villarrobledo</w:t>
            </w:r>
          </w:p>
        </w:tc>
        <w:tc>
          <w:tcPr>
            <w:tcW w:w="1701" w:type="dxa"/>
            <w:vAlign w:val="bottom"/>
          </w:tcPr>
          <w:p w14:paraId="00000357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822 €</w:t>
            </w:r>
          </w:p>
        </w:tc>
        <w:tc>
          <w:tcPr>
            <w:tcW w:w="1560" w:type="dxa"/>
            <w:vAlign w:val="bottom"/>
          </w:tcPr>
          <w:p w14:paraId="00000358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1,7%</w:t>
            </w:r>
          </w:p>
        </w:tc>
        <w:tc>
          <w:tcPr>
            <w:tcW w:w="1701" w:type="dxa"/>
            <w:vAlign w:val="bottom"/>
          </w:tcPr>
          <w:p w14:paraId="00000359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3,0%</w:t>
            </w:r>
          </w:p>
        </w:tc>
      </w:tr>
      <w:tr w:rsidR="00CE4D68" w14:paraId="42F6B66A" w14:textId="77777777" w:rsidTr="00CE4D68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35A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Zamora</w:t>
            </w:r>
          </w:p>
        </w:tc>
        <w:tc>
          <w:tcPr>
            <w:tcW w:w="2268" w:type="dxa"/>
            <w:vAlign w:val="bottom"/>
          </w:tcPr>
          <w:p w14:paraId="0000035B" w14:textId="77777777" w:rsidR="00CE4D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Benavente</w:t>
            </w:r>
          </w:p>
        </w:tc>
        <w:tc>
          <w:tcPr>
            <w:tcW w:w="1701" w:type="dxa"/>
            <w:vAlign w:val="bottom"/>
          </w:tcPr>
          <w:p w14:paraId="0000035C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828 €</w:t>
            </w:r>
          </w:p>
        </w:tc>
        <w:tc>
          <w:tcPr>
            <w:tcW w:w="1560" w:type="dxa"/>
            <w:vAlign w:val="bottom"/>
          </w:tcPr>
          <w:p w14:paraId="0000035D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0,8%</w:t>
            </w:r>
          </w:p>
        </w:tc>
        <w:tc>
          <w:tcPr>
            <w:tcW w:w="1701" w:type="dxa"/>
            <w:vAlign w:val="bottom"/>
          </w:tcPr>
          <w:p w14:paraId="0000035E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-0,3%</w:t>
            </w:r>
          </w:p>
        </w:tc>
      </w:tr>
      <w:tr w:rsidR="00CE4D68" w14:paraId="0DC0E7FD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35F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León</w:t>
            </w:r>
          </w:p>
        </w:tc>
        <w:tc>
          <w:tcPr>
            <w:tcW w:w="2268" w:type="dxa"/>
            <w:vAlign w:val="bottom"/>
          </w:tcPr>
          <w:p w14:paraId="00000360" w14:textId="77777777" w:rsidR="00CE4D68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Astorga</w:t>
            </w:r>
          </w:p>
        </w:tc>
        <w:tc>
          <w:tcPr>
            <w:tcW w:w="1701" w:type="dxa"/>
            <w:vAlign w:val="bottom"/>
          </w:tcPr>
          <w:p w14:paraId="00000361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837 €</w:t>
            </w:r>
          </w:p>
        </w:tc>
        <w:tc>
          <w:tcPr>
            <w:tcW w:w="1560" w:type="dxa"/>
            <w:vAlign w:val="bottom"/>
          </w:tcPr>
          <w:p w14:paraId="00000362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-1,2%</w:t>
            </w:r>
          </w:p>
        </w:tc>
        <w:tc>
          <w:tcPr>
            <w:tcW w:w="1701" w:type="dxa"/>
            <w:vAlign w:val="bottom"/>
          </w:tcPr>
          <w:p w14:paraId="00000363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-7,5%</w:t>
            </w:r>
          </w:p>
        </w:tc>
      </w:tr>
      <w:tr w:rsidR="00CE4D68" w14:paraId="3C908278" w14:textId="77777777" w:rsidTr="00CE4D68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00000364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Granada</w:t>
            </w:r>
          </w:p>
        </w:tc>
        <w:tc>
          <w:tcPr>
            <w:tcW w:w="2268" w:type="dxa"/>
            <w:vAlign w:val="bottom"/>
          </w:tcPr>
          <w:p w14:paraId="00000365" w14:textId="77777777" w:rsidR="00CE4D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Baza</w:t>
            </w:r>
          </w:p>
        </w:tc>
        <w:tc>
          <w:tcPr>
            <w:tcW w:w="1701" w:type="dxa"/>
            <w:vAlign w:val="bottom"/>
          </w:tcPr>
          <w:p w14:paraId="00000366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843 €</w:t>
            </w:r>
          </w:p>
        </w:tc>
        <w:tc>
          <w:tcPr>
            <w:tcW w:w="1560" w:type="dxa"/>
            <w:vAlign w:val="bottom"/>
          </w:tcPr>
          <w:p w14:paraId="00000367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0,5%</w:t>
            </w:r>
          </w:p>
        </w:tc>
        <w:tc>
          <w:tcPr>
            <w:tcW w:w="1701" w:type="dxa"/>
            <w:vAlign w:val="bottom"/>
          </w:tcPr>
          <w:p w14:paraId="00000368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5,8%</w:t>
            </w:r>
          </w:p>
        </w:tc>
      </w:tr>
    </w:tbl>
    <w:p w14:paraId="00000369" w14:textId="77777777" w:rsidR="00CE4D6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t>Distritos de Madrid</w:t>
      </w:r>
    </w:p>
    <w:p w14:paraId="0000036A" w14:textId="77777777" w:rsidR="00CE4D68" w:rsidRDefault="00000000">
      <w:pPr>
        <w:spacing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El precio medio de la vivienda de segunda mano sube en 19 de los 20 distritos con variación interanual analizados por </w:t>
      </w:r>
      <w:hyperlink r:id="rId14">
        <w:r>
          <w:rPr>
            <w:rFonts w:ascii="Open Sans" w:eastAsia="Open Sans" w:hAnsi="Open Sans" w:cs="Open Sans"/>
            <w:color w:val="0000FF"/>
            <w:u w:val="single"/>
          </w:rPr>
          <w:t>Fotocasa</w:t>
        </w:r>
      </w:hyperlink>
      <w:r>
        <w:rPr>
          <w:rFonts w:ascii="Open Sans" w:eastAsia="Open Sans" w:hAnsi="Open Sans" w:cs="Open Sans"/>
          <w:color w:val="4472C4"/>
        </w:rPr>
        <w:t xml:space="preserve">. </w:t>
      </w:r>
      <w:r>
        <w:rPr>
          <w:rFonts w:ascii="Open Sans" w:eastAsia="Open Sans" w:hAnsi="Open Sans" w:cs="Open Sans"/>
          <w:color w:val="000000"/>
        </w:rPr>
        <w:t>Los incrementos interanuales de la vivienda son:</w:t>
      </w:r>
      <w:r>
        <w:t xml:space="preserve"> </w:t>
      </w:r>
      <w:r>
        <w:rPr>
          <w:rFonts w:ascii="Open Sans" w:eastAsia="Open Sans" w:hAnsi="Open Sans" w:cs="Open Sans"/>
          <w:color w:val="000000"/>
        </w:rPr>
        <w:t xml:space="preserve">Usera (38,0%), Villa de Vallecas (31,7%), Villaverde (30,4%), Puente de Vallecas (30,0%), Latina (29,8%), Carabanchel (28,5%), Moratalaz (24,7%), Ciudad Lineal (22,9%), Tetuán (22,5%), San Blas (21,9%), Vicálvaro (20,3%), Chamberí (17,3%), Fuencarral - El Pardo (14,5%), Moncloa – Aravaca (14,1%), Arganzuela (12,7%), Chamartín (12,3%), Centro (11,6%), Retiro (9,1%) y Barrio de Salamanca </w:t>
      </w:r>
      <w:r>
        <w:rPr>
          <w:rFonts w:ascii="Open Sans" w:eastAsia="Open Sans" w:hAnsi="Open Sans" w:cs="Open Sans"/>
          <w:color w:val="000000"/>
        </w:rPr>
        <w:lastRenderedPageBreak/>
        <w:t>(8,2%). Por otro lado, el único distrito con descenso interanual en enero es Hortaleza (-1,9%).</w:t>
      </w:r>
    </w:p>
    <w:p w14:paraId="0000036B" w14:textId="77777777" w:rsidR="00CE4D68" w:rsidRDefault="00CE4D68">
      <w:pPr>
        <w:spacing w:line="276" w:lineRule="auto"/>
        <w:jc w:val="both"/>
        <w:rPr>
          <w:rFonts w:ascii="Open Sans" w:eastAsia="Open Sans" w:hAnsi="Open Sans" w:cs="Open Sans"/>
          <w:color w:val="000000"/>
        </w:rPr>
      </w:pPr>
    </w:p>
    <w:p w14:paraId="0000036C" w14:textId="77777777" w:rsidR="00CE4D68" w:rsidRDefault="00000000">
      <w:pPr>
        <w:spacing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Los dos distritos por encima de los 9.000 euros es: Barrio de Salamanca con 10.598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y Chamberí con 9.337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. Por otro lado, los distritos con el precio de la vivienda más económico son Villaverde con 2.710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Puente de Vallecas con 3.156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y Usera con 3.531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.</w:t>
      </w:r>
    </w:p>
    <w:p w14:paraId="00000371" w14:textId="77777777" w:rsidR="00CE4D6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t>Distritos de Madrid de mayor a menor incremento interanual</w:t>
      </w:r>
    </w:p>
    <w:tbl>
      <w:tblPr>
        <w:tblStyle w:val="a6"/>
        <w:tblW w:w="9051" w:type="dxa"/>
        <w:tblInd w:w="-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268"/>
        <w:gridCol w:w="1985"/>
        <w:gridCol w:w="1963"/>
      </w:tblGrid>
      <w:tr w:rsidR="00CE4D68" w14:paraId="0EE9F9DB" w14:textId="77777777" w:rsidTr="00CE4D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bottom w:val="single" w:sz="4" w:space="0" w:color="FFFFFF"/>
            </w:tcBorders>
            <w:vAlign w:val="center"/>
          </w:tcPr>
          <w:p w14:paraId="00000372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Distrito</w:t>
            </w:r>
          </w:p>
        </w:tc>
        <w:tc>
          <w:tcPr>
            <w:tcW w:w="2268" w:type="dxa"/>
            <w:tcBorders>
              <w:bottom w:val="single" w:sz="4" w:space="0" w:color="FFFFFF"/>
            </w:tcBorders>
            <w:vAlign w:val="center"/>
          </w:tcPr>
          <w:p w14:paraId="00000373" w14:textId="77777777" w:rsidR="00CE4D6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Enero 2026</w:t>
            </w:r>
          </w:p>
          <w:p w14:paraId="00000374" w14:textId="77777777" w:rsidR="00CE4D6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(euros/m²)</w:t>
            </w:r>
          </w:p>
        </w:tc>
        <w:tc>
          <w:tcPr>
            <w:tcW w:w="1985" w:type="dxa"/>
            <w:tcBorders>
              <w:bottom w:val="single" w:sz="4" w:space="0" w:color="FFFFFF"/>
            </w:tcBorders>
            <w:vAlign w:val="center"/>
          </w:tcPr>
          <w:p w14:paraId="00000375" w14:textId="77777777" w:rsidR="00CE4D6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mensual (%)</w:t>
            </w:r>
          </w:p>
        </w:tc>
        <w:tc>
          <w:tcPr>
            <w:tcW w:w="1963" w:type="dxa"/>
            <w:tcBorders>
              <w:bottom w:val="single" w:sz="4" w:space="0" w:color="FFFFFF"/>
            </w:tcBorders>
            <w:vAlign w:val="center"/>
          </w:tcPr>
          <w:p w14:paraId="00000376" w14:textId="77777777" w:rsidR="00CE4D6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interanual (%)</w:t>
            </w:r>
          </w:p>
        </w:tc>
      </w:tr>
      <w:tr w:rsidR="00CE4D68" w14:paraId="41230C3E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77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Usera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78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3.531 €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79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1,6%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7A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38,0%</w:t>
            </w:r>
          </w:p>
        </w:tc>
      </w:tr>
      <w:tr w:rsidR="00CE4D68" w14:paraId="78997D83" w14:textId="77777777" w:rsidTr="00CE4D68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7B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Villa de Vallecas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7C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3.621 €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7D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1,9%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7E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31,7%</w:t>
            </w:r>
          </w:p>
        </w:tc>
      </w:tr>
      <w:tr w:rsidR="00CE4D68" w14:paraId="3371065F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7F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Villaverde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80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2.710 €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81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2,4%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82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30,4%</w:t>
            </w:r>
          </w:p>
        </w:tc>
      </w:tr>
      <w:tr w:rsidR="00CE4D68" w14:paraId="120E470D" w14:textId="77777777" w:rsidTr="00CE4D68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83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Puente de Vallecas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84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3.156 €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85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0,8%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86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30,0%</w:t>
            </w:r>
          </w:p>
        </w:tc>
      </w:tr>
      <w:tr w:rsidR="00CE4D68" w14:paraId="48C87DB6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87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Latina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88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3.821 €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89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0,0%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8A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29,8%</w:t>
            </w:r>
          </w:p>
        </w:tc>
      </w:tr>
      <w:tr w:rsidR="00CE4D68" w14:paraId="4E8B8D9A" w14:textId="77777777" w:rsidTr="00CE4D68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8B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Carabanchel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8C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3.695 €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8D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1,5%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8E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28,5%</w:t>
            </w:r>
          </w:p>
        </w:tc>
      </w:tr>
      <w:tr w:rsidR="00CE4D68" w14:paraId="5AC428A8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8F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Moratalaz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90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4.301 €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91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0,7%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92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24,7%</w:t>
            </w:r>
          </w:p>
        </w:tc>
      </w:tr>
      <w:tr w:rsidR="00CE4D68" w14:paraId="32589B76" w14:textId="77777777" w:rsidTr="00CE4D68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93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Ciudad Lineal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94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5.308 €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95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2,0%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96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22,9%</w:t>
            </w:r>
          </w:p>
        </w:tc>
      </w:tr>
      <w:tr w:rsidR="00CE4D68" w14:paraId="0C50BCF6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97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Tetuán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98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6.264 €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99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-0,6%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9A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22,5%</w:t>
            </w:r>
          </w:p>
        </w:tc>
      </w:tr>
      <w:tr w:rsidR="00CE4D68" w14:paraId="106DDA99" w14:textId="77777777" w:rsidTr="00CE4D68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9B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San Blas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9C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4.050 €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9D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0,0%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9E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21,9%</w:t>
            </w:r>
          </w:p>
        </w:tc>
      </w:tr>
      <w:tr w:rsidR="00CE4D68" w14:paraId="6167E005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9F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Vicálvaro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A0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4.127 €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A1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2,9%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A2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20,3%</w:t>
            </w:r>
          </w:p>
        </w:tc>
      </w:tr>
      <w:tr w:rsidR="00CE4D68" w14:paraId="690A01BF" w14:textId="77777777" w:rsidTr="00CE4D68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A3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Chamberí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A4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9.337 €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A5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-0,3%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A6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17,3%</w:t>
            </w:r>
          </w:p>
        </w:tc>
      </w:tr>
      <w:tr w:rsidR="00CE4D68" w14:paraId="3FF1E5BC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A7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Fuencarral - El Pardo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A8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5.571 €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A9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-0,7%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AA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14,5%</w:t>
            </w:r>
          </w:p>
        </w:tc>
      </w:tr>
      <w:tr w:rsidR="00CE4D68" w14:paraId="3E0745F9" w14:textId="77777777" w:rsidTr="00CE4D68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AB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Moncloa - Aravaca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AC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6.816 €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AD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AE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14,1%</w:t>
            </w:r>
          </w:p>
        </w:tc>
      </w:tr>
      <w:tr w:rsidR="00CE4D68" w14:paraId="381431C8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AF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Arganzuela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B0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6.003 €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B1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2,1%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B2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12,7%</w:t>
            </w:r>
          </w:p>
        </w:tc>
      </w:tr>
      <w:tr w:rsidR="00CE4D68" w14:paraId="79C694B4" w14:textId="77777777" w:rsidTr="00CE4D68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B3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Chamartín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B4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7.932 €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B5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-0,4%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B6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12,3%</w:t>
            </w:r>
          </w:p>
        </w:tc>
      </w:tr>
      <w:tr w:rsidR="00CE4D68" w14:paraId="5243AF6E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B7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Centro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B8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7.777 €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B9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BA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11,6%</w:t>
            </w:r>
          </w:p>
        </w:tc>
      </w:tr>
      <w:tr w:rsidR="00CE4D68" w14:paraId="09ADFA7D" w14:textId="77777777" w:rsidTr="00CE4D68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BB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Retiro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BC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8.702 €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BD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-0,4%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BE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9,1%</w:t>
            </w:r>
          </w:p>
        </w:tc>
      </w:tr>
      <w:tr w:rsidR="00CE4D68" w14:paraId="726F339F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BF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Barrio de Salamanca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C0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10.598 €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C1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-0,2%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C2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8,2%</w:t>
            </w:r>
          </w:p>
        </w:tc>
      </w:tr>
      <w:tr w:rsidR="00CE4D68" w14:paraId="2F1C4D07" w14:textId="77777777" w:rsidTr="00CE4D68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FFFFF"/>
              <w:right w:val="single" w:sz="4" w:space="0" w:color="FFFFFF"/>
            </w:tcBorders>
            <w:vAlign w:val="bottom"/>
          </w:tcPr>
          <w:p w14:paraId="000003C3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Hortaleza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C4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4.953 €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C5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2,3%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C6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-1,9%</w:t>
            </w:r>
          </w:p>
        </w:tc>
      </w:tr>
    </w:tbl>
    <w:p w14:paraId="000003C7" w14:textId="77777777" w:rsidR="00CE4D6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t>Distritos de Barcelona</w:t>
      </w:r>
    </w:p>
    <w:p w14:paraId="000003C8" w14:textId="77777777" w:rsidR="00CE4D68" w:rsidRDefault="00000000">
      <w:pPr>
        <w:spacing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El precio medio de la vivienda de segunda mano sube en nueve de los diez distritos con variación interanual analizados por </w:t>
      </w:r>
      <w:hyperlink r:id="rId15">
        <w:r>
          <w:rPr>
            <w:rFonts w:ascii="Open Sans" w:eastAsia="Open Sans" w:hAnsi="Open Sans" w:cs="Open Sans"/>
            <w:color w:val="0000FF"/>
            <w:u w:val="single"/>
          </w:rPr>
          <w:t>Fotocasa</w:t>
        </w:r>
      </w:hyperlink>
      <w:r>
        <w:rPr>
          <w:rFonts w:ascii="Open Sans" w:eastAsia="Open Sans" w:hAnsi="Open Sans" w:cs="Open Sans"/>
          <w:color w:val="4472C4"/>
        </w:rPr>
        <w:t xml:space="preserve">. </w:t>
      </w:r>
      <w:r>
        <w:rPr>
          <w:rFonts w:ascii="Open Sans" w:eastAsia="Open Sans" w:hAnsi="Open Sans" w:cs="Open Sans"/>
          <w:color w:val="000000"/>
        </w:rPr>
        <w:t>Los incrementos de la vivienda corresponden a los distritos de Sarrià - Sant Gervasi (20,8%), Nou Barris (14,2%), Les Corts (13,1%), Gràcia (12,4%), Sant Martí (9,3%), Horta - Guinardó (6,6%), Eixample (6,5%), Sant Andreu (3,7%) y Sants - Montjuïc (3,3%). Por otro lado, el único distrito con descenso es Ciutat Vella (-0,2%).</w:t>
      </w:r>
    </w:p>
    <w:p w14:paraId="000003C9" w14:textId="77777777" w:rsidR="00CE4D68" w:rsidRDefault="00CE4D68">
      <w:pPr>
        <w:spacing w:line="276" w:lineRule="auto"/>
        <w:jc w:val="both"/>
        <w:rPr>
          <w:rFonts w:ascii="Open Sans" w:eastAsia="Open Sans" w:hAnsi="Open Sans" w:cs="Open Sans"/>
          <w:color w:val="000000"/>
        </w:rPr>
      </w:pPr>
    </w:p>
    <w:p w14:paraId="000003CA" w14:textId="77777777" w:rsidR="00CE4D68" w:rsidRDefault="00000000">
      <w:pPr>
        <w:spacing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En cuanto al precio por metro cuadrado en enero, vemos que el orden de los distritos de mayor a menor precio es: Sarrià - Sant Gervasi con 7.539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Eixample con 6.688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Les Corts con 6.432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Gràcia con 5.892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Sant Martí con 5.078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Ciutat Vella con 5.015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Sants - Montjuïc con 4.549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Horta - Guinardó con 4.239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Sant Andreu con 3.964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y Nou Barris con 3.307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.</w:t>
      </w:r>
    </w:p>
    <w:p w14:paraId="000003CB" w14:textId="77777777" w:rsidR="00CE4D68" w:rsidRDefault="00CE4D68">
      <w:pPr>
        <w:spacing w:line="276" w:lineRule="auto"/>
        <w:jc w:val="both"/>
        <w:rPr>
          <w:rFonts w:ascii="Open Sans" w:eastAsia="Open Sans" w:hAnsi="Open Sans" w:cs="Open Sans"/>
          <w:color w:val="000000"/>
        </w:rPr>
      </w:pPr>
    </w:p>
    <w:p w14:paraId="000003CC" w14:textId="77777777" w:rsidR="00CE4D6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t>Distritos de Barcelona de mayor a menor incremento interanual</w:t>
      </w:r>
    </w:p>
    <w:tbl>
      <w:tblPr>
        <w:tblStyle w:val="a7"/>
        <w:tblW w:w="9051" w:type="dxa"/>
        <w:tblInd w:w="-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2409"/>
        <w:gridCol w:w="1985"/>
        <w:gridCol w:w="1963"/>
      </w:tblGrid>
      <w:tr w:rsidR="00CE4D68" w14:paraId="6BC3DF88" w14:textId="77777777" w:rsidTr="00CE4D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bottom w:val="single" w:sz="4" w:space="0" w:color="FFFFFF"/>
            </w:tcBorders>
            <w:vAlign w:val="center"/>
          </w:tcPr>
          <w:p w14:paraId="000003CD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Distrito</w:t>
            </w:r>
          </w:p>
        </w:tc>
        <w:tc>
          <w:tcPr>
            <w:tcW w:w="2409" w:type="dxa"/>
            <w:tcBorders>
              <w:bottom w:val="single" w:sz="4" w:space="0" w:color="FFFFFF"/>
            </w:tcBorders>
            <w:vAlign w:val="center"/>
          </w:tcPr>
          <w:p w14:paraId="000003CE" w14:textId="77777777" w:rsidR="00CE4D6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Enero 2026</w:t>
            </w:r>
          </w:p>
          <w:p w14:paraId="000003CF" w14:textId="77777777" w:rsidR="00CE4D6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(euros/m²)</w:t>
            </w:r>
          </w:p>
        </w:tc>
        <w:tc>
          <w:tcPr>
            <w:tcW w:w="1985" w:type="dxa"/>
            <w:tcBorders>
              <w:bottom w:val="single" w:sz="4" w:space="0" w:color="FFFFFF"/>
            </w:tcBorders>
            <w:vAlign w:val="center"/>
          </w:tcPr>
          <w:p w14:paraId="000003D0" w14:textId="77777777" w:rsidR="00CE4D6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mensual (%)</w:t>
            </w:r>
          </w:p>
        </w:tc>
        <w:tc>
          <w:tcPr>
            <w:tcW w:w="1963" w:type="dxa"/>
            <w:tcBorders>
              <w:bottom w:val="single" w:sz="4" w:space="0" w:color="FFFFFF"/>
            </w:tcBorders>
            <w:vAlign w:val="center"/>
          </w:tcPr>
          <w:p w14:paraId="000003D1" w14:textId="77777777" w:rsidR="00CE4D6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Variación interanual (%)</w:t>
            </w:r>
          </w:p>
        </w:tc>
      </w:tr>
      <w:tr w:rsidR="00CE4D68" w14:paraId="54634404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D2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Sarrià - Sant Gervasi</w:t>
            </w: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D3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7.539 € 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D4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2,3%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D5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20,8%</w:t>
            </w:r>
          </w:p>
        </w:tc>
      </w:tr>
      <w:tr w:rsidR="00CE4D68" w14:paraId="7F351E99" w14:textId="77777777" w:rsidTr="00CE4D68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D6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Nou Barris</w:t>
            </w: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D7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3.307 € 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D8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1,9%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D9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14,2%</w:t>
            </w:r>
          </w:p>
        </w:tc>
      </w:tr>
      <w:tr w:rsidR="00CE4D68" w14:paraId="33E3C8EC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DA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Les Corts</w:t>
            </w: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DB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6.432 € 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DC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2,2%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DD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13,1%</w:t>
            </w:r>
          </w:p>
        </w:tc>
      </w:tr>
      <w:tr w:rsidR="00CE4D68" w14:paraId="449FCA98" w14:textId="77777777" w:rsidTr="00CE4D68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DE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Gràcia</w:t>
            </w: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DF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5.892 € 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E0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0,9%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E1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12,4%</w:t>
            </w:r>
          </w:p>
        </w:tc>
      </w:tr>
      <w:tr w:rsidR="00CE4D68" w14:paraId="412C0049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E2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Sant Martí</w:t>
            </w: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E3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5.078 € 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E4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1,3%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E5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9,3%</w:t>
            </w:r>
          </w:p>
        </w:tc>
      </w:tr>
      <w:tr w:rsidR="00CE4D68" w14:paraId="5013CCE8" w14:textId="77777777" w:rsidTr="00CE4D68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E6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Horta - Guinardó</w:t>
            </w: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E7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4.239 € 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E8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0,8%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E9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6,6%</w:t>
            </w:r>
          </w:p>
        </w:tc>
      </w:tr>
      <w:tr w:rsidR="00CE4D68" w14:paraId="22A8B8B3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EA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Eixample</w:t>
            </w: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EB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6.688 € 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EC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0,5%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ED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6,5%</w:t>
            </w:r>
          </w:p>
        </w:tc>
      </w:tr>
      <w:tr w:rsidR="00CE4D68" w14:paraId="3DC26B64" w14:textId="77777777" w:rsidTr="00CE4D68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EE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Sant Andreu</w:t>
            </w: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EF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3.964 € 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F0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-1,8%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F1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3,7%</w:t>
            </w:r>
          </w:p>
        </w:tc>
      </w:tr>
      <w:tr w:rsidR="00CE4D68" w14:paraId="669EB64A" w14:textId="77777777" w:rsidTr="00CE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F2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Sants - Montjuïc</w:t>
            </w: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F3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4.549 € 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F4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-0,2%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F5" w14:textId="77777777" w:rsidR="00CE4D6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3,3%</w:t>
            </w:r>
          </w:p>
        </w:tc>
      </w:tr>
      <w:tr w:rsidR="00CE4D68" w14:paraId="71C4225A" w14:textId="77777777" w:rsidTr="00CE4D68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4" w:space="0" w:color="FFFFFF"/>
              <w:right w:val="single" w:sz="4" w:space="0" w:color="FFFFFF"/>
            </w:tcBorders>
            <w:vAlign w:val="bottom"/>
          </w:tcPr>
          <w:p w14:paraId="000003F6" w14:textId="77777777" w:rsidR="00CE4D68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Ciutat Vella</w:t>
            </w: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F7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      5.015 € 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F8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-1,8%</w:t>
            </w:r>
          </w:p>
        </w:tc>
        <w:tc>
          <w:tcPr>
            <w:tcW w:w="19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00003F9" w14:textId="77777777" w:rsidR="00CE4D6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-0,2%</w:t>
            </w:r>
          </w:p>
        </w:tc>
      </w:tr>
    </w:tbl>
    <w:p w14:paraId="000003FA" w14:textId="77777777" w:rsidR="00CE4D68" w:rsidRDefault="00CE4D68">
      <w:pPr>
        <w:spacing w:line="276" w:lineRule="auto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000003FB" w14:textId="77777777" w:rsidR="00CE4D68" w:rsidRDefault="00000000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>Sobre Fotocasa</w:t>
      </w:r>
    </w:p>
    <w:p w14:paraId="000003FC" w14:textId="77777777" w:rsidR="00CE4D68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Fotocasa es uno de los principales portales inmobiliarios de España, con una amplia oferta de viviendas de segunda mano, promociones de obra nueva y alquileres que pertenece a </w:t>
      </w:r>
      <w:r>
        <w:rPr>
          <w:rFonts w:ascii="Open Sans" w:eastAsia="Open Sans" w:hAnsi="Open Sans" w:cs="Open Sans"/>
          <w:b/>
          <w:bCs/>
          <w:sz w:val="22"/>
          <w:szCs w:val="22"/>
        </w:rPr>
        <w:t>Fotocasa Group</w:t>
      </w:r>
      <w:r>
        <w:rPr>
          <w:rFonts w:ascii="Open Sans" w:eastAsia="Open Sans" w:hAnsi="Open Sans" w:cs="Open Sans"/>
          <w:sz w:val="22"/>
          <w:szCs w:val="22"/>
        </w:rPr>
        <w:t xml:space="preserve">. </w:t>
      </w:r>
    </w:p>
    <w:p w14:paraId="000003FD" w14:textId="77777777" w:rsidR="00CE4D68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Mensualmente, elabora el </w:t>
      </w:r>
      <w:hyperlink r:id="rId16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Índice inmobiliario Fotocasa</w:t>
        </w:r>
      </w:hyperlink>
      <w:r>
        <w:rPr>
          <w:rFonts w:ascii="Open Sans" w:eastAsia="Open Sans" w:hAnsi="Open Sans" w:cs="Open Sans"/>
          <w:sz w:val="22"/>
          <w:szCs w:val="22"/>
        </w:rPr>
        <w:t>, un informe de referencia que analiza la evolución del precio medio de la vivienda en España, tanto en venta como en alquiler.</w:t>
      </w:r>
    </w:p>
    <w:p w14:paraId="000003FE" w14:textId="77777777" w:rsidR="00CE4D68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Desde 2017, desarrolla además estudios sociológicos bajo el sello </w:t>
      </w:r>
      <w:hyperlink r:id="rId17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Fotocasa Research</w:t>
        </w:r>
      </w:hyperlink>
      <w:r>
        <w:rPr>
          <w:rFonts w:ascii="Open Sans" w:eastAsia="Open Sans" w:hAnsi="Open Sans" w:cs="Open Sans"/>
          <w:sz w:val="22"/>
          <w:szCs w:val="22"/>
        </w:rPr>
        <w:t>, con el objetivo de aportar conocimiento y análisis en profundidad sobre las tendencias del mercado y el comportamiento de los ciudadanos en relación con la vivienda.</w:t>
      </w:r>
    </w:p>
    <w:p w14:paraId="000003FF" w14:textId="77777777" w:rsidR="00CE4D68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Toda la información y los últimos comunicados están disponibles en su </w:t>
      </w:r>
      <w:hyperlink r:id="rId18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Sala de Prensa</w:t>
        </w:r>
      </w:hyperlink>
    </w:p>
    <w:p w14:paraId="00000400" w14:textId="77777777" w:rsidR="00CE4D68" w:rsidRDefault="00CE4D68">
      <w:pPr>
        <w:spacing w:line="276" w:lineRule="auto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00000402" w14:textId="77777777" w:rsidR="00CE4D68" w:rsidRDefault="00000000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lastRenderedPageBreak/>
        <w:t>Sobre Fotocasa Group</w:t>
      </w:r>
    </w:p>
    <w:p w14:paraId="00000403" w14:textId="77777777" w:rsidR="00CE4D68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b/>
          <w:bCs/>
          <w:sz w:val="22"/>
          <w:szCs w:val="22"/>
        </w:rPr>
        <w:t>Fotocasa Group</w:t>
      </w:r>
      <w:r>
        <w:rPr>
          <w:rFonts w:ascii="Open Sans" w:eastAsia="Open Sans" w:hAnsi="Open Sans" w:cs="Open Sans"/>
          <w:sz w:val="22"/>
          <w:szCs w:val="22"/>
        </w:rPr>
        <w:t xml:space="preserve"> es un referente del sector inmobiliario en España, </w:t>
      </w:r>
      <w:r>
        <w:rPr>
          <w:rFonts w:ascii="Open Sans" w:eastAsia="Open Sans" w:hAnsi="Open Sans" w:cs="Open Sans"/>
          <w:b/>
          <w:bCs/>
          <w:sz w:val="22"/>
          <w:szCs w:val="22"/>
        </w:rPr>
        <w:t>con más de 25 años de experiencia</w:t>
      </w:r>
      <w:r>
        <w:rPr>
          <w:rFonts w:ascii="Open Sans" w:eastAsia="Open Sans" w:hAnsi="Open Sans" w:cs="Open Sans"/>
          <w:sz w:val="22"/>
          <w:szCs w:val="22"/>
        </w:rPr>
        <w:t> liderando la transformación del real estate a través de la innovación, los datos y la tecnología.</w:t>
      </w:r>
    </w:p>
    <w:p w14:paraId="00000404" w14:textId="77777777" w:rsidR="00CE4D68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Bajo su marca paraguas, Fotocasa Group impulsa y da visibilidad a un ecosistema de marcas líderes —</w:t>
      </w:r>
      <w:hyperlink r:id="rId19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20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habitaclia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21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Fotocasa Pro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22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Datavenues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23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Witei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 e </w:t>
      </w:r>
      <w:hyperlink r:id="rId24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</w:rPr>
          <w:t>Inmoweb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— que ofrecen soluciones integrales tanto </w:t>
      </w:r>
      <w:r>
        <w:rPr>
          <w:rFonts w:ascii="Open Sans" w:eastAsia="Open Sans" w:hAnsi="Open Sans" w:cs="Open Sans"/>
          <w:b/>
          <w:bCs/>
          <w:sz w:val="22"/>
          <w:szCs w:val="22"/>
        </w:rPr>
        <w:t>para particulares como para profesionales del sector</w:t>
      </w:r>
      <w:r>
        <w:rPr>
          <w:rFonts w:ascii="Open Sans" w:eastAsia="Open Sans" w:hAnsi="Open Sans" w:cs="Open Sans"/>
          <w:sz w:val="22"/>
          <w:szCs w:val="22"/>
        </w:rPr>
        <w:t>.</w:t>
      </w:r>
    </w:p>
    <w:p w14:paraId="00000405" w14:textId="77777777" w:rsidR="00CE4D68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b/>
          <w:bCs/>
          <w:sz w:val="22"/>
          <w:szCs w:val="22"/>
        </w:rPr>
        <w:t>Fotocasa</w:t>
      </w:r>
      <w:r>
        <w:rPr>
          <w:rFonts w:ascii="Open Sans" w:eastAsia="Open Sans" w:hAnsi="Open Sans" w:cs="Open Sans"/>
          <w:sz w:val="22"/>
          <w:szCs w:val="22"/>
        </w:rPr>
        <w:t>, la marca insignia del grupo, conecta cada día a </w:t>
      </w:r>
      <w:r>
        <w:rPr>
          <w:rFonts w:ascii="Open Sans" w:eastAsia="Open Sans" w:hAnsi="Open Sans" w:cs="Open Sans"/>
          <w:b/>
          <w:bCs/>
          <w:sz w:val="22"/>
          <w:szCs w:val="22"/>
        </w:rPr>
        <w:t>millones de personas con su próximo hogar</w:t>
      </w:r>
      <w:r>
        <w:rPr>
          <w:rFonts w:ascii="Open Sans" w:eastAsia="Open Sans" w:hAnsi="Open Sans" w:cs="Open Sans"/>
          <w:sz w:val="22"/>
          <w:szCs w:val="22"/>
        </w:rPr>
        <w:t>, ofreciendo la mayor oferta de viviendas de segunda mano, obra nueva, alquiler y compraventa, junto con análisis y contenidos que la consolidan como un auténtico </w:t>
      </w:r>
      <w:r>
        <w:rPr>
          <w:rFonts w:ascii="Open Sans" w:eastAsia="Open Sans" w:hAnsi="Open Sans" w:cs="Open Sans"/>
          <w:b/>
          <w:bCs/>
          <w:sz w:val="22"/>
          <w:szCs w:val="22"/>
        </w:rPr>
        <w:t>referente del mercado inmobiliario</w:t>
      </w:r>
      <w:r>
        <w:rPr>
          <w:rFonts w:ascii="Open Sans" w:eastAsia="Open Sans" w:hAnsi="Open Sans" w:cs="Open Sans"/>
          <w:sz w:val="22"/>
          <w:szCs w:val="22"/>
        </w:rPr>
        <w:t>.</w:t>
      </w:r>
    </w:p>
    <w:p w14:paraId="00000406" w14:textId="77777777" w:rsidR="00CE4D68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En Fotocasa Group, </w:t>
      </w:r>
      <w:r>
        <w:rPr>
          <w:rFonts w:ascii="Open Sans" w:eastAsia="Open Sans" w:hAnsi="Open Sans" w:cs="Open Sans"/>
          <w:b/>
          <w:bCs/>
          <w:sz w:val="22"/>
          <w:szCs w:val="22"/>
        </w:rPr>
        <w:t>unimos personas y propiedades</w:t>
      </w:r>
      <w:r>
        <w:rPr>
          <w:rFonts w:ascii="Open Sans" w:eastAsia="Open Sans" w:hAnsi="Open Sans" w:cs="Open Sans"/>
          <w:sz w:val="22"/>
          <w:szCs w:val="22"/>
        </w:rPr>
        <w:t> a través de una plataforma inteligente, diseñada para hacer que </w:t>
      </w:r>
      <w:r>
        <w:rPr>
          <w:rFonts w:ascii="Open Sans" w:eastAsia="Open Sans" w:hAnsi="Open Sans" w:cs="Open Sans"/>
          <w:b/>
          <w:bCs/>
          <w:sz w:val="22"/>
          <w:szCs w:val="22"/>
        </w:rPr>
        <w:t>buscar, comprar o alquilar vivienda</w:t>
      </w:r>
      <w:r>
        <w:rPr>
          <w:rFonts w:ascii="Open Sans" w:eastAsia="Open Sans" w:hAnsi="Open Sans" w:cs="Open Sans"/>
          <w:sz w:val="22"/>
          <w:szCs w:val="22"/>
        </w:rPr>
        <w:t> sea una experiencia más fácil, transparente y eficiente.</w:t>
      </w:r>
    </w:p>
    <w:p w14:paraId="00000407" w14:textId="77777777" w:rsidR="00CE4D68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Nuestra visión es clara</w:t>
      </w:r>
      <w:r>
        <w:rPr>
          <w:rFonts w:ascii="Open Sans" w:eastAsia="Open Sans" w:hAnsi="Open Sans" w:cs="Open Sans"/>
          <w:b/>
          <w:bCs/>
          <w:sz w:val="22"/>
          <w:szCs w:val="22"/>
        </w:rPr>
        <w:t>: ser el lugar donde tu nuevo hogar te encuentra</w:t>
      </w:r>
      <w:r>
        <w:rPr>
          <w:rFonts w:ascii="Open Sans" w:eastAsia="Open Sans" w:hAnsi="Open Sans" w:cs="Open Sans"/>
          <w:sz w:val="22"/>
          <w:szCs w:val="22"/>
        </w:rPr>
        <w:t>.</w:t>
      </w:r>
    </w:p>
    <w:p w14:paraId="00000408" w14:textId="77777777" w:rsidR="00CE4D68" w:rsidRDefault="00CE4D68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</w:p>
    <w:p w14:paraId="00000409" w14:textId="77777777" w:rsidR="00CE4D68" w:rsidRDefault="00000000">
      <w:pPr>
        <w:spacing w:line="276" w:lineRule="auto"/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</w:rPr>
        <w:t>Departamento Comunicación Fotocasa</w:t>
      </w:r>
    </w:p>
    <w:p w14:paraId="0000040A" w14:textId="77777777" w:rsidR="00CE4D68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b/>
          <w:bCs/>
          <w:color w:val="000000"/>
          <w:sz w:val="22"/>
          <w:szCs w:val="22"/>
        </w:rPr>
      </w:pPr>
      <w:r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>Anaïs García</w:t>
      </w:r>
    </w:p>
    <w:p w14:paraId="0000040B" w14:textId="77777777" w:rsidR="00CE4D68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color w:val="0000FF"/>
          <w:sz w:val="22"/>
          <w:szCs w:val="22"/>
          <w:u w:val="single"/>
        </w:rPr>
      </w:pPr>
      <w:hyperlink r:id="rId25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comunicacion@fotocasa.es</w:t>
        </w:r>
      </w:hyperlink>
    </w:p>
    <w:p w14:paraId="0000040C" w14:textId="77777777" w:rsidR="00CE4D68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620 66 29 26</w:t>
      </w:r>
    </w:p>
    <w:p w14:paraId="0000040D" w14:textId="77777777" w:rsidR="00CE4D68" w:rsidRDefault="00CE4D68">
      <w:pPr>
        <w:spacing w:line="276" w:lineRule="auto"/>
        <w:jc w:val="right"/>
        <w:rPr>
          <w:rFonts w:ascii="Open Sans" w:eastAsia="Open Sans" w:hAnsi="Open Sans" w:cs="Open Sans"/>
          <w:color w:val="000000"/>
          <w:sz w:val="21"/>
          <w:szCs w:val="21"/>
        </w:rPr>
      </w:pPr>
    </w:p>
    <w:sectPr w:rsidR="00CE4D68">
      <w:footerReference w:type="default" r:id="rId26"/>
      <w:pgSz w:w="11900" w:h="16840"/>
      <w:pgMar w:top="1417" w:right="1127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0F89A2" w14:textId="77777777" w:rsidR="00897ED8" w:rsidRDefault="00897ED8">
      <w:r>
        <w:separator/>
      </w:r>
    </w:p>
  </w:endnote>
  <w:endnote w:type="continuationSeparator" w:id="0">
    <w:p w14:paraId="738F3A6A" w14:textId="77777777" w:rsidR="00897ED8" w:rsidRDefault="00897E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090499F-808B-4444-9C59-754275C58B3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0B02C11-FFAF-4F48-BF09-C96D3A46F5EB}"/>
    <w:embedBold r:id="rId3" w:fontKey="{6B2091DF-FDDB-4702-B3A8-E9653F2655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3B8FB47-54CD-4AE9-94A2-3513CC19E2DE}"/>
  </w:font>
  <w:font w:name="National">
    <w:altName w:val="Calibri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F9960929-87A9-4F8A-B252-3CD7A0CC838C}"/>
    <w:embedBold r:id="rId6" w:fontKey="{42CBBCA3-4460-43BE-B87F-EB4B48194B14}"/>
  </w:font>
  <w:font w:name="Open Sans Light">
    <w:charset w:val="00"/>
    <w:family w:val="swiss"/>
    <w:pitch w:val="variable"/>
    <w:sig w:usb0="E00002EF" w:usb1="4000205B" w:usb2="00000028" w:usb3="00000000" w:csb0="0000019F" w:csb1="00000000"/>
    <w:embedBold r:id="rId7" w:fontKey="{DAA556E5-E3F0-4558-A6C7-661F866D5DF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64C61986-F1FC-43A7-B4A1-E02AC21106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40E" w14:textId="77777777" w:rsidR="00CE4D6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-1191894</wp:posOffset>
          </wp:positionH>
          <wp:positionV relativeFrom="paragraph">
            <wp:posOffset>167970</wp:posOffset>
          </wp:positionV>
          <wp:extent cx="7670550" cy="451315"/>
          <wp:effectExtent l="0" t="0" r="0" b="0"/>
          <wp:wrapNone/>
          <wp:docPr id="150257835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0550" cy="451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9F298F" w14:textId="77777777" w:rsidR="00897ED8" w:rsidRDefault="00897ED8">
      <w:r>
        <w:separator/>
      </w:r>
    </w:p>
  </w:footnote>
  <w:footnote w:type="continuationSeparator" w:id="0">
    <w:p w14:paraId="5D030081" w14:textId="77777777" w:rsidR="00897ED8" w:rsidRDefault="00897E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597DAF"/>
    <w:multiLevelType w:val="multilevel"/>
    <w:tmpl w:val="748A4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303AB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834671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D68"/>
    <w:rsid w:val="002C0DDC"/>
    <w:rsid w:val="002E3E66"/>
    <w:rsid w:val="00897ED8"/>
    <w:rsid w:val="00BD0F89"/>
    <w:rsid w:val="00CE4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43BE3"/>
  <w15:docId w15:val="{ABCF7EFF-9E3C-42BB-9072-D9E499823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Web">
    <w:name w:val="Normal (Web)"/>
    <w:basedOn w:val="Normal"/>
    <w:uiPriority w:val="99"/>
    <w:unhideWhenUsed/>
    <w:rsid w:val="00A84CA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_tradnl"/>
    </w:rPr>
  </w:style>
  <w:style w:type="paragraph" w:styleId="Encabezado">
    <w:name w:val="header"/>
    <w:basedOn w:val="Normal"/>
    <w:link w:val="EncabezadoCar"/>
    <w:uiPriority w:val="99"/>
    <w:unhideWhenUsed/>
    <w:rsid w:val="00DD4CA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D4CA4"/>
  </w:style>
  <w:style w:type="paragraph" w:styleId="Piedepgina">
    <w:name w:val="footer"/>
    <w:basedOn w:val="Normal"/>
    <w:link w:val="PiedepginaCar"/>
    <w:uiPriority w:val="99"/>
    <w:unhideWhenUsed/>
    <w:rsid w:val="00DD4CA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D4CA4"/>
  </w:style>
  <w:style w:type="character" w:styleId="Hipervnculo">
    <w:name w:val="Hyperlink"/>
    <w:basedOn w:val="Fuentedeprrafopredeter"/>
    <w:uiPriority w:val="99"/>
    <w:unhideWhenUsed/>
    <w:rsid w:val="00DC7AC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029E9"/>
    <w:pPr>
      <w:ind w:left="720"/>
      <w:contextualSpacing/>
    </w:pPr>
  </w:style>
  <w:style w:type="table" w:customStyle="1" w:styleId="Tabladecuadrcula5oscura-nfasis11">
    <w:name w:val="Tabla de cuadrícula 5 oscura - Énfasis 11"/>
    <w:basedOn w:val="Tablanormal"/>
    <w:uiPriority w:val="50"/>
    <w:rsid w:val="0075308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customStyle="1" w:styleId="m6445620330082090912gmail-msohyperlink">
    <w:name w:val="m_6445620330082090912gmail-msohyperlink"/>
    <w:basedOn w:val="Fuentedeprrafopredeter"/>
    <w:rsid w:val="0059074E"/>
  </w:style>
  <w:style w:type="character" w:styleId="Mencinsinresolver">
    <w:name w:val="Unresolved Mention"/>
    <w:basedOn w:val="Fuentedeprrafopredeter"/>
    <w:uiPriority w:val="99"/>
    <w:semiHidden/>
    <w:unhideWhenUsed/>
    <w:rsid w:val="00990ADB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832CAC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fotocasa.es" TargetMode="External"/><Relationship Id="rId18" Type="http://schemas.openxmlformats.org/officeDocument/2006/relationships/hyperlink" Target="http://prensa.fotocasa.es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profesionales.fotocasa.es/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hyperlink" Target="https://www.research.fotocasa.es" TargetMode="External"/><Relationship Id="rId25" Type="http://schemas.openxmlformats.org/officeDocument/2006/relationships/hyperlink" Target="mailto:comunicacion@fotocasa.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otocasa.es/indice/" TargetMode="External"/><Relationship Id="rId20" Type="http://schemas.openxmlformats.org/officeDocument/2006/relationships/hyperlink" Target="https://www.habitaclia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otocasa.es/es/" TargetMode="External"/><Relationship Id="rId24" Type="http://schemas.openxmlformats.org/officeDocument/2006/relationships/hyperlink" Target="https://www.inmoweb.e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otocasa.es" TargetMode="External"/><Relationship Id="rId23" Type="http://schemas.openxmlformats.org/officeDocument/2006/relationships/hyperlink" Target="https://get.witei.com/en/" TargetMode="External"/><Relationship Id="rId28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hyperlink" Target="https://www.fotocasa.e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otocasa.es" TargetMode="External"/><Relationship Id="rId14" Type="http://schemas.openxmlformats.org/officeDocument/2006/relationships/hyperlink" Target="http://www.fotocasa.es" TargetMode="External"/><Relationship Id="rId22" Type="http://schemas.openxmlformats.org/officeDocument/2006/relationships/hyperlink" Target="https://datavenues.com/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I:\Mi%20unidad\01-SCHIBSTED\03-NOTAS%20DE%20PRENSA\01-VENTA\01-NOTAS%20DE%20PRENSA\2026\PRENSA%20VENTA%20Ene%202026.xlsm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I:\Mi%20unidad\01-SCHIBSTED\03-NOTAS%20DE%20PRENSA\01-VENTA\01-NOTAS%20DE%20PRENSA\2026\PRENSA%20VENTA%20Ene%202026.xlsm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ivotFmts>
      <c:pivotFmt>
        <c:idx val="0"/>
        <c:spPr>
          <a:solidFill>
            <a:schemeClr val="accent5">
              <a:lumMod val="40000"/>
              <a:lumOff val="60000"/>
            </a:schemeClr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rgbClr val="61C2C7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</c:ext>
          </c:extLst>
        </c:dLbl>
      </c:pivotFmt>
      <c:pivotFmt>
        <c:idx val="2"/>
        <c:spPr>
          <a:solidFill>
            <a:schemeClr val="accent5">
              <a:lumMod val="75000"/>
            </a:schemeClr>
          </a:solidFill>
          <a:ln cap="rnd">
            <a:solidFill>
              <a:schemeClr val="accent5">
                <a:lumMod val="75000"/>
              </a:schemeClr>
            </a:solidFill>
          </a:ln>
          <a:effectLst/>
          <a:scene3d>
            <a:camera prst="orthographicFront"/>
            <a:lightRig rig="threePt" dir="t"/>
          </a:scene3d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  <c15:layout>
                <c:manualLayout>
                  <c:w val="7.3423245171276671E-2"/>
                  <c:h val="0.12885840854129021"/>
                </c:manualLayout>
              </c15:layout>
            </c:ext>
          </c:extLst>
        </c:dLbl>
      </c:pivotFmt>
      <c:pivotFmt>
        <c:idx val="4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  <c15:layout>
                <c:manualLayout>
                  <c:w val="7.3423245171276671E-2"/>
                  <c:h val="0.11946614470988752"/>
                </c:manualLayout>
              </c15:layout>
            </c:ext>
          </c:extLst>
        </c:dLbl>
      </c:pivotFmt>
      <c:pivotFmt>
        <c:idx val="5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  <c15:layout>
                <c:manualLayout>
                  <c:w val="7.3423245171276671E-2"/>
                  <c:h val="0.12885840854129024"/>
                </c:manualLayout>
              </c15:layout>
            </c:ext>
          </c:extLst>
        </c:dLbl>
      </c:pivotFmt>
      <c:pivotFmt>
        <c:idx val="6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  <c15:layout>
                <c:manualLayout>
                  <c:w val="7.3423245171276671E-2"/>
                  <c:h val="0.11633539009941996"/>
                </c:manualLayout>
              </c15:layout>
            </c:ext>
          </c:extLst>
        </c:dLbl>
      </c:pivotFmt>
      <c:pivotFmt>
        <c:idx val="7"/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dLbl>
          <c:idx val="0"/>
          <c:numFmt formatCode="#,##0.0\ &quot;%&quot;" sourceLinked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1"/>
          <c:showVal val="1"/>
          <c:showCatName val="1"/>
          <c:showSerName val="1"/>
          <c:showPercent val="1"/>
          <c:showBubbleSize val="1"/>
          <c:extLst>
            <c:ext xmlns:c15="http://schemas.microsoft.com/office/drawing/2012/chart" uri="{CE6537A1-D6FC-4f65-9D91-7224C49458BB}"/>
          </c:extLst>
        </c:dLbl>
      </c:pivotFmt>
      <c:pivotFmt>
        <c:idx val="9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  <c15:layout>
                <c:manualLayout>
                  <c:w val="7.9132221471931705E-2"/>
                  <c:h val="0.11579751872236264"/>
                </c:manualLayout>
              </c15:layout>
            </c:ext>
          </c:extLst>
        </c:dLbl>
      </c:pivotFmt>
      <c:pivotFmt>
        <c:idx val="10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  <c15:layout>
                <c:manualLayout>
                  <c:w val="8.3122831284244206E-2"/>
                  <c:h val="0.13317993013091828"/>
                </c:manualLayout>
              </c15:layout>
            </c:ext>
          </c:extLst>
        </c:dLbl>
      </c:pivotFmt>
      <c:pivotFmt>
        <c:idx val="11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  <c15:layout>
                <c:manualLayout>
                  <c:w val="7.7136916565775454E-2"/>
                  <c:h val="0.12970344784920718"/>
                </c:manualLayout>
              </c15:layout>
            </c:ext>
          </c:extLst>
        </c:dLbl>
      </c:pivotFmt>
    </c:pivotFmts>
    <c:plotArea>
      <c:layout>
        <c:manualLayout>
          <c:layoutTarget val="inner"/>
          <c:xMode val="edge"/>
          <c:yMode val="edge"/>
          <c:x val="4.605375202992458E-2"/>
          <c:y val="5.7971167309232172E-2"/>
          <c:w val="0.9302750421385988"/>
          <c:h val="0.650803207498844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gráfica!$C$24</c:f>
              <c:strCache>
                <c:ptCount val="1"/>
                <c:pt idx="0">
                  <c:v>  % mensual </c:v>
                </c:pt>
              </c:strCache>
            </c:strRef>
          </c:tx>
          <c:spPr>
            <a:solidFill>
              <a:srgbClr val="4472C4"/>
            </a:solidFill>
            <a:ln>
              <a:noFill/>
            </a:ln>
            <a:effectLst/>
          </c:spPr>
          <c:invertIfNegative val="0"/>
          <c:dPt>
            <c:idx val="3"/>
            <c:invertIfNegative val="0"/>
            <c:bubble3D val="0"/>
            <c:spPr>
              <a:solidFill>
                <a:srgbClr val="4472C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A4F-4547-A9DB-C4FA515F3A34}"/>
              </c:ext>
            </c:extLst>
          </c:dPt>
          <c:dPt>
            <c:idx val="4"/>
            <c:invertIfNegative val="0"/>
            <c:bubble3D val="0"/>
            <c:spPr>
              <a:solidFill>
                <a:srgbClr val="4472C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2A4F-4547-A9DB-C4FA515F3A34}"/>
              </c:ext>
            </c:extLst>
          </c:dPt>
          <c:dPt>
            <c:idx val="5"/>
            <c:invertIfNegative val="0"/>
            <c:bubble3D val="0"/>
            <c:spPr>
              <a:solidFill>
                <a:srgbClr val="4472C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2A4F-4547-A9DB-C4FA515F3A34}"/>
              </c:ext>
            </c:extLst>
          </c:dPt>
          <c:dPt>
            <c:idx val="6"/>
            <c:invertIfNegative val="0"/>
            <c:bubble3D val="0"/>
            <c:spPr>
              <a:solidFill>
                <a:srgbClr val="4472C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2A4F-4547-A9DB-C4FA515F3A34}"/>
              </c:ext>
            </c:extLst>
          </c:dPt>
          <c:dPt>
            <c:idx val="7"/>
            <c:invertIfNegative val="0"/>
            <c:bubble3D val="0"/>
            <c:spPr>
              <a:solidFill>
                <a:srgbClr val="4472C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2A4F-4547-A9DB-C4FA515F3A34}"/>
              </c:ext>
            </c:extLst>
          </c:dPt>
          <c:dPt>
            <c:idx val="8"/>
            <c:invertIfNegative val="0"/>
            <c:bubble3D val="0"/>
            <c:spPr>
              <a:solidFill>
                <a:srgbClr val="4472C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2A4F-4547-A9DB-C4FA515F3A34}"/>
              </c:ext>
            </c:extLst>
          </c:dPt>
          <c:dPt>
            <c:idx val="9"/>
            <c:invertIfNegative val="0"/>
            <c:bubble3D val="0"/>
            <c:spPr>
              <a:solidFill>
                <a:srgbClr val="4472C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2A4F-4547-A9DB-C4FA515F3A34}"/>
              </c:ext>
            </c:extLst>
          </c:dPt>
          <c:dPt>
            <c:idx val="10"/>
            <c:invertIfNegative val="0"/>
            <c:bubble3D val="0"/>
            <c:spPr>
              <a:solidFill>
                <a:srgbClr val="4472C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2A4F-4547-A9DB-C4FA515F3A34}"/>
              </c:ext>
            </c:extLst>
          </c:dPt>
          <c:dPt>
            <c:idx val="14"/>
            <c:invertIfNegative val="0"/>
            <c:bubble3D val="0"/>
            <c:spPr>
              <a:solidFill>
                <a:srgbClr val="4472C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2A4F-4547-A9DB-C4FA515F3A34}"/>
              </c:ext>
            </c:extLst>
          </c:dPt>
          <c:dLbls>
            <c:dLbl>
              <c:idx val="5"/>
              <c:layout>
                <c:manualLayout>
                  <c:x val="6.782645755229802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A4F-4547-A9DB-C4FA515F3A34}"/>
                </c:ext>
              </c:extLst>
            </c:dLbl>
            <c:dLbl>
              <c:idx val="9"/>
              <c:layout>
                <c:manualLayout>
                  <c:x val="-1.8832023099033309E-3"/>
                  <c:y val="5.96734914765040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A4F-4547-A9DB-C4FA515F3A34}"/>
                </c:ext>
              </c:extLst>
            </c:dLbl>
            <c:numFmt formatCode="#,##0.0&quot;%&quot;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Open Sans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gráfica!$A$25:$B$37</c:f>
              <c:multiLvlStrCache>
                <c:ptCount val="13"/>
                <c:lvl>
                  <c:pt idx="0">
                    <c:v>ENE</c:v>
                  </c:pt>
                  <c:pt idx="1">
                    <c:v>FEB</c:v>
                  </c:pt>
                  <c:pt idx="2">
                    <c:v>MAR</c:v>
                  </c:pt>
                  <c:pt idx="3">
                    <c:v>ABR</c:v>
                  </c:pt>
                  <c:pt idx="4">
                    <c:v>MAY</c:v>
                  </c:pt>
                  <c:pt idx="5">
                    <c:v>JUN</c:v>
                  </c:pt>
                  <c:pt idx="6">
                    <c:v>JUL</c:v>
                  </c:pt>
                  <c:pt idx="7">
                    <c:v>AGO</c:v>
                  </c:pt>
                  <c:pt idx="8">
                    <c:v>SEP</c:v>
                  </c:pt>
                  <c:pt idx="9">
                    <c:v>OCT</c:v>
                  </c:pt>
                  <c:pt idx="10">
                    <c:v>NOV</c:v>
                  </c:pt>
                  <c:pt idx="11">
                    <c:v>DIC</c:v>
                  </c:pt>
                  <c:pt idx="12">
                    <c:v>ENE</c:v>
                  </c:pt>
                </c:lvl>
                <c:lvl>
                  <c:pt idx="0">
                    <c:v>2025</c:v>
                  </c:pt>
                  <c:pt idx="12">
                    <c:v>2026</c:v>
                  </c:pt>
                </c:lvl>
              </c:multiLvlStrCache>
            </c:multiLvlStrRef>
          </c:cat>
          <c:val>
            <c:numRef>
              <c:f>gráfica!$C$25:$C$37</c:f>
              <c:numCache>
                <c:formatCode>#,##0.0"%"</c:formatCode>
                <c:ptCount val="13"/>
                <c:pt idx="0">
                  <c:v>0.68942999585590581</c:v>
                </c:pt>
                <c:pt idx="1">
                  <c:v>2.2644882348050066</c:v>
                </c:pt>
                <c:pt idx="2">
                  <c:v>1.1809567172249125</c:v>
                </c:pt>
                <c:pt idx="3">
                  <c:v>1.797968596821109</c:v>
                </c:pt>
                <c:pt idx="4">
                  <c:v>3.9878910828955672</c:v>
                </c:pt>
                <c:pt idx="5">
                  <c:v>1.4513931324509954</c:v>
                </c:pt>
                <c:pt idx="6">
                  <c:v>1.5795282365925312</c:v>
                </c:pt>
                <c:pt idx="7">
                  <c:v>0.83162380256116553</c:v>
                </c:pt>
                <c:pt idx="8">
                  <c:v>0.65418683225275664</c:v>
                </c:pt>
                <c:pt idx="9">
                  <c:v>1.2138652809127404</c:v>
                </c:pt>
                <c:pt idx="10">
                  <c:v>1.3800101107521723</c:v>
                </c:pt>
                <c:pt idx="11">
                  <c:v>1.8160277266940028</c:v>
                </c:pt>
                <c:pt idx="12">
                  <c:v>0.62001771479185397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2A4F-4547-A9DB-C4FA515F3A34}"/>
            </c:ext>
          </c:extLst>
        </c:ser>
        <c:ser>
          <c:idx val="1"/>
          <c:order val="1"/>
          <c:tx>
            <c:strRef>
              <c:f>gráfica!$D$24</c:f>
              <c:strCache>
                <c:ptCount val="1"/>
                <c:pt idx="0">
                  <c:v> % interanual </c:v>
                </c:pt>
              </c:strCache>
            </c:strRef>
          </c:tx>
          <c:spPr>
            <a:solidFill>
              <a:srgbClr val="A5A5A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Open Sans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gráfica!$A$25:$B$37</c:f>
              <c:multiLvlStrCache>
                <c:ptCount val="13"/>
                <c:lvl>
                  <c:pt idx="0">
                    <c:v>ENE</c:v>
                  </c:pt>
                  <c:pt idx="1">
                    <c:v>FEB</c:v>
                  </c:pt>
                  <c:pt idx="2">
                    <c:v>MAR</c:v>
                  </c:pt>
                  <c:pt idx="3">
                    <c:v>ABR</c:v>
                  </c:pt>
                  <c:pt idx="4">
                    <c:v>MAY</c:v>
                  </c:pt>
                  <c:pt idx="5">
                    <c:v>JUN</c:v>
                  </c:pt>
                  <c:pt idx="6">
                    <c:v>JUL</c:v>
                  </c:pt>
                  <c:pt idx="7">
                    <c:v>AGO</c:v>
                  </c:pt>
                  <c:pt idx="8">
                    <c:v>SEP</c:v>
                  </c:pt>
                  <c:pt idx="9">
                    <c:v>OCT</c:v>
                  </c:pt>
                  <c:pt idx="10">
                    <c:v>NOV</c:v>
                  </c:pt>
                  <c:pt idx="11">
                    <c:v>DIC</c:v>
                  </c:pt>
                  <c:pt idx="12">
                    <c:v>ENE</c:v>
                  </c:pt>
                </c:lvl>
                <c:lvl>
                  <c:pt idx="0">
                    <c:v>2025</c:v>
                  </c:pt>
                  <c:pt idx="12">
                    <c:v>2026</c:v>
                  </c:pt>
                </c:lvl>
              </c:multiLvlStrCache>
            </c:multiLvlStrRef>
          </c:cat>
          <c:val>
            <c:numRef>
              <c:f>gráfica!$D$25:$D$37</c:f>
              <c:numCache>
                <c:formatCode>#,##0.0"%"</c:formatCode>
                <c:ptCount val="13"/>
                <c:pt idx="0">
                  <c:v>8.5777996452059959</c:v>
                </c:pt>
                <c:pt idx="1">
                  <c:v>10.10119998746748</c:v>
                </c:pt>
                <c:pt idx="2">
                  <c:v>10.179418053360623</c:v>
                </c:pt>
                <c:pt idx="3">
                  <c:v>11.66460996033496</c:v>
                </c:pt>
                <c:pt idx="4">
                  <c:v>14.845714933329845</c:v>
                </c:pt>
                <c:pt idx="5">
                  <c:v>14.85000042967506</c:v>
                </c:pt>
                <c:pt idx="6">
                  <c:v>15.856151085736702</c:v>
                </c:pt>
                <c:pt idx="7">
                  <c:v>17.663112383260927</c:v>
                </c:pt>
                <c:pt idx="8">
                  <c:v>17.031550604553569</c:v>
                </c:pt>
                <c:pt idx="9">
                  <c:v>18.019100652908904</c:v>
                </c:pt>
                <c:pt idx="10">
                  <c:v>18.818205120662924</c:v>
                </c:pt>
                <c:pt idx="11">
                  <c:v>20.512112117140301</c:v>
                </c:pt>
                <c:pt idx="12">
                  <c:v>20.42903467198802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2A4F-4547-A9DB-C4FA515F3A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14"/>
        <c:axId val="714532111"/>
        <c:axId val="1020150815"/>
      </c:barChart>
      <c:catAx>
        <c:axId val="714532111"/>
        <c:scaling>
          <c:orientation val="minMax"/>
        </c:scaling>
        <c:delete val="0"/>
        <c:axPos val="b"/>
        <c:numFmt formatCode="General" sourceLinked="1"/>
        <c:majorTickMark val="cross"/>
        <c:minorTickMark val="out"/>
        <c:tickLblPos val="low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Open Sans"/>
                <a:ea typeface="+mn-ea"/>
                <a:cs typeface="+mn-cs"/>
              </a:defRPr>
            </a:pPr>
            <a:endParaRPr lang="es-ES"/>
          </a:p>
        </c:txPr>
        <c:crossAx val="1020150815"/>
        <c:crosses val="autoZero"/>
        <c:auto val="1"/>
        <c:lblAlgn val="ctr"/>
        <c:lblOffset val="100"/>
        <c:noMultiLvlLbl val="0"/>
      </c:catAx>
      <c:valAx>
        <c:axId val="1020150815"/>
        <c:scaling>
          <c:orientation val="minMax"/>
        </c:scaling>
        <c:delete val="1"/>
        <c:axPos val="l"/>
        <c:numFmt formatCode="#,##0.0&quot;%&quot;" sourceLinked="1"/>
        <c:majorTickMark val="none"/>
        <c:minorTickMark val="none"/>
        <c:tickLblPos val="nextTo"/>
        <c:crossAx val="7145321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23990084478945234"/>
          <c:y val="0.86618549161908232"/>
          <c:w val="0.53293860812609251"/>
          <c:h val="7.34731176689424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Open Sans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  <c:extLst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 b="0">
          <a:latin typeface="Open Sans"/>
        </a:defRPr>
      </a:pPr>
      <a:endParaRPr lang="es-ES"/>
    </a:p>
  </c:txPr>
  <c:externalData r:id="rId4">
    <c:autoUpdate val="0"/>
  </c:externalData>
  <c:userShapes r:id="rId5"/>
  <c:extLst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gráfica!$L$26:$L$46</c:f>
              <c:numCache>
                <c:formatCode>mmm\-yy</c:formatCode>
                <c:ptCount val="21"/>
                <c:pt idx="0">
                  <c:v>38718</c:v>
                </c:pt>
                <c:pt idx="1">
                  <c:v>39083</c:v>
                </c:pt>
                <c:pt idx="2">
                  <c:v>39448</c:v>
                </c:pt>
                <c:pt idx="3">
                  <c:v>39814</c:v>
                </c:pt>
                <c:pt idx="4">
                  <c:v>40179</c:v>
                </c:pt>
                <c:pt idx="5">
                  <c:v>40544</c:v>
                </c:pt>
                <c:pt idx="6">
                  <c:v>40909</c:v>
                </c:pt>
                <c:pt idx="7">
                  <c:v>41275</c:v>
                </c:pt>
                <c:pt idx="8">
                  <c:v>41640</c:v>
                </c:pt>
                <c:pt idx="9">
                  <c:v>42005</c:v>
                </c:pt>
                <c:pt idx="10">
                  <c:v>42370</c:v>
                </c:pt>
                <c:pt idx="11">
                  <c:v>42736</c:v>
                </c:pt>
                <c:pt idx="12">
                  <c:v>43101</c:v>
                </c:pt>
                <c:pt idx="13">
                  <c:v>43466</c:v>
                </c:pt>
                <c:pt idx="14">
                  <c:v>43831</c:v>
                </c:pt>
                <c:pt idx="15">
                  <c:v>44197</c:v>
                </c:pt>
                <c:pt idx="16">
                  <c:v>44562</c:v>
                </c:pt>
                <c:pt idx="17">
                  <c:v>44927</c:v>
                </c:pt>
                <c:pt idx="18">
                  <c:v>45292</c:v>
                </c:pt>
                <c:pt idx="19">
                  <c:v>45658</c:v>
                </c:pt>
                <c:pt idx="20">
                  <c:v>46023</c:v>
                </c:pt>
              </c:numCache>
            </c:numRef>
          </c:cat>
          <c:val>
            <c:numRef>
              <c:f>gráfica!$M$26:$M$46</c:f>
              <c:numCache>
                <c:formatCode>#,##0.0"%"</c:formatCode>
                <c:ptCount val="21"/>
                <c:pt idx="0">
                  <c:v>12.224203564376278</c:v>
                </c:pt>
                <c:pt idx="1">
                  <c:v>7.7116946884179693</c:v>
                </c:pt>
                <c:pt idx="2">
                  <c:v>-2.656758013580407</c:v>
                </c:pt>
                <c:pt idx="3">
                  <c:v>-10.013443501873276</c:v>
                </c:pt>
                <c:pt idx="4">
                  <c:v>-6.888884036332021</c:v>
                </c:pt>
                <c:pt idx="5">
                  <c:v>-4.7008364149859538</c:v>
                </c:pt>
                <c:pt idx="6">
                  <c:v>-6.9372597186955982</c:v>
                </c:pt>
                <c:pt idx="7">
                  <c:v>-9.9235045608598966</c:v>
                </c:pt>
                <c:pt idx="8">
                  <c:v>-8.2617026951717687</c:v>
                </c:pt>
                <c:pt idx="9">
                  <c:v>-6.0704375550370004</c:v>
                </c:pt>
                <c:pt idx="10">
                  <c:v>-0.30737228017349016</c:v>
                </c:pt>
                <c:pt idx="11">
                  <c:v>1.5934690074247859</c:v>
                </c:pt>
                <c:pt idx="12">
                  <c:v>5.6126905513428804</c:v>
                </c:pt>
                <c:pt idx="13">
                  <c:v>7.685483785783398</c:v>
                </c:pt>
                <c:pt idx="14">
                  <c:v>-1.8605254430531404</c:v>
                </c:pt>
                <c:pt idx="15">
                  <c:v>1.7768494720995509</c:v>
                </c:pt>
                <c:pt idx="16">
                  <c:v>0.95532971709209047</c:v>
                </c:pt>
                <c:pt idx="17">
                  <c:v>8.997430664960838</c:v>
                </c:pt>
                <c:pt idx="18">
                  <c:v>7.45199419904643</c:v>
                </c:pt>
                <c:pt idx="19">
                  <c:v>8.5777996452059959</c:v>
                </c:pt>
                <c:pt idx="20">
                  <c:v>20.42903467198802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99-4D04-BADF-41F85C8467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39"/>
        <c:overlap val="-27"/>
        <c:axId val="482701055"/>
        <c:axId val="482687615"/>
      </c:barChart>
      <c:dateAx>
        <c:axId val="482701055"/>
        <c:scaling>
          <c:orientation val="minMax"/>
        </c:scaling>
        <c:delete val="0"/>
        <c:axPos val="b"/>
        <c:numFmt formatCode="mmm\-yy" sourceLinked="1"/>
        <c:majorTickMark val="out"/>
        <c:minorTickMark val="cross"/>
        <c:tickLblPos val="low"/>
        <c:spPr>
          <a:noFill/>
          <a:ln w="9525" cap="flat" cmpd="sng" algn="ctr">
            <a:solidFill>
              <a:schemeClr val="tx2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482687615"/>
        <c:crosses val="autoZero"/>
        <c:auto val="1"/>
        <c:lblOffset val="100"/>
        <c:baseTimeUnit val="years"/>
      </c:dateAx>
      <c:valAx>
        <c:axId val="482687615"/>
        <c:scaling>
          <c:orientation val="minMax"/>
        </c:scaling>
        <c:delete val="1"/>
        <c:axPos val="l"/>
        <c:numFmt formatCode="#,##0.0&quot;%&quot;" sourceLinked="1"/>
        <c:majorTickMark val="none"/>
        <c:minorTickMark val="none"/>
        <c:tickLblPos val="nextTo"/>
        <c:crossAx val="482701055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0.04371</cdr:x>
      <cdr:y>0.70895</cdr:y>
    </cdr:from>
    <cdr:to>
      <cdr:x>0.97575</cdr:x>
      <cdr:y>0.70895</cdr:y>
    </cdr:to>
    <cdr:cxnSp macro="">
      <cdr:nvCxnSpPr>
        <cdr:cNvPr id="6" name="Conector recto 5">
          <a:extLst xmlns:a="http://schemas.openxmlformats.org/drawingml/2006/main">
            <a:ext uri="{FF2B5EF4-FFF2-40B4-BE49-F238E27FC236}">
              <a16:creationId xmlns:a16="http://schemas.microsoft.com/office/drawing/2014/main" id="{95FDED51-2779-4F3D-84FE-1C764C29DBAA}"/>
            </a:ext>
          </a:extLst>
        </cdr:cNvPr>
        <cdr:cNvCxnSpPr/>
      </cdr:nvCxnSpPr>
      <cdr:spPr>
        <a:xfrm xmlns:a="http://schemas.openxmlformats.org/drawingml/2006/main">
          <a:off x="248815" y="1961447"/>
          <a:ext cx="5305894" cy="0"/>
        </a:xfrm>
        <a:prstGeom xmlns:a="http://schemas.openxmlformats.org/drawingml/2006/main" prst="line">
          <a:avLst/>
        </a:prstGeom>
        <a:ln xmlns:a="http://schemas.openxmlformats.org/drawingml/2006/main" w="12700" cmpd="sng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nF7of0ZPTV+fJQklTIULC24/LQ==">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3130</Words>
  <Characters>17218</Characters>
  <Application>Microsoft Office Word</Application>
  <DocSecurity>0</DocSecurity>
  <Lines>143</Lines>
  <Paragraphs>40</Paragraphs>
  <ScaleCrop>false</ScaleCrop>
  <Company/>
  <LinksUpToDate>false</LinksUpToDate>
  <CharactersWithSpaces>20308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Ranilla Checa</dc:creator>
  <cp:lastModifiedBy>Anais Garcia Lopez</cp:lastModifiedBy>
  <cp:revision>2</cp:revision>
  <dcterms:created xsi:type="dcterms:W3CDTF">2025-10-21T11:23:00Z</dcterms:created>
  <dcterms:modified xsi:type="dcterms:W3CDTF">2026-01-27T21:27:00Z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2024-01-26T14:32:01Z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32155b42-5118-4e37-94f2-fef8b188b727</vt:lpwstr>
  </property>
  <property fmtid="{D5CDD505-2E9C-101B-9397-08002B2CF9AE}" pid="7" name="MSIP_Label_defa4170-0d19-0005-0004-bc88714345d2_ActionId">
    <vt:lpwstr>14e205f0-437b-4ec9-a62f-b3b1d7a711e1</vt:lpwstr>
  </property>
  <property fmtid="{D5CDD505-2E9C-101B-9397-08002B2CF9AE}" pid="8" name="MSIP_Label_defa4170-0d19-0005-0004-bc88714345d2_ContentBits">
    <vt:lpwstr>0</vt:lpwstr>
  </property>
</Properties>
</file>