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14A0D" w14:textId="67229943" w:rsidR="005B42EB" w:rsidRDefault="00000000">
      <w:pPr>
        <w:jc w:val="center"/>
        <w:rPr>
          <w:rFonts w:ascii="National" w:eastAsia="National" w:hAnsi="National" w:cs="National"/>
          <w:b/>
          <w:bCs/>
          <w:color w:val="1DBDC5"/>
          <w:sz w:val="30"/>
          <w:szCs w:val="30"/>
        </w:rPr>
      </w:pPr>
      <w:r>
        <w:rPr>
          <w:rFonts w:ascii="National" w:eastAsia="National" w:hAnsi="National" w:cs="National"/>
          <w:b/>
          <w:bCs/>
          <w:color w:val="1DBDC5"/>
          <w:sz w:val="30"/>
          <w:szCs w:val="30"/>
        </w:rPr>
        <w:t>LA SOSTENIBILIDAD EN EL MERCADO DE LA VIVIENDA EN ESPAÑA 2025</w:t>
      </w:r>
    </w:p>
    <w:p w14:paraId="499276E4" w14:textId="77777777" w:rsidR="005B42EB" w:rsidRPr="004102C2" w:rsidRDefault="00000000">
      <w:pPr>
        <w:jc w:val="center"/>
        <w:rPr>
          <w:rFonts w:ascii="Open Sans" w:eastAsia="Open Sans" w:hAnsi="Open Sans" w:cs="Open Sans"/>
          <w:color w:val="303AB2"/>
          <w:sz w:val="18"/>
          <w:szCs w:val="18"/>
        </w:rPr>
      </w:pPr>
      <w:r w:rsidRPr="004102C2">
        <w:rPr>
          <w:rFonts w:ascii="National" w:eastAsia="National" w:hAnsi="National" w:cs="National"/>
          <w:b/>
          <w:bCs/>
          <w:color w:val="303AB2"/>
          <w:sz w:val="44"/>
          <w:szCs w:val="44"/>
        </w:rPr>
        <w:t>El 78% de los españoles concede importancia a la sostenibilidad a la hora de valorar una vivienda</w:t>
      </w:r>
    </w:p>
    <w:p w14:paraId="12E7DC14" w14:textId="77777777" w:rsidR="005B42EB" w:rsidRDefault="005B42EB">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63F2A58F" w14:textId="77777777" w:rsidR="005B42E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65% de los españoles vincula directamente la vivienda sostenible con la capacidad del inmueble para consumir menos energía</w:t>
      </w:r>
    </w:p>
    <w:p w14:paraId="6EC644ED" w14:textId="77777777" w:rsidR="005B42E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percepción sobre la importancia de la sostenibilidad en una vivienda crece significativamente a medida que aumenta la edad</w:t>
      </w:r>
    </w:p>
    <w:p w14:paraId="474F1A1B" w14:textId="607A3CED" w:rsidR="005B42E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Aquí se puede ver el informe completo “</w:t>
      </w:r>
      <w:hyperlink r:id="rId8" w:history="1">
        <w:r w:rsidR="008F4167" w:rsidRPr="008F4167">
          <w:rPr>
            <w:rStyle w:val="Hipervnculo"/>
            <w:rFonts w:ascii="Open Sans Light" w:eastAsia="Open Sans Light" w:hAnsi="Open Sans Light" w:cs="Open Sans Light"/>
            <w:b/>
            <w:bCs/>
          </w:rPr>
          <w:t>La sostenibilidad en la demanda de vivienda en 2025</w:t>
        </w:r>
      </w:hyperlink>
      <w:r>
        <w:rPr>
          <w:rFonts w:ascii="Open Sans Light" w:eastAsia="Open Sans Light" w:hAnsi="Open Sans Light" w:cs="Open Sans Light"/>
          <w:b/>
          <w:bCs/>
          <w:color w:val="303AB2"/>
        </w:rPr>
        <w:t xml:space="preserve">” </w:t>
      </w:r>
    </w:p>
    <w:p w14:paraId="40A947C3" w14:textId="77777777" w:rsidR="005B42EB" w:rsidRDefault="005B42EB">
      <w:pPr>
        <w:pBdr>
          <w:top w:val="nil"/>
          <w:left w:val="nil"/>
          <w:bottom w:val="nil"/>
          <w:right w:val="nil"/>
          <w:between w:val="nil"/>
        </w:pBdr>
        <w:spacing w:line="276" w:lineRule="auto"/>
        <w:jc w:val="both"/>
        <w:rPr>
          <w:rFonts w:ascii="Open Sans Light" w:eastAsia="Open Sans Light" w:hAnsi="Open Sans Light" w:cs="Open Sans Light"/>
          <w:b/>
          <w:bCs/>
          <w:color w:val="303AB2"/>
        </w:rPr>
      </w:pPr>
    </w:p>
    <w:p w14:paraId="710A3B63" w14:textId="17AF2013" w:rsidR="005B42EB"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Madrid, </w:t>
      </w:r>
      <w:r w:rsidR="00820687">
        <w:rPr>
          <w:rFonts w:ascii="Open Sans Light" w:eastAsia="Open Sans Light" w:hAnsi="Open Sans Light" w:cs="Open Sans Light"/>
          <w:b/>
          <w:bCs/>
          <w:color w:val="303AB2"/>
        </w:rPr>
        <w:t>26 de febrero</w:t>
      </w:r>
      <w:r>
        <w:rPr>
          <w:rFonts w:ascii="Open Sans Light" w:eastAsia="Open Sans Light" w:hAnsi="Open Sans Light" w:cs="Open Sans Light"/>
          <w:b/>
          <w:bCs/>
          <w:color w:val="303AB2"/>
        </w:rPr>
        <w:t xml:space="preserve"> de 2026</w:t>
      </w:r>
      <w:r>
        <w:rPr>
          <w:rFonts w:ascii="Open Sans Light" w:eastAsia="Open Sans Light" w:hAnsi="Open Sans Light" w:cs="Open Sans Light"/>
          <w:b/>
          <w:bCs/>
          <w:color w:val="303AB2"/>
        </w:rPr>
        <w:tab/>
      </w:r>
    </w:p>
    <w:p w14:paraId="309536DB" w14:textId="56456496" w:rsidR="005B42EB" w:rsidRDefault="00000000">
      <w:pPr>
        <w:pBdr>
          <w:top w:val="nil"/>
          <w:left w:val="nil"/>
          <w:bottom w:val="nil"/>
          <w:right w:val="nil"/>
          <w:between w:val="nil"/>
        </w:pBdr>
        <w:spacing w:line="276" w:lineRule="auto"/>
        <w:jc w:val="both"/>
        <w:rPr>
          <w:rFonts w:ascii="Open Sans" w:eastAsia="Open Sans" w:hAnsi="Open Sans" w:cs="Open Sans"/>
        </w:rPr>
      </w:pPr>
      <w:bookmarkStart w:id="0" w:name="_heading=h.b140uf2ohd6o" w:colFirst="0" w:colLast="0"/>
      <w:bookmarkEnd w:id="0"/>
      <w:r>
        <w:rPr>
          <w:rFonts w:ascii="Open Sans" w:eastAsia="Open Sans" w:hAnsi="Open Sans" w:cs="Open Sans"/>
        </w:rPr>
        <w:t xml:space="preserve">La sostenibilidad se ha consolidado como una prioridad en la valoración de la vivienda por parte de los españoles. Según el informe </w:t>
      </w:r>
      <w:r w:rsidRPr="008F4167">
        <w:rPr>
          <w:rFonts w:ascii="Open Sans" w:eastAsia="Open Sans" w:hAnsi="Open Sans" w:cs="Open Sans"/>
          <w:b/>
          <w:bCs/>
        </w:rPr>
        <w:t>“</w:t>
      </w:r>
      <w:hyperlink r:id="rId9" w:history="1">
        <w:r w:rsidR="005B42EB" w:rsidRPr="008F4167">
          <w:rPr>
            <w:rStyle w:val="Hipervnculo"/>
            <w:rFonts w:ascii="Open Sans" w:eastAsia="Open Sans" w:hAnsi="Open Sans" w:cs="Open Sans"/>
            <w:b/>
            <w:bCs/>
            <w:i/>
            <w:iCs/>
          </w:rPr>
          <w:t>La sostenibilidad en la demanda de vivienda en 2025</w:t>
        </w:r>
      </w:hyperlink>
      <w:r>
        <w:rPr>
          <w:rFonts w:ascii="Open Sans" w:eastAsia="Open Sans" w:hAnsi="Open Sans" w:cs="Open Sans"/>
          <w:b/>
          <w:bCs/>
        </w:rPr>
        <w:t xml:space="preserve">”, elaborado por </w:t>
      </w:r>
      <w:hyperlink r:id="rId10" w:history="1">
        <w:r w:rsidR="00820687" w:rsidRPr="00820687">
          <w:rPr>
            <w:rStyle w:val="Hipervnculo"/>
            <w:rFonts w:ascii="Open Sans" w:eastAsia="Open Sans" w:hAnsi="Open Sans" w:cs="Open Sans"/>
            <w:b/>
            <w:bCs/>
          </w:rPr>
          <w:t>Fotocasa</w:t>
        </w:r>
      </w:hyperlink>
      <w:r>
        <w:rPr>
          <w:rFonts w:ascii="Open Sans" w:eastAsia="Open Sans" w:hAnsi="Open Sans" w:cs="Open Sans"/>
          <w:b/>
          <w:bCs/>
        </w:rPr>
        <w:t xml:space="preserve"> y </w:t>
      </w:r>
      <w:hyperlink r:id="rId11" w:history="1">
        <w:r w:rsidR="00820687" w:rsidRPr="00820687">
          <w:rPr>
            <w:rStyle w:val="Hipervnculo"/>
            <w:rFonts w:ascii="Open Sans" w:eastAsia="Open Sans" w:hAnsi="Open Sans" w:cs="Open Sans"/>
            <w:b/>
            <w:bCs/>
          </w:rPr>
          <w:t>Solvia</w:t>
        </w:r>
      </w:hyperlink>
      <w:r>
        <w:rPr>
          <w:rFonts w:ascii="Open Sans" w:eastAsia="Open Sans" w:hAnsi="Open Sans" w:cs="Open Sans"/>
        </w:rPr>
        <w:t>, una amplia mayoría de ciudadanos, concretamente el 78%, concede mucha o bastante importancia a este aspecto cuando analiza un inmueble. Este interés, lejos de ser puntual o vinculado exclusivamente a las generaciones más jóvenes, se ha convertido en un criterio transversal, presente en todos los tramos de edad y en prácticamente todas las comunidades autónomas del país.</w:t>
      </w:r>
    </w:p>
    <w:p w14:paraId="67664CFE" w14:textId="77777777" w:rsidR="005B42EB" w:rsidRDefault="005B42EB">
      <w:pPr>
        <w:pBdr>
          <w:top w:val="nil"/>
          <w:left w:val="nil"/>
          <w:bottom w:val="nil"/>
          <w:right w:val="nil"/>
          <w:between w:val="nil"/>
        </w:pBdr>
        <w:spacing w:line="276" w:lineRule="auto"/>
        <w:jc w:val="both"/>
        <w:rPr>
          <w:rFonts w:ascii="Open Sans" w:eastAsia="Open Sans" w:hAnsi="Open Sans" w:cs="Open Sans"/>
        </w:rPr>
      </w:pPr>
    </w:p>
    <w:p w14:paraId="5AA49985" w14:textId="7C2CDDC0" w:rsidR="005B42EB"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“Estos datos confirman que la sostenibilidad ha pasado, en pocos años, de ser </w:t>
      </w:r>
      <w:proofErr w:type="gramStart"/>
      <w:r w:rsidR="008F4167">
        <w:rPr>
          <w:rFonts w:ascii="Open Sans" w:eastAsia="Open Sans" w:hAnsi="Open Sans" w:cs="Open Sans"/>
        </w:rPr>
        <w:t xml:space="preserve">un valor aspiracional </w:t>
      </w:r>
      <w:r w:rsidR="00F36734">
        <w:rPr>
          <w:rFonts w:ascii="Open Sans" w:eastAsia="Open Sans" w:hAnsi="Open Sans" w:cs="Open Sans"/>
        </w:rPr>
        <w:t>a</w:t>
      </w:r>
      <w:r w:rsidR="008F4167">
        <w:rPr>
          <w:rFonts w:ascii="Open Sans" w:eastAsia="Open Sans" w:hAnsi="Open Sans" w:cs="Open Sans"/>
        </w:rPr>
        <w:t xml:space="preserve"> convertirse</w:t>
      </w:r>
      <w:proofErr w:type="gramEnd"/>
      <w:r>
        <w:rPr>
          <w:rFonts w:ascii="Open Sans" w:eastAsia="Open Sans" w:hAnsi="Open Sans" w:cs="Open Sans"/>
        </w:rPr>
        <w:t xml:space="preserve"> en un elemento estratégico para el mercado inmobiliario. Para los ciudadanos, representa ahorro, eficiencia y bienestar. Para el sector, una oportunidad para desarrollar viviendas más alineadas con las expectativas actuales y con las exigencias regulatorias que ya marcan la agenda europea. La vivienda sostenible se ha convertido en un estándar emergente que, con toda probabilidad, marcará el rumbo del mercado durante la próxima década y, es positivo que los ciudadanos así lo perciban”, </w:t>
      </w:r>
      <w:r>
        <w:rPr>
          <w:rFonts w:ascii="Open Sans" w:eastAsia="Open Sans" w:hAnsi="Open Sans" w:cs="Open Sans"/>
          <w:b/>
          <w:bCs/>
        </w:rPr>
        <w:t xml:space="preserve">explica María Matos, directora de Estudios y portavoz de </w:t>
      </w:r>
      <w:hyperlink r:id="rId12" w:history="1">
        <w:r w:rsidR="005B42EB" w:rsidRPr="00820687">
          <w:rPr>
            <w:rStyle w:val="Hipervnculo"/>
            <w:rFonts w:ascii="Open Sans" w:eastAsia="Open Sans" w:hAnsi="Open Sans" w:cs="Open Sans"/>
            <w:b/>
            <w:bCs/>
          </w:rPr>
          <w:t>Fotocasa</w:t>
        </w:r>
      </w:hyperlink>
      <w:r>
        <w:rPr>
          <w:rFonts w:ascii="Open Sans" w:eastAsia="Open Sans" w:hAnsi="Open Sans" w:cs="Open Sans"/>
          <w:b/>
          <w:bCs/>
        </w:rPr>
        <w:t>.</w:t>
      </w:r>
    </w:p>
    <w:p w14:paraId="633C4A1B" w14:textId="77777777" w:rsidR="00820687" w:rsidRDefault="00820687">
      <w:pPr>
        <w:pBdr>
          <w:top w:val="nil"/>
          <w:left w:val="nil"/>
          <w:bottom w:val="nil"/>
          <w:right w:val="nil"/>
          <w:between w:val="nil"/>
        </w:pBdr>
        <w:spacing w:line="276" w:lineRule="auto"/>
        <w:jc w:val="both"/>
        <w:rPr>
          <w:rFonts w:ascii="Open Sans" w:eastAsia="Open Sans" w:hAnsi="Open Sans" w:cs="Open Sans"/>
        </w:rPr>
      </w:pPr>
    </w:p>
    <w:p w14:paraId="2FAF7AE5" w14:textId="7F39428B" w:rsidR="00820687" w:rsidRDefault="00820687" w:rsidP="00820687">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w:t>
      </w:r>
      <w:r w:rsidRPr="0021431B">
        <w:rPr>
          <w:rFonts w:ascii="Open Sans" w:eastAsia="Open Sans" w:hAnsi="Open Sans" w:cs="Open Sans"/>
        </w:rPr>
        <w:t xml:space="preserve">El hecho de que casi ocho de cada diez </w:t>
      </w:r>
      <w:r>
        <w:rPr>
          <w:rFonts w:ascii="Open Sans" w:eastAsia="Open Sans" w:hAnsi="Open Sans" w:cs="Open Sans"/>
        </w:rPr>
        <w:t>personas</w:t>
      </w:r>
      <w:r w:rsidRPr="0021431B">
        <w:rPr>
          <w:rFonts w:ascii="Open Sans" w:eastAsia="Open Sans" w:hAnsi="Open Sans" w:cs="Open Sans"/>
        </w:rPr>
        <w:t xml:space="preserve"> tengan en cuenta la sostenibilidad al valorar una vivienda </w:t>
      </w:r>
      <w:r w:rsidRPr="00104039">
        <w:rPr>
          <w:rFonts w:ascii="Open Sans" w:eastAsia="Open Sans" w:hAnsi="Open Sans" w:cs="Open Sans"/>
          <w:lang w:val="es-ES"/>
        </w:rPr>
        <w:t xml:space="preserve">confirma que la sostenibilidad se ha </w:t>
      </w:r>
      <w:r w:rsidRPr="00104039">
        <w:rPr>
          <w:rFonts w:ascii="Open Sans" w:eastAsia="Open Sans" w:hAnsi="Open Sans" w:cs="Open Sans"/>
          <w:lang w:val="es-ES"/>
        </w:rPr>
        <w:lastRenderedPageBreak/>
        <w:t xml:space="preserve">convertido en un elemento esencial en la percepción de la vivienda en España. </w:t>
      </w:r>
      <w:r>
        <w:rPr>
          <w:rFonts w:ascii="Open Sans" w:eastAsia="Open Sans" w:hAnsi="Open Sans" w:cs="Open Sans"/>
          <w:lang w:val="es-ES"/>
        </w:rPr>
        <w:t>E</w:t>
      </w:r>
      <w:r w:rsidRPr="00104039">
        <w:rPr>
          <w:rFonts w:ascii="Open Sans" w:eastAsia="Open Sans" w:hAnsi="Open Sans" w:cs="Open Sans"/>
        </w:rPr>
        <w:t xml:space="preserve">n Solvia creemos que escuchar y comprender estas nuevas sensibilidades es fundamental para </w:t>
      </w:r>
      <w:r>
        <w:rPr>
          <w:rFonts w:ascii="Open Sans" w:eastAsia="Open Sans" w:hAnsi="Open Sans" w:cs="Open Sans"/>
        </w:rPr>
        <w:t xml:space="preserve">responder a una demanda que busca en la sostenibilidad no solo la reducción del impacto energético a través de una mayor eficiencia, sino el ahorro y la mejora del confort en su día a día”, </w:t>
      </w:r>
      <w:r w:rsidRPr="002C2C41">
        <w:rPr>
          <w:rFonts w:ascii="Open Sans" w:eastAsia="Open Sans" w:hAnsi="Open Sans" w:cs="Open Sans"/>
          <w:b/>
          <w:bCs/>
        </w:rPr>
        <w:t xml:space="preserve">apunta Víctor González, director de Comunicación y Marca de </w:t>
      </w:r>
      <w:hyperlink r:id="rId13" w:history="1">
        <w:r w:rsidRPr="00820687">
          <w:rPr>
            <w:rStyle w:val="Hipervnculo"/>
            <w:rFonts w:ascii="Open Sans" w:eastAsia="Open Sans" w:hAnsi="Open Sans" w:cs="Open Sans"/>
            <w:b/>
            <w:bCs/>
          </w:rPr>
          <w:t>Solvia</w:t>
        </w:r>
      </w:hyperlink>
      <w:r>
        <w:rPr>
          <w:rFonts w:ascii="Open Sans" w:eastAsia="Open Sans" w:hAnsi="Open Sans" w:cs="Open Sans"/>
        </w:rPr>
        <w:t>.</w:t>
      </w:r>
    </w:p>
    <w:p w14:paraId="29E56454" w14:textId="77777777" w:rsidR="005B42EB" w:rsidRDefault="005B42EB">
      <w:pPr>
        <w:pBdr>
          <w:top w:val="nil"/>
          <w:left w:val="nil"/>
          <w:bottom w:val="nil"/>
          <w:right w:val="nil"/>
          <w:between w:val="nil"/>
        </w:pBdr>
        <w:spacing w:line="276" w:lineRule="auto"/>
        <w:jc w:val="both"/>
        <w:rPr>
          <w:rFonts w:ascii="Open Sans" w:eastAsia="Open Sans" w:hAnsi="Open Sans" w:cs="Open Sans"/>
        </w:rPr>
      </w:pPr>
    </w:p>
    <w:p w14:paraId="6046A6AE" w14:textId="77777777" w:rsidR="005B42E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estudio demuestra que </w:t>
      </w:r>
      <w:r>
        <w:rPr>
          <w:rFonts w:ascii="Open Sans" w:eastAsia="Open Sans" w:hAnsi="Open Sans" w:cs="Open Sans"/>
          <w:b/>
          <w:bCs/>
        </w:rPr>
        <w:t>la percepción de la sostenibilidad crece significativamente a medida que aumenta la edad</w:t>
      </w:r>
      <w:r>
        <w:rPr>
          <w:rFonts w:ascii="Open Sans" w:eastAsia="Open Sans" w:hAnsi="Open Sans" w:cs="Open Sans"/>
        </w:rPr>
        <w:t>, lo que evidencia que los ciudadanos con mayor experiencia residencial, o con una trayectoria vital más amplia, se muestran especialmente sensibles a cuestiones relacionadas con la eficiencia, el ahorro y la durabilidad del hogar. Así, mientras entre los jóvenes de 18 a 34 años la consideración de la sostenibilidad como un aspecto importante se sitúa en el 75%, entre los mayores de 55 años este porcentaje asciende hasta alcanzar el 86%. El grupo intermedio, comprendido entre los 35 y 54 años, muestra un interés que se mueve en cifras cercanas al 73%, estableciendo un patrón claro: cuanto mayor es la edad, mayor es el valor atribuido a que una vivienda incorpore elementos sostenibles.</w:t>
      </w:r>
    </w:p>
    <w:p w14:paraId="18752EFF" w14:textId="77777777" w:rsidR="00820687" w:rsidRDefault="00820687">
      <w:pPr>
        <w:pBdr>
          <w:top w:val="nil"/>
          <w:left w:val="nil"/>
          <w:bottom w:val="nil"/>
          <w:right w:val="nil"/>
          <w:between w:val="nil"/>
        </w:pBdr>
        <w:spacing w:line="276" w:lineRule="auto"/>
        <w:jc w:val="both"/>
        <w:rPr>
          <w:rFonts w:ascii="Open Sans" w:eastAsia="Open Sans" w:hAnsi="Open Sans" w:cs="Open Sans"/>
        </w:rPr>
      </w:pPr>
    </w:p>
    <w:p w14:paraId="5E551A9E" w14:textId="77777777" w:rsidR="005B42EB" w:rsidRDefault="00000000">
      <w:pPr>
        <w:pBdr>
          <w:top w:val="nil"/>
          <w:left w:val="nil"/>
          <w:bottom w:val="nil"/>
          <w:right w:val="nil"/>
          <w:between w:val="nil"/>
        </w:pBdr>
        <w:spacing w:line="276" w:lineRule="auto"/>
        <w:jc w:val="center"/>
        <w:rPr>
          <w:rFonts w:ascii="Open Sans" w:eastAsia="Open Sans" w:hAnsi="Open Sans" w:cs="Open Sans"/>
        </w:rPr>
      </w:pPr>
      <w:r>
        <w:rPr>
          <w:noProof/>
        </w:rPr>
        <w:drawing>
          <wp:inline distT="0" distB="0" distL="0" distR="0" wp14:anchorId="3DF77A57" wp14:editId="5E2A1A9F">
            <wp:extent cx="3497580" cy="3642360"/>
            <wp:effectExtent l="0" t="0" r="7620" b="0"/>
            <wp:docPr id="2085370333" name="image4.png" descr="Forma, Círcul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Forma, Círculo&#10;&#10;El contenido generado por IA puede ser incorrecto."/>
                    <pic:cNvPicPr preferRelativeResize="0"/>
                  </pic:nvPicPr>
                  <pic:blipFill>
                    <a:blip r:embed="rId14"/>
                    <a:srcRect/>
                    <a:stretch>
                      <a:fillRect/>
                    </a:stretch>
                  </pic:blipFill>
                  <pic:spPr>
                    <a:xfrm>
                      <a:off x="0" y="0"/>
                      <a:ext cx="3497580" cy="3642360"/>
                    </a:xfrm>
                    <a:prstGeom prst="rect">
                      <a:avLst/>
                    </a:prstGeom>
                    <a:ln/>
                  </pic:spPr>
                </pic:pic>
              </a:graphicData>
            </a:graphic>
          </wp:inline>
        </w:drawing>
      </w:r>
    </w:p>
    <w:p w14:paraId="332E13DF" w14:textId="28CAD0D9" w:rsidR="005B42E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Territorialmente, el interés está extendido de forma equilibrada, con autonomías como la </w:t>
      </w:r>
      <w:r>
        <w:rPr>
          <w:rFonts w:ascii="Open Sans" w:eastAsia="Open Sans" w:hAnsi="Open Sans" w:cs="Open Sans"/>
          <w:b/>
          <w:bCs/>
        </w:rPr>
        <w:t>Comunidad Valenciana, Cataluña, Madrid o Andalucía que presentan cifras especialmente elevadas, situándose entre el 75% y el 80%</w:t>
      </w:r>
      <w:r>
        <w:rPr>
          <w:rFonts w:ascii="Open Sans" w:eastAsia="Open Sans" w:hAnsi="Open Sans" w:cs="Open Sans"/>
        </w:rPr>
        <w:t>, mientras que la media del resto de España se alinea entorno al 79%. Este reparto homogéneo revela que la sostenibilidad ya no es un criterio de nicho ni una preferencia localizada en áreas urbanas concretas, sino una demanda ampliamente asentada y distribuida por todo el país.</w:t>
      </w:r>
    </w:p>
    <w:p w14:paraId="09BD124E" w14:textId="77777777" w:rsidR="005B42EB" w:rsidRDefault="005B42EB">
      <w:pPr>
        <w:pBdr>
          <w:top w:val="nil"/>
          <w:left w:val="nil"/>
          <w:bottom w:val="nil"/>
          <w:right w:val="nil"/>
          <w:between w:val="nil"/>
        </w:pBdr>
        <w:spacing w:line="276" w:lineRule="auto"/>
        <w:jc w:val="both"/>
        <w:rPr>
          <w:rFonts w:ascii="Open Sans" w:eastAsia="Open Sans" w:hAnsi="Open Sans" w:cs="Open Sans"/>
        </w:rPr>
      </w:pPr>
    </w:p>
    <w:p w14:paraId="3573FEF9" w14:textId="77777777" w:rsidR="005B42EB"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La sostenibilidad residencial se asocia con la eficiencia energética</w:t>
      </w:r>
    </w:p>
    <w:p w14:paraId="3E09589F" w14:textId="77777777" w:rsidR="005B42EB" w:rsidRDefault="005B42EB">
      <w:pPr>
        <w:pBdr>
          <w:top w:val="nil"/>
          <w:left w:val="nil"/>
          <w:bottom w:val="nil"/>
          <w:right w:val="nil"/>
          <w:between w:val="nil"/>
        </w:pBdr>
        <w:spacing w:line="276" w:lineRule="auto"/>
        <w:jc w:val="both"/>
        <w:rPr>
          <w:rFonts w:ascii="Open Sans" w:eastAsia="Open Sans" w:hAnsi="Open Sans" w:cs="Open Sans"/>
        </w:rPr>
      </w:pPr>
    </w:p>
    <w:p w14:paraId="07998E27" w14:textId="77777777" w:rsidR="005B42E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Uno de los aportes fundamentales del informe reside en aclarar qué entienden los ciudadanos por “vivienda sostenible</w:t>
      </w:r>
      <w:r>
        <w:rPr>
          <w:rFonts w:ascii="Open Sans" w:eastAsia="Open Sans" w:hAnsi="Open Sans" w:cs="Open Sans"/>
          <w:b/>
          <w:bCs/>
        </w:rPr>
        <w:t>”. De forma mayoritaria, la sostenibilidad se asocia a la eficiencia energética. El 65% de los españoles vincula directamente la vivienda sostenible con la capacidad del inmueble para consumir menos energía</w:t>
      </w:r>
      <w:r>
        <w:rPr>
          <w:rFonts w:ascii="Open Sans" w:eastAsia="Open Sans" w:hAnsi="Open Sans" w:cs="Open Sans"/>
        </w:rPr>
        <w:t>, reducir su dependencia de sistemas de climatización y permitir un ahorro económico recurrente. Se trata, por tanto, de un concepto práctico, alejado de percepciones abstractas o exclusivamente ambientales. La sostenibilidad se interpreta como una forma de vivir mejor, más cómodamente y con un menor gasto mensual.</w:t>
      </w:r>
    </w:p>
    <w:p w14:paraId="28EF1F19" w14:textId="77777777" w:rsidR="005B42EB" w:rsidRDefault="005B42EB">
      <w:pPr>
        <w:pBdr>
          <w:top w:val="nil"/>
          <w:left w:val="nil"/>
          <w:bottom w:val="nil"/>
          <w:right w:val="nil"/>
          <w:between w:val="nil"/>
        </w:pBdr>
        <w:spacing w:line="276" w:lineRule="auto"/>
        <w:jc w:val="both"/>
        <w:rPr>
          <w:rFonts w:ascii="Open Sans" w:eastAsia="Open Sans" w:hAnsi="Open Sans" w:cs="Open Sans"/>
        </w:rPr>
      </w:pPr>
    </w:p>
    <w:p w14:paraId="7888CD02" w14:textId="77777777" w:rsidR="005B42EB" w:rsidRDefault="00000000" w:rsidP="00820687">
      <w:pPr>
        <w:pBdr>
          <w:top w:val="nil"/>
          <w:left w:val="nil"/>
          <w:bottom w:val="nil"/>
          <w:right w:val="nil"/>
          <w:between w:val="nil"/>
        </w:pBdr>
        <w:spacing w:line="276" w:lineRule="auto"/>
        <w:jc w:val="center"/>
        <w:rPr>
          <w:rFonts w:ascii="Open Sans" w:eastAsia="Open Sans" w:hAnsi="Open Sans" w:cs="Open Sans"/>
        </w:rPr>
      </w:pPr>
      <w:r>
        <w:rPr>
          <w:noProof/>
        </w:rPr>
        <w:drawing>
          <wp:inline distT="0" distB="0" distL="0" distR="0" wp14:anchorId="2BCC3CC8" wp14:editId="1F202111">
            <wp:extent cx="4739640" cy="3337560"/>
            <wp:effectExtent l="0" t="0" r="3810" b="0"/>
            <wp:docPr id="2085370331" name="image3.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10;&#10;El contenido generado por IA puede ser incorrecto."/>
                    <pic:cNvPicPr preferRelativeResize="0"/>
                  </pic:nvPicPr>
                  <pic:blipFill>
                    <a:blip r:embed="rId15"/>
                    <a:srcRect/>
                    <a:stretch>
                      <a:fillRect/>
                    </a:stretch>
                  </pic:blipFill>
                  <pic:spPr>
                    <a:xfrm>
                      <a:off x="0" y="0"/>
                      <a:ext cx="4739640" cy="3337560"/>
                    </a:xfrm>
                    <a:prstGeom prst="rect">
                      <a:avLst/>
                    </a:prstGeom>
                    <a:ln/>
                  </pic:spPr>
                </pic:pic>
              </a:graphicData>
            </a:graphic>
          </wp:inline>
        </w:drawing>
      </w:r>
    </w:p>
    <w:p w14:paraId="332DB825" w14:textId="104C3422" w:rsidR="005B42E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Además de la eficiencia energética, casi la mitad de los españoles, </w:t>
      </w:r>
      <w:r>
        <w:rPr>
          <w:rFonts w:ascii="Open Sans" w:eastAsia="Open Sans" w:hAnsi="Open Sans" w:cs="Open Sans"/>
          <w:b/>
          <w:bCs/>
        </w:rPr>
        <w:t>el 49%, señala que una vivienda sostenible debe estar diseñada para aprovechar la energía natural de forma adecuada</w:t>
      </w:r>
      <w:r>
        <w:rPr>
          <w:rFonts w:ascii="Open Sans" w:eastAsia="Open Sans" w:hAnsi="Open Sans" w:cs="Open Sans"/>
        </w:rPr>
        <w:t>, es decir, que tenga una orientación, configuración y estructura que reduzca la necesidad de calefacción o aire acondicionado. Para un 43%, la presencia de certificados o sellos de calidad ambiental es un indicador importante, mientras que otro 42% alude al uso de energías renovables o a que el inmueble haya sido construido de forma responsable y respetuosa con el entorno. También se mencionan elementos como la durabilidad de los materiales, la salubridad del hogar, la presencia de materiales ecológicos o reciclados, la cercanía a servicios que reduzcan la movilidad obligada, o incluso la conexión con la naturaleza a través de jardines o huertos propios.</w:t>
      </w:r>
    </w:p>
    <w:p w14:paraId="7BFE2500" w14:textId="77777777" w:rsidR="005B42EB" w:rsidRDefault="005B42EB">
      <w:pPr>
        <w:pBdr>
          <w:top w:val="nil"/>
          <w:left w:val="nil"/>
          <w:bottom w:val="nil"/>
          <w:right w:val="nil"/>
          <w:between w:val="nil"/>
        </w:pBdr>
        <w:spacing w:line="276" w:lineRule="auto"/>
        <w:jc w:val="both"/>
        <w:rPr>
          <w:rFonts w:ascii="Open Sans" w:eastAsia="Open Sans" w:hAnsi="Open Sans" w:cs="Open Sans"/>
        </w:rPr>
      </w:pPr>
    </w:p>
    <w:p w14:paraId="5FDE6EBA" w14:textId="77777777" w:rsidR="005B42E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informe también muestra que el interés por la sostenibilidad varía ligeramente en función del papel del ciudadano en el mercado. </w:t>
      </w:r>
      <w:r>
        <w:rPr>
          <w:rFonts w:ascii="Open Sans" w:eastAsia="Open Sans" w:hAnsi="Open Sans" w:cs="Open Sans"/>
          <w:b/>
          <w:bCs/>
        </w:rPr>
        <w:t>Tanto compradores como vendedores otorgan gran relevancia a este criterio, alcanzando en ambos casos el 78% y el 84% respectivamente</w:t>
      </w:r>
      <w:r>
        <w:rPr>
          <w:rFonts w:ascii="Open Sans" w:eastAsia="Open Sans" w:hAnsi="Open Sans" w:cs="Open Sans"/>
        </w:rPr>
        <w:t>. En el mercado del alquiler, inquilinos y arrendadores también muestran una sensibilidad notable, con cifras del 78% y el 77%, respectivamente, lo que demuestra que la sostenibilidad es ya un valor consolidado en todas las modalidades de acceso a la vivienda.</w:t>
      </w:r>
    </w:p>
    <w:p w14:paraId="734ACDFA" w14:textId="77777777" w:rsidR="005B42EB" w:rsidRDefault="005B42EB">
      <w:pPr>
        <w:pBdr>
          <w:top w:val="nil"/>
          <w:left w:val="nil"/>
          <w:bottom w:val="nil"/>
          <w:right w:val="nil"/>
          <w:between w:val="nil"/>
        </w:pBdr>
        <w:spacing w:line="276" w:lineRule="auto"/>
        <w:jc w:val="both"/>
        <w:rPr>
          <w:rFonts w:ascii="Open Sans" w:eastAsia="Open Sans" w:hAnsi="Open Sans" w:cs="Open Sans"/>
        </w:rPr>
      </w:pPr>
    </w:p>
    <w:p w14:paraId="30DD431F" w14:textId="77777777" w:rsidR="005B42EB" w:rsidRDefault="005B42EB">
      <w:pPr>
        <w:spacing w:line="276" w:lineRule="auto"/>
        <w:jc w:val="right"/>
        <w:rPr>
          <w:rFonts w:ascii="Open Sans Light" w:eastAsia="Open Sans Light" w:hAnsi="Open Sans Light" w:cs="Open Sans Light"/>
          <w:b/>
          <w:bCs/>
          <w:color w:val="303AB2"/>
        </w:rPr>
      </w:pPr>
    </w:p>
    <w:p w14:paraId="3364D4C1" w14:textId="77777777" w:rsidR="005B42EB"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3E42B772" w14:textId="77777777" w:rsidR="005B42E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20846742" w14:textId="77777777" w:rsidR="005B42E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6">
        <w:r w:rsidR="005B42EB">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127A1676" w14:textId="77777777" w:rsidR="005B42E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7">
        <w:r w:rsidR="005B42EB">
          <w:rPr>
            <w:rFonts w:ascii="Open Sans" w:eastAsia="Open Sans" w:hAnsi="Open Sans" w:cs="Open Sans"/>
            <w:b/>
            <w:bCs/>
            <w:color w:val="0000FF"/>
            <w:sz w:val="22"/>
            <w:szCs w:val="22"/>
            <w:u w:val="single"/>
          </w:rPr>
          <w:t xml:space="preserve">Fotocasa </w:t>
        </w:r>
        <w:proofErr w:type="spellStart"/>
        <w:r w:rsidR="005B42EB">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70BC6B48" w14:textId="77777777" w:rsidR="005B42E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8">
        <w:r w:rsidR="005B42EB">
          <w:rPr>
            <w:rFonts w:ascii="Open Sans" w:eastAsia="Open Sans" w:hAnsi="Open Sans" w:cs="Open Sans"/>
            <w:b/>
            <w:bCs/>
            <w:color w:val="0000FF"/>
            <w:sz w:val="22"/>
            <w:szCs w:val="22"/>
            <w:u w:val="single"/>
          </w:rPr>
          <w:t>Sala de Prensa</w:t>
        </w:r>
      </w:hyperlink>
    </w:p>
    <w:p w14:paraId="1EEF3575" w14:textId="77777777" w:rsidR="00304207" w:rsidRDefault="00304207" w:rsidP="00304207">
      <w:pPr>
        <w:spacing w:before="240" w:line="276" w:lineRule="auto"/>
        <w:jc w:val="right"/>
        <w:rPr>
          <w:rFonts w:ascii="Open Sans Light" w:eastAsia="Open Sans Light" w:hAnsi="Open Sans Light" w:cs="Open Sans Light"/>
          <w:b/>
          <w:color w:val="303AB2"/>
        </w:rPr>
      </w:pPr>
      <w:bookmarkStart w:id="1" w:name="_Hlk191392271"/>
      <w:r>
        <w:rPr>
          <w:rFonts w:ascii="Open Sans Light" w:eastAsia="Open Sans Light" w:hAnsi="Open Sans Light" w:cs="Open Sans Light"/>
          <w:b/>
          <w:color w:val="303AB2"/>
        </w:rPr>
        <w:lastRenderedPageBreak/>
        <w:t>Sobre Solvia</w:t>
      </w:r>
    </w:p>
    <w:p w14:paraId="59E29CF9" w14:textId="77777777" w:rsidR="00304207" w:rsidRDefault="00304207" w:rsidP="00304207">
      <w:pPr>
        <w:spacing w:before="240" w:line="276" w:lineRule="auto"/>
        <w:jc w:val="both"/>
        <w:rPr>
          <w:rFonts w:ascii="Open Sans" w:eastAsia="Open Sans" w:hAnsi="Open Sans" w:cs="Open Sans"/>
          <w:sz w:val="22"/>
          <w:szCs w:val="22"/>
        </w:rPr>
      </w:pPr>
      <w:r>
        <w:rPr>
          <w:rFonts w:ascii="Open Sans" w:eastAsia="Open Sans" w:hAnsi="Open Sans" w:cs="Open Sans"/>
          <w:sz w:val="22"/>
          <w:szCs w:val="22"/>
        </w:rPr>
        <w:t xml:space="preserve">Solvia es una firma líder en servicios inmobiliarios para particulares, empresas e inversores que opera en todos los segmentos del mercado. Con una cartera de más 150.000 activos bajo gestión, más de 17.000 de ellos en alquiler, cuenta con una contrastada capacidad de gestión y mantenimiento de todo tipo de activos inmobiliarios, tanto residenciales como terciarios y singulares. </w:t>
      </w:r>
    </w:p>
    <w:p w14:paraId="65ACE3A2" w14:textId="77777777" w:rsidR="00304207" w:rsidRDefault="00304207" w:rsidP="00304207">
      <w:pPr>
        <w:spacing w:before="240" w:line="276" w:lineRule="auto"/>
        <w:jc w:val="both"/>
        <w:rPr>
          <w:rFonts w:ascii="Open Sans" w:eastAsia="Open Sans" w:hAnsi="Open Sans" w:cs="Open Sans"/>
          <w:sz w:val="22"/>
          <w:szCs w:val="22"/>
        </w:rPr>
      </w:pPr>
      <w:r>
        <w:rPr>
          <w:rFonts w:ascii="Open Sans" w:eastAsia="Open Sans" w:hAnsi="Open Sans" w:cs="Open Sans"/>
          <w:sz w:val="22"/>
          <w:szCs w:val="22"/>
        </w:rPr>
        <w:t xml:space="preserve">Entre sus servicios destacan la comercialización de inmuebles para compra, venta o alquiler, la gestión de carteras de crédito, así como la consultoría, valoración y </w:t>
      </w:r>
      <w:proofErr w:type="spellStart"/>
      <w:r>
        <w:rPr>
          <w:rFonts w:ascii="Open Sans" w:eastAsia="Open Sans" w:hAnsi="Open Sans" w:cs="Open Sans"/>
          <w:sz w:val="22"/>
          <w:szCs w:val="22"/>
        </w:rPr>
        <w:t>advisory</w:t>
      </w:r>
      <w:proofErr w:type="spellEnd"/>
      <w:r>
        <w:rPr>
          <w:rFonts w:ascii="Open Sans" w:eastAsia="Open Sans" w:hAnsi="Open Sans" w:cs="Open Sans"/>
          <w:sz w:val="22"/>
          <w:szCs w:val="22"/>
        </w:rPr>
        <w:t xml:space="preserve"> para inversores. Solvia cuenta con una gran capilaridad gracias a la mayor red comercial del mercado. Para más información, visite </w:t>
      </w:r>
      <w:hyperlink r:id="rId19">
        <w:r>
          <w:rPr>
            <w:rFonts w:ascii="Open Sans" w:eastAsia="Open Sans" w:hAnsi="Open Sans" w:cs="Open Sans"/>
            <w:color w:val="0000FF"/>
            <w:sz w:val="22"/>
            <w:szCs w:val="22"/>
            <w:u w:val="single"/>
          </w:rPr>
          <w:t>www.solvia.es</w:t>
        </w:r>
      </w:hyperlink>
    </w:p>
    <w:bookmarkEnd w:id="1"/>
    <w:p w14:paraId="0362A865" w14:textId="77777777" w:rsidR="005B42EB" w:rsidRDefault="005B42EB">
      <w:pPr>
        <w:spacing w:line="276" w:lineRule="auto"/>
        <w:jc w:val="right"/>
        <w:rPr>
          <w:rFonts w:ascii="Open Sans" w:eastAsia="Open Sans" w:hAnsi="Open Sans" w:cs="Open Sans"/>
        </w:rPr>
      </w:pPr>
    </w:p>
    <w:p w14:paraId="45C48AD1" w14:textId="77777777" w:rsidR="00304207" w:rsidRDefault="00304207">
      <w:pPr>
        <w:spacing w:line="276" w:lineRule="auto"/>
        <w:jc w:val="right"/>
        <w:rPr>
          <w:rFonts w:ascii="Open Sans" w:eastAsia="Open Sans" w:hAnsi="Open Sans" w:cs="Open Sans"/>
        </w:rPr>
      </w:pPr>
    </w:p>
    <w:p w14:paraId="7AE2DE04" w14:textId="77777777" w:rsidR="005B42EB"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6C6C298D" w14:textId="7DE8A8EE" w:rsidR="005B42EB"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 xml:space="preserve">Anaïs </w:t>
      </w:r>
      <w:r w:rsidR="00820687">
        <w:rPr>
          <w:rFonts w:ascii="Open Sans" w:eastAsia="Open Sans" w:hAnsi="Open Sans" w:cs="Open Sans"/>
          <w:b/>
          <w:bCs/>
          <w:color w:val="000000"/>
          <w:sz w:val="22"/>
          <w:szCs w:val="22"/>
        </w:rPr>
        <w:t>García</w:t>
      </w:r>
    </w:p>
    <w:p w14:paraId="0C82E7DC" w14:textId="77777777" w:rsidR="005B42EB" w:rsidRDefault="005B42EB">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15058A1D" w14:textId="77777777" w:rsidR="005B42EB"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2878A51" w14:textId="77777777" w:rsidR="00304207" w:rsidRDefault="00304207">
      <w:pPr>
        <w:shd w:val="clear" w:color="auto" w:fill="FFFFFF"/>
        <w:spacing w:line="276" w:lineRule="auto"/>
        <w:rPr>
          <w:rFonts w:ascii="Open Sans" w:eastAsia="Open Sans" w:hAnsi="Open Sans" w:cs="Open Sans"/>
          <w:color w:val="000000"/>
          <w:sz w:val="22"/>
          <w:szCs w:val="22"/>
        </w:rPr>
      </w:pPr>
    </w:p>
    <w:p w14:paraId="621D610E" w14:textId="77777777" w:rsidR="00304207" w:rsidRDefault="00304207">
      <w:pPr>
        <w:shd w:val="clear" w:color="auto" w:fill="FFFFFF"/>
        <w:spacing w:line="276" w:lineRule="auto"/>
        <w:rPr>
          <w:rFonts w:ascii="Open Sans" w:eastAsia="Open Sans" w:hAnsi="Open Sans" w:cs="Open Sans"/>
          <w:color w:val="000000"/>
          <w:sz w:val="22"/>
          <w:szCs w:val="22"/>
        </w:rPr>
      </w:pPr>
    </w:p>
    <w:p w14:paraId="5918EDBF" w14:textId="77777777" w:rsidR="00304207" w:rsidRDefault="00304207" w:rsidP="00304207">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Departamento Comunicación Solvia                  </w:t>
      </w:r>
    </w:p>
    <w:p w14:paraId="2C65A8A1" w14:textId="77777777" w:rsidR="00304207" w:rsidRDefault="00304207" w:rsidP="00304207">
      <w:pPr>
        <w:shd w:val="clear" w:color="auto" w:fill="FFFFFF"/>
        <w:ind w:right="-716"/>
        <w:rPr>
          <w:rFonts w:ascii="Times New Roman" w:eastAsia="Times New Roman" w:hAnsi="Times New Roman" w:cs="Times New Roman"/>
        </w:rPr>
      </w:pPr>
      <w:proofErr w:type="spellStart"/>
      <w:r>
        <w:rPr>
          <w:rFonts w:ascii="Open Sans" w:eastAsia="Open Sans" w:hAnsi="Open Sans" w:cs="Open Sans"/>
          <w:b/>
          <w:sz w:val="19"/>
          <w:szCs w:val="19"/>
        </w:rPr>
        <w:t>Victor</w:t>
      </w:r>
      <w:proofErr w:type="spellEnd"/>
      <w:r>
        <w:rPr>
          <w:rFonts w:ascii="Open Sans" w:eastAsia="Open Sans" w:hAnsi="Open Sans" w:cs="Open Sans"/>
          <w:b/>
          <w:sz w:val="19"/>
          <w:szCs w:val="19"/>
        </w:rPr>
        <w:t xml:space="preserve"> González</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w:t>
      </w:r>
      <w:r>
        <w:rPr>
          <w:rFonts w:ascii="Open Sans" w:eastAsia="Open Sans" w:hAnsi="Open Sans" w:cs="Open Sans"/>
          <w:b/>
          <w:sz w:val="19"/>
          <w:szCs w:val="19"/>
        </w:rPr>
        <w:t xml:space="preserve">                         </w:t>
      </w:r>
    </w:p>
    <w:p w14:paraId="53030613" w14:textId="77777777" w:rsidR="00304207" w:rsidRDefault="00304207" w:rsidP="00304207">
      <w:pPr>
        <w:shd w:val="clear" w:color="auto" w:fill="FFFFFF"/>
        <w:spacing w:line="276" w:lineRule="auto"/>
        <w:ind w:right="-574"/>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victor.gonzalez@intrum.com</w:t>
        </w:r>
      </w:hyperlink>
      <w:r>
        <w:rPr>
          <w:rFonts w:ascii="Open Sans" w:eastAsia="Open Sans" w:hAnsi="Open Sans" w:cs="Open Sans"/>
          <w:color w:val="0000FF"/>
          <w:sz w:val="22"/>
          <w:szCs w:val="22"/>
          <w:u w:val="single"/>
        </w:rPr>
        <w:t xml:space="preserve"> </w:t>
      </w:r>
    </w:p>
    <w:p w14:paraId="360CDBB9" w14:textId="77777777" w:rsidR="00304207" w:rsidRDefault="00304207" w:rsidP="00304207">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 xml:space="preserve">619 46 16 40      </w:t>
      </w:r>
      <w:r>
        <w:rPr>
          <w:rFonts w:ascii="Open Sans" w:eastAsia="Open Sans" w:hAnsi="Open Sans" w:cs="Open Sans"/>
          <w:color w:val="000000"/>
          <w:sz w:val="22"/>
          <w:szCs w:val="22"/>
        </w:rPr>
        <w:tab/>
      </w:r>
      <w:r>
        <w:rPr>
          <w:rFonts w:ascii="Open Sans" w:eastAsia="Open Sans" w:hAnsi="Open Sans" w:cs="Open Sans"/>
          <w:color w:val="000000"/>
          <w:sz w:val="22"/>
          <w:szCs w:val="22"/>
        </w:rPr>
        <w:tab/>
      </w:r>
    </w:p>
    <w:p w14:paraId="107E51E8" w14:textId="77777777" w:rsidR="00304207" w:rsidRDefault="00304207">
      <w:pPr>
        <w:shd w:val="clear" w:color="auto" w:fill="FFFFFF"/>
        <w:spacing w:line="276" w:lineRule="auto"/>
        <w:rPr>
          <w:rFonts w:ascii="Open Sans" w:eastAsia="Open Sans" w:hAnsi="Open Sans" w:cs="Open Sans"/>
          <w:color w:val="000000"/>
          <w:sz w:val="22"/>
          <w:szCs w:val="22"/>
        </w:rPr>
      </w:pPr>
    </w:p>
    <w:sectPr w:rsidR="00304207">
      <w:headerReference w:type="default" r:id="rId22"/>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0A761" w14:textId="77777777" w:rsidR="0044749B" w:rsidRDefault="0044749B">
      <w:r>
        <w:separator/>
      </w:r>
    </w:p>
  </w:endnote>
  <w:endnote w:type="continuationSeparator" w:id="0">
    <w:p w14:paraId="66264DAA" w14:textId="77777777" w:rsidR="0044749B" w:rsidRDefault="00447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6CBCD3-D460-4029-84EC-439E6E49A02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C8729C-A821-4A4C-A575-72813F06EF5B}"/>
    <w:embedBold r:id="rId3" w:fontKey="{9FF0485F-DDDA-43D1-A8EF-DE422186F6A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0660D36-9521-415B-A119-F143133CD179}"/>
  </w:font>
  <w:font w:name="Georgia">
    <w:panose1 w:val="02040502050405020303"/>
    <w:charset w:val="00"/>
    <w:family w:val="roman"/>
    <w:pitch w:val="variable"/>
    <w:sig w:usb0="00000287" w:usb1="00000000" w:usb2="00000000" w:usb3="00000000" w:csb0="0000009F" w:csb1="00000000"/>
    <w:embedItalic r:id="rId5" w:fontKey="{C99DF2FF-5173-413B-97BE-5E0685E1673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F24D52FC-B744-4B81-97AC-96A0466057BD}"/>
    <w:embedBold r:id="rId7" w:fontKey="{416C7078-6A27-4FA0-8B98-84D935AFDBFE}"/>
    <w:embedBoldItalic r:id="rId8" w:fontKey="{EFEC1C84-01F2-48C7-B86C-F0F60C9E4EBE}"/>
  </w:font>
  <w:font w:name="Open Sans Light">
    <w:charset w:val="00"/>
    <w:family w:val="swiss"/>
    <w:pitch w:val="variable"/>
    <w:sig w:usb0="E00002EF" w:usb1="4000205B" w:usb2="00000028" w:usb3="00000000" w:csb0="0000019F" w:csb1="00000000"/>
    <w:embedRegular r:id="rId9" w:fontKey="{DE6710D6-2B2F-4089-A850-EDEF442C818D}"/>
    <w:embedBold r:id="rId10" w:fontKey="{30DDF7E8-3948-4585-982F-9BE8D19EF7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E2156" w14:textId="77777777" w:rsidR="005B42E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D5CF1B7" wp14:editId="01B1D220">
          <wp:simplePos x="0" y="0"/>
          <wp:positionH relativeFrom="column">
            <wp:posOffset>-1068041</wp:posOffset>
          </wp:positionH>
          <wp:positionV relativeFrom="paragraph">
            <wp:posOffset>174608</wp:posOffset>
          </wp:positionV>
          <wp:extent cx="7670550" cy="451315"/>
          <wp:effectExtent l="0" t="0" r="0" b="0"/>
          <wp:wrapNone/>
          <wp:docPr id="20853703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6FF39" w14:textId="77777777" w:rsidR="0044749B" w:rsidRDefault="0044749B">
      <w:r>
        <w:separator/>
      </w:r>
    </w:p>
  </w:footnote>
  <w:footnote w:type="continuationSeparator" w:id="0">
    <w:p w14:paraId="2F506816" w14:textId="77777777" w:rsidR="0044749B" w:rsidRDefault="00447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580C5" w14:textId="793960BC" w:rsidR="00304207" w:rsidRDefault="00304207" w:rsidP="00304207">
    <w:pPr>
      <w:pStyle w:val="Encabezado"/>
      <w:tabs>
        <w:tab w:val="clear" w:pos="4252"/>
        <w:tab w:val="clear" w:pos="8504"/>
        <w:tab w:val="left" w:pos="792"/>
      </w:tabs>
    </w:pPr>
    <w:r w:rsidRPr="00304207">
      <w:drawing>
        <wp:anchor distT="0" distB="0" distL="114300" distR="114300" simplePos="0" relativeHeight="251660288" behindDoc="1" locked="0" layoutInCell="1" allowOverlap="1" wp14:anchorId="3FA2AC03" wp14:editId="7EDEDD66">
          <wp:simplePos x="0" y="0"/>
          <wp:positionH relativeFrom="column">
            <wp:posOffset>-624840</wp:posOffset>
          </wp:positionH>
          <wp:positionV relativeFrom="paragraph">
            <wp:posOffset>-328295</wp:posOffset>
          </wp:positionV>
          <wp:extent cx="2362405" cy="1196444"/>
          <wp:effectExtent l="0" t="0" r="0" b="3810"/>
          <wp:wrapTight wrapText="bothSides">
            <wp:wrapPolygon edited="0">
              <wp:start x="0" y="0"/>
              <wp:lineTo x="0" y="21325"/>
              <wp:lineTo x="21426" y="21325"/>
              <wp:lineTo x="21426" y="0"/>
              <wp:lineTo x="0" y="0"/>
            </wp:wrapPolygon>
          </wp:wrapTight>
          <wp:docPr id="1283264925"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64925" name="Imagen 1" descr="Icon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362405" cy="1196444"/>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2336" behindDoc="0" locked="0" layoutInCell="1" hidden="0" allowOverlap="1" wp14:anchorId="1EEB3E66" wp14:editId="6675EC9A">
          <wp:simplePos x="0" y="0"/>
          <wp:positionH relativeFrom="column">
            <wp:posOffset>4246245</wp:posOffset>
          </wp:positionH>
          <wp:positionV relativeFrom="paragraph">
            <wp:posOffset>30480</wp:posOffset>
          </wp:positionV>
          <wp:extent cx="1744345" cy="660400"/>
          <wp:effectExtent l="0" t="0" r="0" b="0"/>
          <wp:wrapSquare wrapText="bothSides" distT="0" distB="0" distL="114300" distR="114300"/>
          <wp:docPr id="16" name="image2.png" descr="Un dibujo de un animal&#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Un dibujo de un animal&#10;&#10;Descripción generada automáticamente con confianza media"/>
                  <pic:cNvPicPr preferRelativeResize="0"/>
                </pic:nvPicPr>
                <pic:blipFill>
                  <a:blip r:embed="rId2"/>
                  <a:srcRect/>
                  <a:stretch>
                    <a:fillRect/>
                  </a:stretch>
                </pic:blipFill>
                <pic:spPr>
                  <a:xfrm>
                    <a:off x="0" y="0"/>
                    <a:ext cx="1744345" cy="660400"/>
                  </a:xfrm>
                  <a:prstGeom prst="rect">
                    <a:avLst/>
                  </a:prstGeom>
                  <a:ln/>
                </pic:spPr>
              </pic:pic>
            </a:graphicData>
          </a:graphic>
        </wp:anchor>
      </w:drawing>
    </w:r>
    <w:r>
      <w:tab/>
    </w:r>
  </w:p>
  <w:p w14:paraId="3776304D" w14:textId="22CA1765" w:rsidR="00304207" w:rsidRDefault="00304207" w:rsidP="00304207">
    <w:pPr>
      <w:pStyle w:val="Encabezado"/>
      <w:tabs>
        <w:tab w:val="clear" w:pos="4252"/>
        <w:tab w:val="clear" w:pos="8504"/>
        <w:tab w:val="left" w:pos="792"/>
      </w:tabs>
    </w:pPr>
  </w:p>
  <w:p w14:paraId="2C12E579" w14:textId="77777777" w:rsidR="00304207" w:rsidRDefault="00304207" w:rsidP="00304207">
    <w:pPr>
      <w:pStyle w:val="Encabezado"/>
      <w:tabs>
        <w:tab w:val="clear" w:pos="4252"/>
        <w:tab w:val="clear" w:pos="8504"/>
        <w:tab w:val="left" w:pos="792"/>
      </w:tabs>
    </w:pPr>
  </w:p>
  <w:p w14:paraId="75425A8C" w14:textId="77777777" w:rsidR="00304207" w:rsidRDefault="00304207" w:rsidP="00304207">
    <w:pPr>
      <w:pStyle w:val="Encabezado"/>
      <w:tabs>
        <w:tab w:val="clear" w:pos="4252"/>
        <w:tab w:val="clear" w:pos="8504"/>
        <w:tab w:val="left" w:pos="792"/>
      </w:tabs>
    </w:pPr>
  </w:p>
  <w:p w14:paraId="314C3879" w14:textId="77777777" w:rsidR="00304207" w:rsidRDefault="00304207" w:rsidP="00304207">
    <w:pPr>
      <w:pStyle w:val="Encabezado"/>
      <w:tabs>
        <w:tab w:val="clear" w:pos="4252"/>
        <w:tab w:val="clear" w:pos="8504"/>
        <w:tab w:val="left" w:pos="792"/>
      </w:tabs>
    </w:pPr>
  </w:p>
  <w:p w14:paraId="7E227B8A" w14:textId="77777777" w:rsidR="00304207" w:rsidRDefault="00304207" w:rsidP="00304207">
    <w:pPr>
      <w:pStyle w:val="Encabezado"/>
      <w:tabs>
        <w:tab w:val="clear" w:pos="4252"/>
        <w:tab w:val="clear" w:pos="8504"/>
        <w:tab w:val="left" w:pos="79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82A74"/>
    <w:multiLevelType w:val="multilevel"/>
    <w:tmpl w:val="6E868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8111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EB"/>
    <w:rsid w:val="00037ADE"/>
    <w:rsid w:val="000B3F3A"/>
    <w:rsid w:val="00304207"/>
    <w:rsid w:val="003071C6"/>
    <w:rsid w:val="003B4B42"/>
    <w:rsid w:val="004102C2"/>
    <w:rsid w:val="0044749B"/>
    <w:rsid w:val="005B42EB"/>
    <w:rsid w:val="00820687"/>
    <w:rsid w:val="008E586E"/>
    <w:rsid w:val="008F4167"/>
    <w:rsid w:val="00A937C1"/>
    <w:rsid w:val="00E6222F"/>
    <w:rsid w:val="00F36734"/>
    <w:rsid w:val="00F549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E6402"/>
  <w15:docId w15:val="{0C840F15-3926-4C15-B669-6807C716D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cabezado">
    <w:name w:val="header"/>
    <w:basedOn w:val="Normal"/>
    <w:link w:val="EncabezadoCar"/>
    <w:uiPriority w:val="99"/>
    <w:unhideWhenUsed/>
    <w:rsid w:val="00304207"/>
    <w:pPr>
      <w:tabs>
        <w:tab w:val="center" w:pos="4252"/>
        <w:tab w:val="right" w:pos="8504"/>
      </w:tabs>
    </w:pPr>
  </w:style>
  <w:style w:type="character" w:customStyle="1" w:styleId="EncabezadoCar">
    <w:name w:val="Encabezado Car"/>
    <w:basedOn w:val="Fuentedeprrafopredeter"/>
    <w:link w:val="Encabezado"/>
    <w:uiPriority w:val="99"/>
    <w:rsid w:val="00304207"/>
  </w:style>
  <w:style w:type="paragraph" w:styleId="Piedepgina">
    <w:name w:val="footer"/>
    <w:basedOn w:val="Normal"/>
    <w:link w:val="PiedepginaCar"/>
    <w:uiPriority w:val="99"/>
    <w:unhideWhenUsed/>
    <w:rsid w:val="00304207"/>
    <w:pPr>
      <w:tabs>
        <w:tab w:val="center" w:pos="4252"/>
        <w:tab w:val="right" w:pos="8504"/>
      </w:tabs>
    </w:pPr>
  </w:style>
  <w:style w:type="character" w:customStyle="1" w:styleId="PiedepginaCar">
    <w:name w:val="Pie de página Car"/>
    <w:basedOn w:val="Fuentedeprrafopredeter"/>
    <w:link w:val="Piedepgina"/>
    <w:uiPriority w:val="99"/>
    <w:rsid w:val="00304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36360.pcdn.co/wp-content/uploads/2026/02/Informe-la-sostenibilidad-en-la-busqueda-de-vivienda-2025.pdf" TargetMode="External"/><Relationship Id="rId13" Type="http://schemas.openxmlformats.org/officeDocument/2006/relationships/hyperlink" Target="https://www.solvia.es/" TargetMode="External"/><Relationship Id="rId18" Type="http://schemas.openxmlformats.org/officeDocument/2006/relationships/hyperlink" Target="http://prensa.fotocasa.es" TargetMode="External"/><Relationship Id="rId3" Type="http://schemas.openxmlformats.org/officeDocument/2006/relationships/styles" Target="styles.xml"/><Relationship Id="rId21" Type="http://schemas.openxmlformats.org/officeDocument/2006/relationships/hyperlink" Target="mailto:victor.gonzalez@intrum.com"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research.fotocasa.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lvi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www.solvia.es" TargetMode="External"/><Relationship Id="rId4" Type="http://schemas.openxmlformats.org/officeDocument/2006/relationships/settings" Target="settings.xml"/><Relationship Id="rId9" Type="http://schemas.openxmlformats.org/officeDocument/2006/relationships/hyperlink" Target="https://s36360.pcdn.co/wp-content/uploads/2026/02/Informe-la-sostenibilidad-en-la-busqueda-de-vivienda-2025.pdf" TargetMode="External"/><Relationship Id="rId14" Type="http://schemas.openxmlformats.org/officeDocument/2006/relationships/image" Target="media/image1.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RTYWFsaE7byPpAojfKu/M4sj8g==">CgMxLjAyDmguYjE0MHVmMm9oZDZvOAByITFrbTJELVBpWHV2V3NZa2hwNk1EZng3MGMtSFdNT3YtUg==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1254</Words>
  <Characters>6900</Characters>
  <Application>Microsoft Office Word</Application>
  <DocSecurity>0</DocSecurity>
  <Lines>57</Lines>
  <Paragraphs>16</Paragraphs>
  <ScaleCrop>false</ScaleCrop>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8</cp:revision>
  <dcterms:created xsi:type="dcterms:W3CDTF">2024-02-06T13:46:00Z</dcterms:created>
  <dcterms:modified xsi:type="dcterms:W3CDTF">2026-02-24T10:20:00Z</dcterms:modified>
</cp:coreProperties>
</file>