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93FCF" w14:textId="77777777" w:rsidR="00BB63E6" w:rsidRDefault="00000000">
      <w:r>
        <w:rPr>
          <w:noProof/>
        </w:rPr>
        <w:drawing>
          <wp:anchor distT="0" distB="0" distL="114300" distR="114300" simplePos="0" relativeHeight="251658240" behindDoc="0" locked="0" layoutInCell="1" hidden="0" allowOverlap="1" wp14:anchorId="445E9BB6" wp14:editId="7C8871A6">
            <wp:simplePos x="0" y="0"/>
            <wp:positionH relativeFrom="column">
              <wp:posOffset>-1080134</wp:posOffset>
            </wp:positionH>
            <wp:positionV relativeFrom="paragraph">
              <wp:posOffset>-732154</wp:posOffset>
            </wp:positionV>
            <wp:extent cx="7581265" cy="1019175"/>
            <wp:effectExtent l="0" t="0" r="0" b="0"/>
            <wp:wrapNone/>
            <wp:docPr id="1302301071" name="image1.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Patrón de fondo&#10;&#10;Descripción generada automáticamente con confianza baja"/>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0BE1C616" w14:textId="77777777" w:rsidR="00BB63E6" w:rsidRDefault="00BB63E6">
      <w:pPr>
        <w:jc w:val="right"/>
        <w:rPr>
          <w:rFonts w:ascii="National" w:eastAsia="National" w:hAnsi="National" w:cs="National"/>
          <w:color w:val="303AB2"/>
          <w:sz w:val="36"/>
          <w:szCs w:val="36"/>
        </w:rPr>
      </w:pPr>
    </w:p>
    <w:p w14:paraId="6F790452" w14:textId="77777777" w:rsidR="00BB63E6" w:rsidRDefault="00000000">
      <w:pPr>
        <w:spacing w:line="276" w:lineRule="auto"/>
        <w:jc w:val="center"/>
        <w:rPr>
          <w:rFonts w:ascii="National" w:eastAsia="National" w:hAnsi="National" w:cs="National"/>
          <w:b/>
          <w:bCs/>
          <w:color w:val="1DBDC5"/>
          <w:sz w:val="42"/>
          <w:szCs w:val="42"/>
        </w:rPr>
      </w:pPr>
      <w:r>
        <w:rPr>
          <w:rFonts w:ascii="National" w:eastAsia="National" w:hAnsi="National" w:cs="National"/>
          <w:b/>
          <w:bCs/>
          <w:color w:val="1DBDC5"/>
          <w:sz w:val="42"/>
          <w:szCs w:val="42"/>
        </w:rPr>
        <w:t>FEBRERO: PRECIO VIVIENDA EN VENTA</w:t>
      </w:r>
    </w:p>
    <w:p w14:paraId="10A79ED3" w14:textId="77777777" w:rsidR="00BB63E6"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precio de la vivienda de segunda mano en España vuelve a rozar un crecimiento interanual del 20%</w:t>
      </w:r>
    </w:p>
    <w:p w14:paraId="0984C0D3" w14:textId="77777777" w:rsidR="00BB63E6" w:rsidRDefault="00BB63E6">
      <w:pPr>
        <w:rPr>
          <w:rFonts w:ascii="National" w:eastAsia="National" w:hAnsi="National" w:cs="National"/>
          <w:b/>
          <w:bCs/>
          <w:color w:val="303AB2"/>
          <w:sz w:val="14"/>
          <w:szCs w:val="14"/>
        </w:rPr>
      </w:pPr>
    </w:p>
    <w:p w14:paraId="44E60CA9" w14:textId="77777777" w:rsidR="00BB63E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interanual de la vivienda en venta vuelve a alcanzar su tercer máximo en un año con un 19,9%, es decir, pasa de los 2.460 euros/m</w:t>
      </w:r>
      <w:r>
        <w:rPr>
          <w:rFonts w:ascii="Open Sans" w:eastAsia="Open Sans" w:hAnsi="Open Sans" w:cs="Open Sans"/>
          <w:color w:val="303AB2"/>
          <w:vertAlign w:val="superscript"/>
        </w:rPr>
        <w:t xml:space="preserve">2 </w:t>
      </w:r>
      <w:r>
        <w:rPr>
          <w:rFonts w:ascii="Open Sans" w:eastAsia="Open Sans" w:hAnsi="Open Sans" w:cs="Open Sans"/>
          <w:color w:val="303AB2"/>
        </w:rPr>
        <w:t>de febrero de 2025 a los 2.950 euros/m</w:t>
      </w:r>
      <w:r>
        <w:rPr>
          <w:rFonts w:ascii="Open Sans" w:eastAsia="Open Sans" w:hAnsi="Open Sans" w:cs="Open Sans"/>
          <w:color w:val="303AB2"/>
          <w:vertAlign w:val="superscript"/>
        </w:rPr>
        <w:t>2</w:t>
      </w:r>
      <w:r>
        <w:rPr>
          <w:rFonts w:ascii="Open Sans" w:eastAsia="Open Sans" w:hAnsi="Open Sans" w:cs="Open Sans"/>
          <w:color w:val="303AB2"/>
        </w:rPr>
        <w:t xml:space="preserve"> de febrero de 2026</w:t>
      </w:r>
    </w:p>
    <w:p w14:paraId="4880771A" w14:textId="7D01F8A3" w:rsidR="00BB63E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Una vivienda estándar de 80 m</w:t>
      </w:r>
      <w:r>
        <w:rPr>
          <w:rFonts w:ascii="Open Sans" w:eastAsia="Open Sans" w:hAnsi="Open Sans" w:cs="Open Sans"/>
          <w:color w:val="303AB2"/>
          <w:vertAlign w:val="superscript"/>
        </w:rPr>
        <w:t>2</w:t>
      </w:r>
      <w:r>
        <w:rPr>
          <w:rFonts w:ascii="Open Sans" w:eastAsia="Open Sans" w:hAnsi="Open Sans" w:cs="Open Sans"/>
          <w:color w:val="303AB2"/>
        </w:rPr>
        <w:t xml:space="preserve"> se oferta de media en </w:t>
      </w:r>
      <w:r w:rsidR="00B00F41">
        <w:rPr>
          <w:rFonts w:ascii="Open Sans" w:eastAsia="Open Sans" w:hAnsi="Open Sans" w:cs="Open Sans"/>
          <w:color w:val="303AB2"/>
        </w:rPr>
        <w:t>235.981</w:t>
      </w:r>
      <w:r w:rsidR="00B00F41">
        <w:rPr>
          <w:rFonts w:ascii="Open Sans" w:eastAsia="Open Sans" w:hAnsi="Open Sans" w:cs="Open Sans"/>
          <w:color w:val="303AB2"/>
        </w:rPr>
        <w:t xml:space="preserve"> </w:t>
      </w:r>
      <w:r>
        <w:rPr>
          <w:rFonts w:ascii="Open Sans" w:eastAsia="Open Sans" w:hAnsi="Open Sans" w:cs="Open Sans"/>
          <w:color w:val="303AB2"/>
        </w:rPr>
        <w:t xml:space="preserve">euros frente a los </w:t>
      </w:r>
      <w:r w:rsidR="00B00F41">
        <w:rPr>
          <w:rFonts w:ascii="Open Sans" w:eastAsia="Open Sans" w:hAnsi="Open Sans" w:cs="Open Sans"/>
          <w:color w:val="303AB2"/>
        </w:rPr>
        <w:t xml:space="preserve">196.790 </w:t>
      </w:r>
      <w:r>
        <w:rPr>
          <w:rFonts w:ascii="Open Sans" w:eastAsia="Open Sans" w:hAnsi="Open Sans" w:cs="Open Sans"/>
          <w:color w:val="303AB2"/>
        </w:rPr>
        <w:t xml:space="preserve">de hace un año, unos 39.191 euros de diferencia (19,9%) </w:t>
      </w:r>
    </w:p>
    <w:p w14:paraId="0365F3C5" w14:textId="77777777" w:rsidR="00BB63E6" w:rsidRDefault="00BB63E6">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sz w:val="22"/>
          <w:szCs w:val="22"/>
        </w:rPr>
      </w:pPr>
    </w:p>
    <w:p w14:paraId="79457F71" w14:textId="77777777" w:rsidR="00BB63E6"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sz w:val="22"/>
          <w:szCs w:val="22"/>
        </w:rPr>
      </w:pPr>
      <w:bookmarkStart w:id="0" w:name="_heading=h.ar569k32klbi" w:colFirst="0" w:colLast="0"/>
      <w:bookmarkEnd w:id="0"/>
      <w:r>
        <w:rPr>
          <w:rFonts w:ascii="Open Sans Light" w:eastAsia="Open Sans Light" w:hAnsi="Open Sans Light" w:cs="Open Sans Light"/>
          <w:b/>
          <w:bCs/>
          <w:color w:val="303AB2"/>
          <w:sz w:val="22"/>
          <w:szCs w:val="22"/>
        </w:rPr>
        <w:t>Madrid, 2 de abril de 2026</w:t>
      </w:r>
    </w:p>
    <w:p w14:paraId="7A36F8B3" w14:textId="77777777" w:rsidR="00BB63E6"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bCs/>
          <w:color w:val="000000"/>
        </w:rPr>
      </w:pPr>
      <w:r>
        <w:rPr>
          <w:rFonts w:ascii="Open Sans" w:eastAsia="Open Sans" w:hAnsi="Open Sans" w:cs="Open Sans"/>
          <w:color w:val="000000"/>
        </w:rPr>
        <w:t>El precio de la vivienda de segunda mano en España sube un 1,8% en su variación mensual y un 19,9% en su variación interanual, situando el precio medio de las viviendas ofertadas en febrero en 2.950 euros/m</w:t>
      </w:r>
      <w:r>
        <w:rPr>
          <w:rFonts w:ascii="Open Sans" w:eastAsia="Open Sans" w:hAnsi="Open Sans" w:cs="Open Sans"/>
          <w:color w:val="000000"/>
          <w:vertAlign w:val="superscript"/>
        </w:rPr>
        <w:t>2</w:t>
      </w:r>
      <w:r>
        <w:rPr>
          <w:rFonts w:ascii="Open Sans" w:eastAsia="Open Sans" w:hAnsi="Open Sans" w:cs="Open Sans"/>
          <w:color w:val="000000"/>
        </w:rPr>
        <w:t xml:space="preserve">, según los datos del 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Si calculamos este último incremento mensual y lo multiplicamos por los 80 m</w:t>
      </w:r>
      <w:r>
        <w:rPr>
          <w:rFonts w:ascii="Open Sans" w:eastAsia="Open Sans" w:hAnsi="Open Sans" w:cs="Open Sans"/>
          <w:color w:val="000000"/>
          <w:vertAlign w:val="superscript"/>
        </w:rPr>
        <w:t>2</w:t>
      </w:r>
      <w:r>
        <w:rPr>
          <w:rFonts w:ascii="Open Sans" w:eastAsia="Open Sans" w:hAnsi="Open Sans" w:cs="Open Sans"/>
          <w:color w:val="000000"/>
        </w:rPr>
        <w:t xml:space="preserve"> de una vivienda estándar, vemos que valor medio de una vivienda es 235.981 euros en febrero. </w:t>
      </w:r>
    </w:p>
    <w:p w14:paraId="29EFE589" w14:textId="77777777" w:rsidR="00BB63E6"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Variación mensual e interanual del precio de la vivienda </w:t>
      </w:r>
      <w:r>
        <w:rPr>
          <w:rFonts w:ascii="Times New Roman" w:eastAsia="Times New Roman" w:hAnsi="Times New Roman" w:cs="Times New Roman"/>
          <w:noProof/>
          <w:color w:val="000000"/>
        </w:rPr>
        <w:drawing>
          <wp:inline distT="0" distB="0" distL="0" distR="0" wp14:anchorId="197CFA06" wp14:editId="6A907073">
            <wp:extent cx="5638800" cy="2857500"/>
            <wp:effectExtent l="0" t="0" r="0" b="0"/>
            <wp:docPr id="1302301069" name="Gráfico 130230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459202" w14:textId="77777777" w:rsidR="00BB63E6"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lastRenderedPageBreak/>
        <w:t xml:space="preserve">De este modo, España ha experimentado en un año un incremento del 19,9% (20,4% en enero) en el precio medio de las viviendas de 80 m², pasando de 196.790 euros a 235.981 euros en febrero de 2025 (39.191 euros de diferencia). Este último valor interanual (19,9%) es el tercer incremento más alto detectado en los últimos 13 meses. </w:t>
      </w:r>
    </w:p>
    <w:p w14:paraId="4EFF3D61"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Por comunidades, si analizamos los precios de la vivienda en venta respecto a los de hace un año, vemos que las 17 comunidades incrementan el precio interanual en febrero. Los incrementos superiores al 10% afecta a 12 comunidades y son: Región de Murcia (24,9%), Asturias (23,1%), Comunitat Valenciana (20,5%), Andalucía (19,9%), Canarias (19,3%), Cantabria (18,7%), Madrid (16,7%), Galicia (15,6%), Cataluña (15,0%), Navarra (12,8%), Castilla-La Mancha (12,2%) y País Vasco (10,2%). Le siguen, Baleares (9,9%), Castilla y León (9,3%), La Rioja (9%), Aragón (7,5%) y Extremadura (7,4%).</w:t>
      </w:r>
    </w:p>
    <w:p w14:paraId="30E28662"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b/>
          <w:bCs/>
          <w:color w:val="000000"/>
        </w:rPr>
      </w:pPr>
      <w:r>
        <w:rPr>
          <w:rFonts w:ascii="Open Sans" w:eastAsia="Open Sans" w:hAnsi="Open Sans" w:cs="Open Sans"/>
          <w:color w:val="000000"/>
        </w:rPr>
        <w:t xml:space="preserve">“La tensión en los precios ya no es un fenómeno exclusivo de los grandes núcleos urbanos, sino que es una tendencia que ha calado en todo el territorio nacional, como demuestra que las 17 comunidades autónomas hayan registrado incrementos interanuales en febrero. Resulta especialmente preocupante que en 12 de ellas las subidas superen los dos dígitos, con casos extremos como la Región de Murcia o Asturias, donde el crecimiento sobrepasa el 23%. Esta presión generalizada responde a una demanda que sigue siendo muy superior a una oferta de vivienda de segunda mano muy escasa”, </w:t>
      </w:r>
      <w:r>
        <w:rPr>
          <w:rFonts w:ascii="Open Sans" w:eastAsia="Open Sans" w:hAnsi="Open Sans" w:cs="Open Sans"/>
          <w:b/>
          <w:bCs/>
          <w:color w:val="000000"/>
        </w:rPr>
        <w:t xml:space="preserve">explica María Matos, directora de Estudios de </w:t>
      </w:r>
      <w:hyperlink r:id="rId12">
        <w:r>
          <w:rPr>
            <w:rFonts w:ascii="Open Sans" w:eastAsia="Open Sans" w:hAnsi="Open Sans" w:cs="Open Sans"/>
            <w:b/>
            <w:bCs/>
            <w:color w:val="0000FF"/>
            <w:u w:val="single"/>
          </w:rPr>
          <w:t>Fotocasa</w:t>
        </w:r>
      </w:hyperlink>
      <w:r>
        <w:rPr>
          <w:rFonts w:ascii="Open Sans" w:eastAsia="Open Sans" w:hAnsi="Open Sans" w:cs="Open Sans"/>
          <w:b/>
          <w:bCs/>
          <w:color w:val="000000"/>
        </w:rPr>
        <w:t xml:space="preserve">. </w:t>
      </w:r>
    </w:p>
    <w:p w14:paraId="7D4A36C3"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w:t>
      </w:r>
      <w:r>
        <w:rPr>
          <w:rFonts w:ascii="Open Sans" w:eastAsia="Open Sans" w:hAnsi="Open Sans" w:cs="Open Sans"/>
          <w:b/>
          <w:bCs/>
          <w:color w:val="000000"/>
        </w:rPr>
        <w:t>el precio del metro cuadrado más caro en España se encuentra en Baleares y Madrid, que por primera vez supera los 5.000 euros, en concreto se Baleares sitúa en 5.317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y Madrid en 5.217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w:t>
      </w:r>
      <w:r>
        <w:rPr>
          <w:rFonts w:ascii="Open Sans" w:eastAsia="Open Sans" w:hAnsi="Open Sans" w:cs="Open Sans"/>
          <w:color w:val="000000"/>
        </w:rPr>
        <w:t>Le siguen, País Vasco con 3.709 euros/m</w:t>
      </w:r>
      <w:r>
        <w:rPr>
          <w:rFonts w:ascii="Open Sans" w:eastAsia="Open Sans" w:hAnsi="Open Sans" w:cs="Open Sans"/>
          <w:color w:val="000000"/>
          <w:vertAlign w:val="superscript"/>
        </w:rPr>
        <w:t>2</w:t>
      </w:r>
      <w:r>
        <w:rPr>
          <w:rFonts w:ascii="Open Sans" w:eastAsia="Open Sans" w:hAnsi="Open Sans" w:cs="Open Sans"/>
          <w:color w:val="000000"/>
        </w:rPr>
        <w:t>, Canarias con 3.356 euros/m</w:t>
      </w:r>
      <w:r>
        <w:rPr>
          <w:rFonts w:ascii="Open Sans" w:eastAsia="Open Sans" w:hAnsi="Open Sans" w:cs="Open Sans"/>
          <w:color w:val="000000"/>
          <w:vertAlign w:val="superscript"/>
        </w:rPr>
        <w:t>2</w:t>
      </w:r>
      <w:r>
        <w:rPr>
          <w:rFonts w:ascii="Open Sans" w:eastAsia="Open Sans" w:hAnsi="Open Sans" w:cs="Open Sans"/>
          <w:color w:val="000000"/>
        </w:rPr>
        <w:t>, Cataluña con 3.313 euros/m</w:t>
      </w:r>
      <w:r>
        <w:rPr>
          <w:rFonts w:ascii="Open Sans" w:eastAsia="Open Sans" w:hAnsi="Open Sans" w:cs="Open Sans"/>
          <w:color w:val="000000"/>
          <w:vertAlign w:val="superscript"/>
        </w:rPr>
        <w:t>2</w:t>
      </w:r>
      <w:r>
        <w:rPr>
          <w:rFonts w:ascii="Open Sans" w:eastAsia="Open Sans" w:hAnsi="Open Sans" w:cs="Open Sans"/>
          <w:color w:val="000000"/>
        </w:rPr>
        <w:t>, Andalucía con 2.797 euros/m</w:t>
      </w:r>
      <w:r>
        <w:rPr>
          <w:rFonts w:ascii="Open Sans" w:eastAsia="Open Sans" w:hAnsi="Open Sans" w:cs="Open Sans"/>
          <w:color w:val="000000"/>
          <w:vertAlign w:val="superscript"/>
        </w:rPr>
        <w:t>2</w:t>
      </w:r>
      <w:r>
        <w:rPr>
          <w:rFonts w:ascii="Open Sans" w:eastAsia="Open Sans" w:hAnsi="Open Sans" w:cs="Open Sans"/>
          <w:color w:val="000000"/>
        </w:rPr>
        <w:t>, Comunitat Valenciana con 2.649 euros/m</w:t>
      </w:r>
      <w:r>
        <w:rPr>
          <w:rFonts w:ascii="Open Sans" w:eastAsia="Open Sans" w:hAnsi="Open Sans" w:cs="Open Sans"/>
          <w:color w:val="000000"/>
          <w:vertAlign w:val="superscript"/>
        </w:rPr>
        <w:t>2</w:t>
      </w:r>
      <w:r>
        <w:rPr>
          <w:rFonts w:ascii="Open Sans" w:eastAsia="Open Sans" w:hAnsi="Open Sans" w:cs="Open Sans"/>
          <w:color w:val="000000"/>
        </w:rPr>
        <w:t>, Cantabria con 2.543 euros/m</w:t>
      </w:r>
      <w:r>
        <w:rPr>
          <w:rFonts w:ascii="Open Sans" w:eastAsia="Open Sans" w:hAnsi="Open Sans" w:cs="Open Sans"/>
          <w:color w:val="000000"/>
          <w:vertAlign w:val="superscript"/>
        </w:rPr>
        <w:t>2</w:t>
      </w:r>
      <w:r>
        <w:rPr>
          <w:rFonts w:ascii="Open Sans" w:eastAsia="Open Sans" w:hAnsi="Open Sans" w:cs="Open Sans"/>
          <w:color w:val="000000"/>
        </w:rPr>
        <w:t>, Navarra con 2.309 euros/m</w:t>
      </w:r>
      <w:r>
        <w:rPr>
          <w:rFonts w:ascii="Open Sans" w:eastAsia="Open Sans" w:hAnsi="Open Sans" w:cs="Open Sans"/>
          <w:color w:val="000000"/>
          <w:vertAlign w:val="superscript"/>
        </w:rPr>
        <w:t>2</w:t>
      </w:r>
      <w:r>
        <w:rPr>
          <w:rFonts w:ascii="Open Sans" w:eastAsia="Open Sans" w:hAnsi="Open Sans" w:cs="Open Sans"/>
          <w:color w:val="000000"/>
        </w:rPr>
        <w:t>, Asturias con 2.274 euros/m</w:t>
      </w:r>
      <w:r>
        <w:rPr>
          <w:rFonts w:ascii="Open Sans" w:eastAsia="Open Sans" w:hAnsi="Open Sans" w:cs="Open Sans"/>
          <w:color w:val="000000"/>
          <w:vertAlign w:val="superscript"/>
        </w:rPr>
        <w:t>2</w:t>
      </w:r>
      <w:r>
        <w:rPr>
          <w:rFonts w:ascii="Open Sans" w:eastAsia="Open Sans" w:hAnsi="Open Sans" w:cs="Open Sans"/>
          <w:color w:val="000000"/>
        </w:rPr>
        <w:t>, Galicia con 2.178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1.945 euros/m</w:t>
      </w:r>
      <w:r>
        <w:rPr>
          <w:rFonts w:ascii="Open Sans" w:eastAsia="Open Sans" w:hAnsi="Open Sans" w:cs="Open Sans"/>
          <w:color w:val="000000"/>
          <w:vertAlign w:val="superscript"/>
        </w:rPr>
        <w:t>2</w:t>
      </w:r>
      <w:r>
        <w:rPr>
          <w:rFonts w:ascii="Open Sans" w:eastAsia="Open Sans" w:hAnsi="Open Sans" w:cs="Open Sans"/>
          <w:color w:val="000000"/>
        </w:rPr>
        <w:t>, Aragón con 1.876 euros/m</w:t>
      </w:r>
      <w:r>
        <w:rPr>
          <w:rFonts w:ascii="Open Sans" w:eastAsia="Open Sans" w:hAnsi="Open Sans" w:cs="Open Sans"/>
          <w:color w:val="000000"/>
          <w:vertAlign w:val="superscript"/>
        </w:rPr>
        <w:t>2</w:t>
      </w:r>
      <w:r>
        <w:rPr>
          <w:rFonts w:ascii="Open Sans" w:eastAsia="Open Sans" w:hAnsi="Open Sans" w:cs="Open Sans"/>
          <w:color w:val="000000"/>
        </w:rPr>
        <w:t>, La Rioja con 1.815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1.713 euros/m</w:t>
      </w:r>
      <w:r>
        <w:rPr>
          <w:rFonts w:ascii="Open Sans" w:eastAsia="Open Sans" w:hAnsi="Open Sans" w:cs="Open Sans"/>
          <w:color w:val="000000"/>
          <w:vertAlign w:val="superscript"/>
        </w:rPr>
        <w:t>2</w:t>
      </w:r>
      <w:r>
        <w:rPr>
          <w:rFonts w:ascii="Open Sans" w:eastAsia="Open Sans" w:hAnsi="Open Sans" w:cs="Open Sans"/>
          <w:color w:val="000000"/>
        </w:rPr>
        <w:t>, Castilla-La Mancha con 1.357 euros/m</w:t>
      </w:r>
      <w:r>
        <w:rPr>
          <w:rFonts w:ascii="Open Sans" w:eastAsia="Open Sans" w:hAnsi="Open Sans" w:cs="Open Sans"/>
          <w:color w:val="000000"/>
          <w:vertAlign w:val="superscript"/>
        </w:rPr>
        <w:t>2</w:t>
      </w:r>
      <w:r>
        <w:rPr>
          <w:rFonts w:ascii="Open Sans" w:eastAsia="Open Sans" w:hAnsi="Open Sans" w:cs="Open Sans"/>
          <w:color w:val="000000"/>
        </w:rPr>
        <w:t xml:space="preserve"> y Extremadura con 1.312 euros/m</w:t>
      </w:r>
      <w:r>
        <w:rPr>
          <w:rFonts w:ascii="Open Sans" w:eastAsia="Open Sans" w:hAnsi="Open Sans" w:cs="Open Sans"/>
          <w:color w:val="000000"/>
          <w:vertAlign w:val="superscript"/>
        </w:rPr>
        <w:t>2</w:t>
      </w:r>
      <w:r>
        <w:rPr>
          <w:rFonts w:ascii="Open Sans" w:eastAsia="Open Sans" w:hAnsi="Open Sans" w:cs="Open Sans"/>
          <w:color w:val="000000"/>
        </w:rPr>
        <w:t>.</w:t>
      </w:r>
    </w:p>
    <w:p w14:paraId="2323DCE3" w14:textId="77777777" w:rsidR="00BB63E6" w:rsidRDefault="00BB63E6">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31DDC8A8" w14:textId="77777777" w:rsidR="00BB63E6"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CCAA de mayor a menor incremento interanual</w:t>
      </w:r>
    </w:p>
    <w:tbl>
      <w:tblPr>
        <w:tblStyle w:val="a"/>
        <w:tblW w:w="9327"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560"/>
        <w:gridCol w:w="1559"/>
        <w:gridCol w:w="1417"/>
        <w:gridCol w:w="1618"/>
        <w:gridCol w:w="1472"/>
      </w:tblGrid>
      <w:tr w:rsidR="00BB63E6" w14:paraId="5AC82410" w14:textId="77777777" w:rsidTr="00BB63E6">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467A6DB"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560" w:type="dxa"/>
            <w:vAlign w:val="center"/>
          </w:tcPr>
          <w:p w14:paraId="3778E086"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2025</w:t>
            </w:r>
          </w:p>
          <w:p w14:paraId="334A3AAA"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59" w:type="dxa"/>
            <w:vAlign w:val="center"/>
          </w:tcPr>
          <w:p w14:paraId="41B95843"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7E7BC745"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417" w:type="dxa"/>
            <w:vAlign w:val="center"/>
          </w:tcPr>
          <w:p w14:paraId="6D98A676"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18" w:type="dxa"/>
            <w:vAlign w:val="center"/>
          </w:tcPr>
          <w:p w14:paraId="1436FB93"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472" w:type="dxa"/>
          </w:tcPr>
          <w:p w14:paraId="1C5DEFE0"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Precio piso 80 m</w:t>
            </w:r>
            <w:r>
              <w:rPr>
                <w:rFonts w:ascii="Open Sans" w:eastAsia="Open Sans" w:hAnsi="Open Sans" w:cs="Open Sans"/>
                <w:b w:val="0"/>
                <w:bCs w:val="0"/>
                <w:sz w:val="22"/>
                <w:szCs w:val="22"/>
                <w:vertAlign w:val="superscript"/>
              </w:rPr>
              <w:t>2</w:t>
            </w:r>
            <w:r>
              <w:rPr>
                <w:rFonts w:ascii="Open Sans" w:eastAsia="Open Sans" w:hAnsi="Open Sans" w:cs="Open Sans"/>
                <w:b w:val="0"/>
                <w:bCs w:val="0"/>
                <w:sz w:val="22"/>
                <w:szCs w:val="22"/>
              </w:rPr>
              <w:t xml:space="preserve"> en euros</w:t>
            </w:r>
          </w:p>
        </w:tc>
      </w:tr>
      <w:tr w:rsidR="00BB63E6" w14:paraId="2DB182C2"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B1C62C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Región de Murcia </w:t>
            </w:r>
          </w:p>
        </w:tc>
        <w:tc>
          <w:tcPr>
            <w:tcW w:w="1560" w:type="dxa"/>
            <w:vAlign w:val="bottom"/>
          </w:tcPr>
          <w:p w14:paraId="1B06A53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1.558 €</w:t>
            </w:r>
          </w:p>
        </w:tc>
        <w:tc>
          <w:tcPr>
            <w:tcW w:w="1559" w:type="dxa"/>
            <w:vAlign w:val="bottom"/>
          </w:tcPr>
          <w:p w14:paraId="68FD13E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1.945 €</w:t>
            </w:r>
          </w:p>
        </w:tc>
        <w:tc>
          <w:tcPr>
            <w:tcW w:w="1417" w:type="dxa"/>
            <w:vAlign w:val="bottom"/>
          </w:tcPr>
          <w:p w14:paraId="4FF19ED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w:t>
            </w:r>
          </w:p>
        </w:tc>
        <w:tc>
          <w:tcPr>
            <w:tcW w:w="1618" w:type="dxa"/>
            <w:vAlign w:val="bottom"/>
          </w:tcPr>
          <w:p w14:paraId="0366BB9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24,9%</w:t>
            </w:r>
          </w:p>
        </w:tc>
        <w:tc>
          <w:tcPr>
            <w:tcW w:w="1472" w:type="dxa"/>
            <w:vAlign w:val="bottom"/>
          </w:tcPr>
          <w:p w14:paraId="1736D5B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155.622 €</w:t>
            </w:r>
          </w:p>
        </w:tc>
      </w:tr>
      <w:tr w:rsidR="00BB63E6" w14:paraId="0F89FC8D"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DF2059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Asturias </w:t>
            </w:r>
          </w:p>
        </w:tc>
        <w:tc>
          <w:tcPr>
            <w:tcW w:w="1560" w:type="dxa"/>
            <w:vAlign w:val="bottom"/>
          </w:tcPr>
          <w:p w14:paraId="18CC9B9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1.848 €</w:t>
            </w:r>
          </w:p>
        </w:tc>
        <w:tc>
          <w:tcPr>
            <w:tcW w:w="1559" w:type="dxa"/>
            <w:vAlign w:val="bottom"/>
          </w:tcPr>
          <w:p w14:paraId="7C7AAD4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2.274 €</w:t>
            </w:r>
          </w:p>
        </w:tc>
        <w:tc>
          <w:tcPr>
            <w:tcW w:w="1417" w:type="dxa"/>
            <w:vAlign w:val="bottom"/>
          </w:tcPr>
          <w:p w14:paraId="09555A9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w:t>
            </w:r>
          </w:p>
        </w:tc>
        <w:tc>
          <w:tcPr>
            <w:tcW w:w="1618" w:type="dxa"/>
            <w:vAlign w:val="bottom"/>
          </w:tcPr>
          <w:p w14:paraId="2A8089A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23,1%</w:t>
            </w:r>
          </w:p>
        </w:tc>
        <w:tc>
          <w:tcPr>
            <w:tcW w:w="1472" w:type="dxa"/>
            <w:vAlign w:val="bottom"/>
          </w:tcPr>
          <w:p w14:paraId="202D93C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181.903 €</w:t>
            </w:r>
          </w:p>
        </w:tc>
      </w:tr>
      <w:tr w:rsidR="00BB63E6" w14:paraId="6896CD18"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AA71D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Comunitat Valenciana </w:t>
            </w:r>
          </w:p>
        </w:tc>
        <w:tc>
          <w:tcPr>
            <w:tcW w:w="1560" w:type="dxa"/>
            <w:vAlign w:val="bottom"/>
          </w:tcPr>
          <w:p w14:paraId="14DEC71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2.199 €</w:t>
            </w:r>
          </w:p>
        </w:tc>
        <w:tc>
          <w:tcPr>
            <w:tcW w:w="1559" w:type="dxa"/>
            <w:vAlign w:val="bottom"/>
          </w:tcPr>
          <w:p w14:paraId="4188596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2.649 €</w:t>
            </w:r>
          </w:p>
        </w:tc>
        <w:tc>
          <w:tcPr>
            <w:tcW w:w="1417" w:type="dxa"/>
            <w:vAlign w:val="bottom"/>
          </w:tcPr>
          <w:p w14:paraId="26D9B58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0,6%</w:t>
            </w:r>
          </w:p>
        </w:tc>
        <w:tc>
          <w:tcPr>
            <w:tcW w:w="1618" w:type="dxa"/>
            <w:vAlign w:val="bottom"/>
          </w:tcPr>
          <w:p w14:paraId="0915ED5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20,5%</w:t>
            </w:r>
          </w:p>
        </w:tc>
        <w:tc>
          <w:tcPr>
            <w:tcW w:w="1472" w:type="dxa"/>
            <w:vAlign w:val="bottom"/>
          </w:tcPr>
          <w:p w14:paraId="293EC84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211.882 €</w:t>
            </w:r>
          </w:p>
        </w:tc>
      </w:tr>
      <w:tr w:rsidR="00BB63E6" w14:paraId="58BBD4B3"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C47087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Andalucía </w:t>
            </w:r>
          </w:p>
        </w:tc>
        <w:tc>
          <w:tcPr>
            <w:tcW w:w="1560" w:type="dxa"/>
            <w:vAlign w:val="bottom"/>
          </w:tcPr>
          <w:p w14:paraId="4C1D2CB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2.333 €</w:t>
            </w:r>
          </w:p>
        </w:tc>
        <w:tc>
          <w:tcPr>
            <w:tcW w:w="1559" w:type="dxa"/>
            <w:vAlign w:val="bottom"/>
          </w:tcPr>
          <w:p w14:paraId="1648BCF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2.797 €</w:t>
            </w:r>
          </w:p>
        </w:tc>
        <w:tc>
          <w:tcPr>
            <w:tcW w:w="1417" w:type="dxa"/>
            <w:vAlign w:val="bottom"/>
          </w:tcPr>
          <w:p w14:paraId="7F857BA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0,8%</w:t>
            </w:r>
          </w:p>
        </w:tc>
        <w:tc>
          <w:tcPr>
            <w:tcW w:w="1618" w:type="dxa"/>
            <w:vAlign w:val="bottom"/>
          </w:tcPr>
          <w:p w14:paraId="3EE5E3E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19,9%</w:t>
            </w:r>
          </w:p>
        </w:tc>
        <w:tc>
          <w:tcPr>
            <w:tcW w:w="1472" w:type="dxa"/>
            <w:vAlign w:val="bottom"/>
          </w:tcPr>
          <w:p w14:paraId="1463EE5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223.792 €</w:t>
            </w:r>
          </w:p>
        </w:tc>
      </w:tr>
      <w:tr w:rsidR="00BB63E6" w14:paraId="40A2DC43"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8DBC75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Canarias </w:t>
            </w:r>
          </w:p>
        </w:tc>
        <w:tc>
          <w:tcPr>
            <w:tcW w:w="1560" w:type="dxa"/>
            <w:vAlign w:val="bottom"/>
          </w:tcPr>
          <w:p w14:paraId="627B5F8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2.812 €</w:t>
            </w:r>
          </w:p>
        </w:tc>
        <w:tc>
          <w:tcPr>
            <w:tcW w:w="1559" w:type="dxa"/>
            <w:vAlign w:val="bottom"/>
          </w:tcPr>
          <w:p w14:paraId="320C686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3.356 €</w:t>
            </w:r>
          </w:p>
        </w:tc>
        <w:tc>
          <w:tcPr>
            <w:tcW w:w="1417" w:type="dxa"/>
            <w:vAlign w:val="bottom"/>
          </w:tcPr>
          <w:p w14:paraId="210D1CC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618" w:type="dxa"/>
            <w:vAlign w:val="bottom"/>
          </w:tcPr>
          <w:p w14:paraId="0F1568A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19,3%</w:t>
            </w:r>
          </w:p>
        </w:tc>
        <w:tc>
          <w:tcPr>
            <w:tcW w:w="1472" w:type="dxa"/>
            <w:vAlign w:val="bottom"/>
          </w:tcPr>
          <w:p w14:paraId="435C227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268.447 €</w:t>
            </w:r>
          </w:p>
        </w:tc>
      </w:tr>
      <w:tr w:rsidR="00BB63E6" w14:paraId="12172A46"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E8D68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Cantabria </w:t>
            </w:r>
          </w:p>
        </w:tc>
        <w:tc>
          <w:tcPr>
            <w:tcW w:w="1560" w:type="dxa"/>
            <w:vAlign w:val="bottom"/>
          </w:tcPr>
          <w:p w14:paraId="797B9B6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2.142 €</w:t>
            </w:r>
          </w:p>
        </w:tc>
        <w:tc>
          <w:tcPr>
            <w:tcW w:w="1559" w:type="dxa"/>
            <w:vAlign w:val="bottom"/>
          </w:tcPr>
          <w:p w14:paraId="16051FB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2.543 €</w:t>
            </w:r>
          </w:p>
        </w:tc>
        <w:tc>
          <w:tcPr>
            <w:tcW w:w="1417" w:type="dxa"/>
            <w:vAlign w:val="bottom"/>
          </w:tcPr>
          <w:p w14:paraId="5D9DDDE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0,96%</w:t>
            </w:r>
          </w:p>
        </w:tc>
        <w:tc>
          <w:tcPr>
            <w:tcW w:w="1618" w:type="dxa"/>
            <w:vAlign w:val="bottom"/>
          </w:tcPr>
          <w:p w14:paraId="0C56085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18,7%</w:t>
            </w:r>
          </w:p>
        </w:tc>
        <w:tc>
          <w:tcPr>
            <w:tcW w:w="1472" w:type="dxa"/>
            <w:vAlign w:val="bottom"/>
          </w:tcPr>
          <w:p w14:paraId="5B8B826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203.444 €</w:t>
            </w:r>
          </w:p>
        </w:tc>
      </w:tr>
      <w:tr w:rsidR="00BB63E6" w14:paraId="0AC6F592"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DBD8C6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Madrid </w:t>
            </w:r>
          </w:p>
        </w:tc>
        <w:tc>
          <w:tcPr>
            <w:tcW w:w="1560" w:type="dxa"/>
            <w:vAlign w:val="bottom"/>
          </w:tcPr>
          <w:p w14:paraId="0BBF53F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4.539 €</w:t>
            </w:r>
          </w:p>
        </w:tc>
        <w:tc>
          <w:tcPr>
            <w:tcW w:w="1559" w:type="dxa"/>
            <w:vAlign w:val="bottom"/>
          </w:tcPr>
          <w:p w14:paraId="4605AFD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5.297 €</w:t>
            </w:r>
          </w:p>
        </w:tc>
        <w:tc>
          <w:tcPr>
            <w:tcW w:w="1417" w:type="dxa"/>
            <w:vAlign w:val="bottom"/>
          </w:tcPr>
          <w:p w14:paraId="63383F1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618" w:type="dxa"/>
            <w:vAlign w:val="bottom"/>
          </w:tcPr>
          <w:p w14:paraId="7FD87F8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16,7%</w:t>
            </w:r>
          </w:p>
        </w:tc>
        <w:tc>
          <w:tcPr>
            <w:tcW w:w="1472" w:type="dxa"/>
            <w:vAlign w:val="bottom"/>
          </w:tcPr>
          <w:p w14:paraId="2FA291F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423.726 €</w:t>
            </w:r>
          </w:p>
        </w:tc>
      </w:tr>
      <w:tr w:rsidR="00BB63E6" w14:paraId="5F6D2F93"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DC79C0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Galicia </w:t>
            </w:r>
          </w:p>
        </w:tc>
        <w:tc>
          <w:tcPr>
            <w:tcW w:w="1560" w:type="dxa"/>
            <w:vAlign w:val="bottom"/>
          </w:tcPr>
          <w:p w14:paraId="3DB9CF6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1.884 €</w:t>
            </w:r>
          </w:p>
        </w:tc>
        <w:tc>
          <w:tcPr>
            <w:tcW w:w="1559" w:type="dxa"/>
            <w:vAlign w:val="bottom"/>
          </w:tcPr>
          <w:p w14:paraId="1C55620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2.178 €</w:t>
            </w:r>
          </w:p>
        </w:tc>
        <w:tc>
          <w:tcPr>
            <w:tcW w:w="1417" w:type="dxa"/>
            <w:vAlign w:val="bottom"/>
          </w:tcPr>
          <w:p w14:paraId="129D88D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0,9%</w:t>
            </w:r>
          </w:p>
        </w:tc>
        <w:tc>
          <w:tcPr>
            <w:tcW w:w="1618" w:type="dxa"/>
            <w:vAlign w:val="bottom"/>
          </w:tcPr>
          <w:p w14:paraId="4096AC9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15,6%</w:t>
            </w:r>
          </w:p>
        </w:tc>
        <w:tc>
          <w:tcPr>
            <w:tcW w:w="1472" w:type="dxa"/>
            <w:vAlign w:val="bottom"/>
          </w:tcPr>
          <w:p w14:paraId="6F670D1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174.215 €</w:t>
            </w:r>
          </w:p>
        </w:tc>
      </w:tr>
      <w:tr w:rsidR="00BB63E6" w14:paraId="5A42CB59"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AC6F18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Cataluña </w:t>
            </w:r>
          </w:p>
        </w:tc>
        <w:tc>
          <w:tcPr>
            <w:tcW w:w="1560" w:type="dxa"/>
            <w:vAlign w:val="bottom"/>
          </w:tcPr>
          <w:p w14:paraId="3D2D44D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2.881 €</w:t>
            </w:r>
          </w:p>
        </w:tc>
        <w:tc>
          <w:tcPr>
            <w:tcW w:w="1559" w:type="dxa"/>
            <w:vAlign w:val="bottom"/>
          </w:tcPr>
          <w:p w14:paraId="0CB733A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3.313 €</w:t>
            </w:r>
          </w:p>
        </w:tc>
        <w:tc>
          <w:tcPr>
            <w:tcW w:w="1417" w:type="dxa"/>
            <w:vAlign w:val="bottom"/>
          </w:tcPr>
          <w:p w14:paraId="6B44E94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2,06%</w:t>
            </w:r>
          </w:p>
        </w:tc>
        <w:tc>
          <w:tcPr>
            <w:tcW w:w="1618" w:type="dxa"/>
            <w:vAlign w:val="bottom"/>
          </w:tcPr>
          <w:p w14:paraId="4DB531D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15,0%</w:t>
            </w:r>
          </w:p>
        </w:tc>
        <w:tc>
          <w:tcPr>
            <w:tcW w:w="1472" w:type="dxa"/>
            <w:vAlign w:val="bottom"/>
          </w:tcPr>
          <w:p w14:paraId="3B44D24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265.067 €</w:t>
            </w:r>
          </w:p>
        </w:tc>
      </w:tr>
      <w:tr w:rsidR="00BB63E6" w14:paraId="373B83CF"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F7FF6F7"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Navarra </w:t>
            </w:r>
          </w:p>
        </w:tc>
        <w:tc>
          <w:tcPr>
            <w:tcW w:w="1560" w:type="dxa"/>
            <w:vAlign w:val="bottom"/>
          </w:tcPr>
          <w:p w14:paraId="7B322F3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2.047 €</w:t>
            </w:r>
          </w:p>
        </w:tc>
        <w:tc>
          <w:tcPr>
            <w:tcW w:w="1559" w:type="dxa"/>
            <w:vAlign w:val="bottom"/>
          </w:tcPr>
          <w:p w14:paraId="4F49D70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2.309 €</w:t>
            </w:r>
          </w:p>
        </w:tc>
        <w:tc>
          <w:tcPr>
            <w:tcW w:w="1417" w:type="dxa"/>
            <w:vAlign w:val="bottom"/>
          </w:tcPr>
          <w:p w14:paraId="5ECBDC9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c>
          <w:tcPr>
            <w:tcW w:w="1618" w:type="dxa"/>
            <w:vAlign w:val="bottom"/>
          </w:tcPr>
          <w:p w14:paraId="4DDBA3D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12,8%</w:t>
            </w:r>
          </w:p>
        </w:tc>
        <w:tc>
          <w:tcPr>
            <w:tcW w:w="1472" w:type="dxa"/>
            <w:vAlign w:val="bottom"/>
          </w:tcPr>
          <w:p w14:paraId="7E2A48E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184.751 €</w:t>
            </w:r>
          </w:p>
        </w:tc>
      </w:tr>
      <w:tr w:rsidR="00BB63E6" w14:paraId="5692947D"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3C778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Castilla-La Mancha </w:t>
            </w:r>
          </w:p>
        </w:tc>
        <w:tc>
          <w:tcPr>
            <w:tcW w:w="1560" w:type="dxa"/>
            <w:vAlign w:val="bottom"/>
          </w:tcPr>
          <w:p w14:paraId="07C2ACB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1.210 €</w:t>
            </w:r>
          </w:p>
        </w:tc>
        <w:tc>
          <w:tcPr>
            <w:tcW w:w="1559" w:type="dxa"/>
            <w:vAlign w:val="bottom"/>
          </w:tcPr>
          <w:p w14:paraId="5268E28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1.357 €</w:t>
            </w:r>
          </w:p>
        </w:tc>
        <w:tc>
          <w:tcPr>
            <w:tcW w:w="1417" w:type="dxa"/>
            <w:vAlign w:val="bottom"/>
          </w:tcPr>
          <w:p w14:paraId="1CC7A95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618" w:type="dxa"/>
            <w:vAlign w:val="bottom"/>
          </w:tcPr>
          <w:p w14:paraId="32B8C25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12,2%</w:t>
            </w:r>
          </w:p>
        </w:tc>
        <w:tc>
          <w:tcPr>
            <w:tcW w:w="1472" w:type="dxa"/>
            <w:vAlign w:val="bottom"/>
          </w:tcPr>
          <w:p w14:paraId="7504DCA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108.595 €</w:t>
            </w:r>
          </w:p>
        </w:tc>
      </w:tr>
      <w:tr w:rsidR="00BB63E6" w14:paraId="176FEDD6"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0576FB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País Vasco </w:t>
            </w:r>
          </w:p>
        </w:tc>
        <w:tc>
          <w:tcPr>
            <w:tcW w:w="1560" w:type="dxa"/>
            <w:vAlign w:val="bottom"/>
          </w:tcPr>
          <w:p w14:paraId="4566172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3.365 €</w:t>
            </w:r>
          </w:p>
        </w:tc>
        <w:tc>
          <w:tcPr>
            <w:tcW w:w="1559" w:type="dxa"/>
            <w:vAlign w:val="bottom"/>
          </w:tcPr>
          <w:p w14:paraId="7891F75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3.709 €</w:t>
            </w:r>
          </w:p>
        </w:tc>
        <w:tc>
          <w:tcPr>
            <w:tcW w:w="1417" w:type="dxa"/>
            <w:vAlign w:val="bottom"/>
          </w:tcPr>
          <w:p w14:paraId="12C9F6A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618" w:type="dxa"/>
            <w:vAlign w:val="bottom"/>
          </w:tcPr>
          <w:p w14:paraId="69094EA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10,2%</w:t>
            </w:r>
          </w:p>
        </w:tc>
        <w:tc>
          <w:tcPr>
            <w:tcW w:w="1472" w:type="dxa"/>
            <w:vAlign w:val="bottom"/>
          </w:tcPr>
          <w:p w14:paraId="251AFD3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296.753 €</w:t>
            </w:r>
          </w:p>
        </w:tc>
      </w:tr>
      <w:tr w:rsidR="00BB63E6" w14:paraId="2455A940"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C03E49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Baleares </w:t>
            </w:r>
          </w:p>
        </w:tc>
        <w:tc>
          <w:tcPr>
            <w:tcW w:w="1560" w:type="dxa"/>
            <w:vAlign w:val="bottom"/>
          </w:tcPr>
          <w:p w14:paraId="7C65310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4.838 €</w:t>
            </w:r>
          </w:p>
        </w:tc>
        <w:tc>
          <w:tcPr>
            <w:tcW w:w="1559" w:type="dxa"/>
            <w:vAlign w:val="bottom"/>
          </w:tcPr>
          <w:p w14:paraId="5116878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5.317 €</w:t>
            </w:r>
          </w:p>
        </w:tc>
        <w:tc>
          <w:tcPr>
            <w:tcW w:w="1417" w:type="dxa"/>
            <w:vAlign w:val="bottom"/>
          </w:tcPr>
          <w:p w14:paraId="685AF41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618" w:type="dxa"/>
            <w:vAlign w:val="bottom"/>
          </w:tcPr>
          <w:p w14:paraId="0452848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9,9%</w:t>
            </w:r>
          </w:p>
        </w:tc>
        <w:tc>
          <w:tcPr>
            <w:tcW w:w="1472" w:type="dxa"/>
            <w:vAlign w:val="bottom"/>
          </w:tcPr>
          <w:p w14:paraId="6CB2D9A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425.378 €</w:t>
            </w:r>
          </w:p>
        </w:tc>
      </w:tr>
      <w:tr w:rsidR="00BB63E6" w14:paraId="5A1685EC"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54AC93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Castilla y León </w:t>
            </w:r>
          </w:p>
        </w:tc>
        <w:tc>
          <w:tcPr>
            <w:tcW w:w="1560" w:type="dxa"/>
            <w:vAlign w:val="bottom"/>
          </w:tcPr>
          <w:p w14:paraId="2115984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1.567 €</w:t>
            </w:r>
          </w:p>
        </w:tc>
        <w:tc>
          <w:tcPr>
            <w:tcW w:w="1559" w:type="dxa"/>
            <w:vAlign w:val="bottom"/>
          </w:tcPr>
          <w:p w14:paraId="547F7AB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1.713 €</w:t>
            </w:r>
          </w:p>
        </w:tc>
        <w:tc>
          <w:tcPr>
            <w:tcW w:w="1417" w:type="dxa"/>
            <w:vAlign w:val="bottom"/>
          </w:tcPr>
          <w:p w14:paraId="39947F2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1618" w:type="dxa"/>
            <w:vAlign w:val="bottom"/>
          </w:tcPr>
          <w:p w14:paraId="10DFA50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9,3%</w:t>
            </w:r>
          </w:p>
        </w:tc>
        <w:tc>
          <w:tcPr>
            <w:tcW w:w="1472" w:type="dxa"/>
            <w:vAlign w:val="bottom"/>
          </w:tcPr>
          <w:p w14:paraId="6ECA186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137.059 €</w:t>
            </w:r>
          </w:p>
        </w:tc>
      </w:tr>
      <w:tr w:rsidR="00BB63E6" w14:paraId="430E6254"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D1CA79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La Rioja </w:t>
            </w:r>
          </w:p>
        </w:tc>
        <w:tc>
          <w:tcPr>
            <w:tcW w:w="1560" w:type="dxa"/>
            <w:vAlign w:val="bottom"/>
          </w:tcPr>
          <w:p w14:paraId="3F564B8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1.665 €</w:t>
            </w:r>
          </w:p>
        </w:tc>
        <w:tc>
          <w:tcPr>
            <w:tcW w:w="1559" w:type="dxa"/>
            <w:vAlign w:val="bottom"/>
          </w:tcPr>
          <w:p w14:paraId="6C9C8E0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1.815 €</w:t>
            </w:r>
          </w:p>
        </w:tc>
        <w:tc>
          <w:tcPr>
            <w:tcW w:w="1417" w:type="dxa"/>
            <w:vAlign w:val="bottom"/>
          </w:tcPr>
          <w:p w14:paraId="4D01726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618" w:type="dxa"/>
            <w:vAlign w:val="bottom"/>
          </w:tcPr>
          <w:p w14:paraId="4B8F3EA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9,0%</w:t>
            </w:r>
          </w:p>
        </w:tc>
        <w:tc>
          <w:tcPr>
            <w:tcW w:w="1472" w:type="dxa"/>
            <w:vAlign w:val="bottom"/>
          </w:tcPr>
          <w:p w14:paraId="51624C1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145.206 €</w:t>
            </w:r>
          </w:p>
        </w:tc>
      </w:tr>
      <w:tr w:rsidR="00BB63E6" w14:paraId="2D8AB02B" w14:textId="77777777" w:rsidTr="00BB63E6">
        <w:trPr>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9DF050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Aragón </w:t>
            </w:r>
          </w:p>
        </w:tc>
        <w:tc>
          <w:tcPr>
            <w:tcW w:w="1560" w:type="dxa"/>
            <w:vAlign w:val="bottom"/>
          </w:tcPr>
          <w:p w14:paraId="1BD0FFE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1.744 €</w:t>
            </w:r>
          </w:p>
        </w:tc>
        <w:tc>
          <w:tcPr>
            <w:tcW w:w="1559" w:type="dxa"/>
            <w:vAlign w:val="bottom"/>
          </w:tcPr>
          <w:p w14:paraId="3BF67F1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1.876 €</w:t>
            </w:r>
          </w:p>
        </w:tc>
        <w:tc>
          <w:tcPr>
            <w:tcW w:w="1417" w:type="dxa"/>
            <w:vAlign w:val="bottom"/>
          </w:tcPr>
          <w:p w14:paraId="7A7648F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618" w:type="dxa"/>
            <w:vAlign w:val="bottom"/>
          </w:tcPr>
          <w:p w14:paraId="26DAA4C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7,5%</w:t>
            </w:r>
          </w:p>
        </w:tc>
        <w:tc>
          <w:tcPr>
            <w:tcW w:w="1472" w:type="dxa"/>
            <w:vAlign w:val="bottom"/>
          </w:tcPr>
          <w:p w14:paraId="2CF0D0E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150.042 €</w:t>
            </w:r>
          </w:p>
        </w:tc>
      </w:tr>
      <w:tr w:rsidR="00BB63E6" w14:paraId="2E280B37" w14:textId="77777777" w:rsidTr="00BB63E6">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C95265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Extremadura </w:t>
            </w:r>
          </w:p>
        </w:tc>
        <w:tc>
          <w:tcPr>
            <w:tcW w:w="1560" w:type="dxa"/>
            <w:vAlign w:val="bottom"/>
          </w:tcPr>
          <w:p w14:paraId="40EC540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1.222 €</w:t>
            </w:r>
          </w:p>
        </w:tc>
        <w:tc>
          <w:tcPr>
            <w:tcW w:w="1559" w:type="dxa"/>
            <w:vAlign w:val="bottom"/>
          </w:tcPr>
          <w:p w14:paraId="455FB55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1.312 €</w:t>
            </w:r>
          </w:p>
        </w:tc>
        <w:tc>
          <w:tcPr>
            <w:tcW w:w="1417" w:type="dxa"/>
            <w:vAlign w:val="bottom"/>
          </w:tcPr>
          <w:p w14:paraId="03BD3BB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1618" w:type="dxa"/>
            <w:vAlign w:val="bottom"/>
          </w:tcPr>
          <w:p w14:paraId="0DA915F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7,4%</w:t>
            </w:r>
          </w:p>
        </w:tc>
        <w:tc>
          <w:tcPr>
            <w:tcW w:w="1472" w:type="dxa"/>
            <w:vAlign w:val="bottom"/>
          </w:tcPr>
          <w:p w14:paraId="2ABCF5A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104.993 €</w:t>
            </w:r>
          </w:p>
        </w:tc>
      </w:tr>
      <w:tr w:rsidR="00BB63E6" w14:paraId="40C1EAFF" w14:textId="77777777" w:rsidTr="00BB63E6">
        <w:trPr>
          <w:trHeight w:val="375"/>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42FBC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 xml:space="preserve">España </w:t>
            </w:r>
          </w:p>
        </w:tc>
        <w:tc>
          <w:tcPr>
            <w:tcW w:w="1560" w:type="dxa"/>
            <w:vAlign w:val="bottom"/>
          </w:tcPr>
          <w:p w14:paraId="11C196A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2.460 €</w:t>
            </w:r>
          </w:p>
        </w:tc>
        <w:tc>
          <w:tcPr>
            <w:tcW w:w="1559" w:type="dxa"/>
            <w:vAlign w:val="bottom"/>
          </w:tcPr>
          <w:p w14:paraId="4ABD2F3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2.950 €</w:t>
            </w:r>
          </w:p>
        </w:tc>
        <w:tc>
          <w:tcPr>
            <w:tcW w:w="1417" w:type="dxa"/>
            <w:vAlign w:val="bottom"/>
          </w:tcPr>
          <w:p w14:paraId="56C9A48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w:t>
            </w:r>
          </w:p>
        </w:tc>
        <w:tc>
          <w:tcPr>
            <w:tcW w:w="1618" w:type="dxa"/>
            <w:vAlign w:val="bottom"/>
          </w:tcPr>
          <w:p w14:paraId="10B8B9F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19,9%</w:t>
            </w:r>
          </w:p>
        </w:tc>
        <w:tc>
          <w:tcPr>
            <w:tcW w:w="1472" w:type="dxa"/>
            <w:vAlign w:val="bottom"/>
          </w:tcPr>
          <w:p w14:paraId="19C1F43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235.981 €</w:t>
            </w:r>
          </w:p>
        </w:tc>
      </w:tr>
    </w:tbl>
    <w:p w14:paraId="6A610164"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 xml:space="preserve">Provincias </w:t>
      </w:r>
    </w:p>
    <w:p w14:paraId="267F417B" w14:textId="77777777" w:rsidR="00BB63E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En 49 de las 50 provincias analizadas (en el 98%) sube el precio interanual de la vivienda en el mes de febrero. En cinco provincias se supera el 20% y son: Valencia (26,6%), Murcia (24,9%), A Coruña (23,1%), Asturias (23,1%) y Santa Cruz de Tenerife (20,2%). Por otro lado, la única provincia con descenso es Teruel (-10,9%).  </w:t>
      </w:r>
    </w:p>
    <w:p w14:paraId="7AFFD197"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Illes Balears y Madrid son las únicas que han superado los 5.000 euros por metro cuadrado. </w:t>
      </w:r>
      <w:r>
        <w:rPr>
          <w:rFonts w:ascii="Open Sans" w:eastAsia="Open Sans" w:hAnsi="Open Sans" w:cs="Open Sans"/>
          <w:b/>
          <w:bCs/>
          <w:color w:val="000000"/>
        </w:rPr>
        <w:t>Las cuatro provincias con el precio más elevado son: Illes Balears con 5.317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y Madrid con 5.297 euros/m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w:t>
      </w:r>
      <w:r>
        <w:rPr>
          <w:rFonts w:ascii="Open Sans" w:eastAsia="Open Sans" w:hAnsi="Open Sans" w:cs="Open Sans"/>
          <w:color w:val="000000"/>
        </w:rPr>
        <w:lastRenderedPageBreak/>
        <w:t>Por otro lado, las provincias con el precio por metro cuadrado más económico son Ciudad Real con 1.052 euros/m</w:t>
      </w:r>
      <w:r>
        <w:rPr>
          <w:rFonts w:ascii="Open Sans" w:eastAsia="Open Sans" w:hAnsi="Open Sans" w:cs="Open Sans"/>
          <w:color w:val="000000"/>
          <w:vertAlign w:val="superscript"/>
        </w:rPr>
        <w:t>2</w:t>
      </w:r>
      <w:r>
        <w:rPr>
          <w:rFonts w:ascii="Open Sans" w:eastAsia="Open Sans" w:hAnsi="Open Sans" w:cs="Open Sans"/>
          <w:color w:val="000000"/>
        </w:rPr>
        <w:t xml:space="preserve"> y Jaén con 1.070 euros/m</w:t>
      </w:r>
      <w:r>
        <w:rPr>
          <w:rFonts w:ascii="Open Sans" w:eastAsia="Open Sans" w:hAnsi="Open Sans" w:cs="Open Sans"/>
          <w:color w:val="000000"/>
          <w:vertAlign w:val="superscript"/>
        </w:rPr>
        <w:t>2</w:t>
      </w:r>
      <w:r>
        <w:rPr>
          <w:rFonts w:ascii="Open Sans" w:eastAsia="Open Sans" w:hAnsi="Open Sans" w:cs="Open Sans"/>
          <w:color w:val="000000"/>
        </w:rPr>
        <w:t>.</w:t>
      </w:r>
    </w:p>
    <w:p w14:paraId="431879C1" w14:textId="77777777" w:rsidR="00BB63E6"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de mayor a menor incremento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BB63E6" w14:paraId="67B54758" w14:textId="77777777" w:rsidTr="00BB63E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D03AA2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30A41148"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2137D2F2"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59" w:type="dxa"/>
            <w:vAlign w:val="center"/>
          </w:tcPr>
          <w:p w14:paraId="75A454F1"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3C5BA93F"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tcPr>
          <w:p w14:paraId="2378ADEE"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BB63E6" w14:paraId="1E98C783"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7EEA8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4" w:type="dxa"/>
            <w:vAlign w:val="bottom"/>
          </w:tcPr>
          <w:p w14:paraId="0FF8755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2.436 €</w:t>
            </w:r>
          </w:p>
        </w:tc>
        <w:tc>
          <w:tcPr>
            <w:tcW w:w="1559" w:type="dxa"/>
            <w:vAlign w:val="bottom"/>
          </w:tcPr>
          <w:p w14:paraId="49BB6AB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w:t>
            </w:r>
          </w:p>
        </w:tc>
        <w:tc>
          <w:tcPr>
            <w:tcW w:w="1701" w:type="dxa"/>
            <w:vAlign w:val="bottom"/>
          </w:tcPr>
          <w:p w14:paraId="35F8F67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26,6%</w:t>
            </w:r>
          </w:p>
        </w:tc>
        <w:tc>
          <w:tcPr>
            <w:tcW w:w="1700" w:type="dxa"/>
            <w:vAlign w:val="bottom"/>
          </w:tcPr>
          <w:p w14:paraId="2B134DB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-17,4%</w:t>
            </w:r>
          </w:p>
        </w:tc>
      </w:tr>
      <w:tr w:rsidR="00BB63E6" w14:paraId="233AA047"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62AAD4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0E45671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1.945 €</w:t>
            </w:r>
          </w:p>
        </w:tc>
        <w:tc>
          <w:tcPr>
            <w:tcW w:w="1559" w:type="dxa"/>
            <w:vAlign w:val="bottom"/>
          </w:tcPr>
          <w:p w14:paraId="179093F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1,3%</w:t>
            </w:r>
          </w:p>
        </w:tc>
        <w:tc>
          <w:tcPr>
            <w:tcW w:w="1701" w:type="dxa"/>
            <w:vAlign w:val="bottom"/>
          </w:tcPr>
          <w:p w14:paraId="2089C79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24,9%</w:t>
            </w:r>
          </w:p>
        </w:tc>
        <w:tc>
          <w:tcPr>
            <w:tcW w:w="1700" w:type="dxa"/>
            <w:vAlign w:val="bottom"/>
          </w:tcPr>
          <w:p w14:paraId="60BBE48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-34,1%</w:t>
            </w:r>
          </w:p>
        </w:tc>
      </w:tr>
      <w:tr w:rsidR="00BB63E6" w14:paraId="2DAA10A6"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23951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4" w:type="dxa"/>
            <w:vAlign w:val="bottom"/>
          </w:tcPr>
          <w:p w14:paraId="3F1B704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2.166 €</w:t>
            </w:r>
          </w:p>
        </w:tc>
        <w:tc>
          <w:tcPr>
            <w:tcW w:w="1559" w:type="dxa"/>
            <w:vAlign w:val="bottom"/>
          </w:tcPr>
          <w:p w14:paraId="1AAEC38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3D9028A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23,1%</w:t>
            </w:r>
          </w:p>
        </w:tc>
        <w:tc>
          <w:tcPr>
            <w:tcW w:w="1700" w:type="dxa"/>
            <w:vAlign w:val="bottom"/>
          </w:tcPr>
          <w:p w14:paraId="5E7445E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-26,6%</w:t>
            </w:r>
          </w:p>
        </w:tc>
      </w:tr>
      <w:tr w:rsidR="00BB63E6" w14:paraId="290B6C01"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04D7B7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6786187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2.274 €</w:t>
            </w:r>
          </w:p>
        </w:tc>
        <w:tc>
          <w:tcPr>
            <w:tcW w:w="1559" w:type="dxa"/>
            <w:vAlign w:val="bottom"/>
          </w:tcPr>
          <w:p w14:paraId="1E65428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2DB52E5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23,1%</w:t>
            </w:r>
          </w:p>
        </w:tc>
        <w:tc>
          <w:tcPr>
            <w:tcW w:w="1700" w:type="dxa"/>
            <w:vAlign w:val="bottom"/>
          </w:tcPr>
          <w:p w14:paraId="1ABEE95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-22,9%</w:t>
            </w:r>
          </w:p>
        </w:tc>
      </w:tr>
      <w:tr w:rsidR="00BB63E6" w14:paraId="1D1C908B"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3B265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4" w:type="dxa"/>
            <w:vAlign w:val="bottom"/>
          </w:tcPr>
          <w:p w14:paraId="163A0E5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3.688 €</w:t>
            </w:r>
          </w:p>
        </w:tc>
        <w:tc>
          <w:tcPr>
            <w:tcW w:w="1559" w:type="dxa"/>
            <w:vAlign w:val="bottom"/>
          </w:tcPr>
          <w:p w14:paraId="4C446DA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782E8D6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20,2%</w:t>
            </w:r>
          </w:p>
        </w:tc>
        <w:tc>
          <w:tcPr>
            <w:tcW w:w="1700" w:type="dxa"/>
            <w:vAlign w:val="bottom"/>
          </w:tcPr>
          <w:p w14:paraId="2CF3B96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25,0%</w:t>
            </w:r>
          </w:p>
        </w:tc>
      </w:tr>
      <w:tr w:rsidR="00BB63E6" w14:paraId="2D8E7295"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E1DC17"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1984" w:type="dxa"/>
            <w:vAlign w:val="bottom"/>
          </w:tcPr>
          <w:p w14:paraId="52C5560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1.296 €</w:t>
            </w:r>
          </w:p>
        </w:tc>
        <w:tc>
          <w:tcPr>
            <w:tcW w:w="1559" w:type="dxa"/>
            <w:vAlign w:val="bottom"/>
          </w:tcPr>
          <w:p w14:paraId="7781B47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701" w:type="dxa"/>
            <w:vAlign w:val="bottom"/>
          </w:tcPr>
          <w:p w14:paraId="45F4167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18,9%</w:t>
            </w:r>
          </w:p>
        </w:tc>
        <w:tc>
          <w:tcPr>
            <w:tcW w:w="1700" w:type="dxa"/>
            <w:vAlign w:val="bottom"/>
          </w:tcPr>
          <w:p w14:paraId="400F7F2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-56,1%</w:t>
            </w:r>
          </w:p>
        </w:tc>
      </w:tr>
      <w:tr w:rsidR="00BB63E6" w14:paraId="353EFA44"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CE8F6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2B61258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2.543 €</w:t>
            </w:r>
          </w:p>
        </w:tc>
        <w:tc>
          <w:tcPr>
            <w:tcW w:w="1559" w:type="dxa"/>
            <w:vAlign w:val="bottom"/>
          </w:tcPr>
          <w:p w14:paraId="48E8CF0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265C3C5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18,7%</w:t>
            </w:r>
          </w:p>
        </w:tc>
        <w:tc>
          <w:tcPr>
            <w:tcW w:w="1700" w:type="dxa"/>
            <w:vAlign w:val="bottom"/>
          </w:tcPr>
          <w:p w14:paraId="3B83401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-13,8%</w:t>
            </w:r>
          </w:p>
        </w:tc>
      </w:tr>
      <w:tr w:rsidR="00BB63E6" w14:paraId="24E3FC07"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13CDDB"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1984" w:type="dxa"/>
            <w:vAlign w:val="bottom"/>
          </w:tcPr>
          <w:p w14:paraId="2ECD2B8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1.778 €</w:t>
            </w:r>
          </w:p>
        </w:tc>
        <w:tc>
          <w:tcPr>
            <w:tcW w:w="1559" w:type="dxa"/>
            <w:vAlign w:val="bottom"/>
          </w:tcPr>
          <w:p w14:paraId="100B427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1B00BA9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18,5%</w:t>
            </w:r>
          </w:p>
        </w:tc>
        <w:tc>
          <w:tcPr>
            <w:tcW w:w="1700" w:type="dxa"/>
            <w:vAlign w:val="bottom"/>
          </w:tcPr>
          <w:p w14:paraId="060264D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-39,7%</w:t>
            </w:r>
          </w:p>
        </w:tc>
      </w:tr>
      <w:tr w:rsidR="00BB63E6" w14:paraId="5AF21254"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48638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491FC4E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1.672 €</w:t>
            </w:r>
          </w:p>
        </w:tc>
        <w:tc>
          <w:tcPr>
            <w:tcW w:w="1559" w:type="dxa"/>
            <w:vAlign w:val="bottom"/>
          </w:tcPr>
          <w:p w14:paraId="62D0CF7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7FB3FF5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17,9%</w:t>
            </w:r>
          </w:p>
        </w:tc>
        <w:tc>
          <w:tcPr>
            <w:tcW w:w="1700" w:type="dxa"/>
            <w:vAlign w:val="bottom"/>
          </w:tcPr>
          <w:p w14:paraId="37588BA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-43,3%</w:t>
            </w:r>
          </w:p>
        </w:tc>
      </w:tr>
      <w:tr w:rsidR="00BB63E6" w14:paraId="7C24F3DA"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3B6151B"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4B54789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2.162 €</w:t>
            </w:r>
          </w:p>
        </w:tc>
        <w:tc>
          <w:tcPr>
            <w:tcW w:w="1559" w:type="dxa"/>
            <w:vAlign w:val="bottom"/>
          </w:tcPr>
          <w:p w14:paraId="02A1F84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1ABF0FC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17,7%</w:t>
            </w:r>
          </w:p>
        </w:tc>
        <w:tc>
          <w:tcPr>
            <w:tcW w:w="1700" w:type="dxa"/>
            <w:vAlign w:val="bottom"/>
          </w:tcPr>
          <w:p w14:paraId="2ECCA6B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-26,7%</w:t>
            </w:r>
          </w:p>
        </w:tc>
      </w:tr>
      <w:tr w:rsidR="00BB63E6" w14:paraId="717C008D"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ABDA9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4BECEDE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2.800 €</w:t>
            </w:r>
          </w:p>
        </w:tc>
        <w:tc>
          <w:tcPr>
            <w:tcW w:w="1559" w:type="dxa"/>
            <w:vAlign w:val="bottom"/>
          </w:tcPr>
          <w:p w14:paraId="5B70839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0675710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17,5%</w:t>
            </w:r>
          </w:p>
        </w:tc>
        <w:tc>
          <w:tcPr>
            <w:tcW w:w="1700" w:type="dxa"/>
            <w:vAlign w:val="bottom"/>
          </w:tcPr>
          <w:p w14:paraId="627D06D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w:t>
            </w:r>
          </w:p>
        </w:tc>
      </w:tr>
      <w:tr w:rsidR="00BB63E6" w14:paraId="0710E436"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2E25F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2E747C6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5.297 €</w:t>
            </w:r>
          </w:p>
        </w:tc>
        <w:tc>
          <w:tcPr>
            <w:tcW w:w="1559" w:type="dxa"/>
            <w:vAlign w:val="bottom"/>
          </w:tcPr>
          <w:p w14:paraId="45D47FC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0437271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16,7%</w:t>
            </w:r>
          </w:p>
        </w:tc>
        <w:tc>
          <w:tcPr>
            <w:tcW w:w="1700" w:type="dxa"/>
            <w:vAlign w:val="bottom"/>
          </w:tcPr>
          <w:p w14:paraId="52E3C53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79,6%</w:t>
            </w:r>
          </w:p>
        </w:tc>
      </w:tr>
      <w:tr w:rsidR="00BB63E6" w14:paraId="2E226F54"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0FA55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4" w:type="dxa"/>
            <w:vAlign w:val="bottom"/>
          </w:tcPr>
          <w:p w14:paraId="2945C2A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2.952 €</w:t>
            </w:r>
          </w:p>
        </w:tc>
        <w:tc>
          <w:tcPr>
            <w:tcW w:w="1559" w:type="dxa"/>
            <w:vAlign w:val="bottom"/>
          </w:tcPr>
          <w:p w14:paraId="744983A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434C17E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16,1%</w:t>
            </w:r>
          </w:p>
        </w:tc>
        <w:tc>
          <w:tcPr>
            <w:tcW w:w="1700" w:type="dxa"/>
            <w:vAlign w:val="bottom"/>
          </w:tcPr>
          <w:p w14:paraId="593DACF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BB63E6" w14:paraId="6C2FE413"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A15C84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4" w:type="dxa"/>
            <w:vAlign w:val="bottom"/>
          </w:tcPr>
          <w:p w14:paraId="30B2033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1.541 €</w:t>
            </w:r>
          </w:p>
        </w:tc>
        <w:tc>
          <w:tcPr>
            <w:tcW w:w="1559" w:type="dxa"/>
            <w:vAlign w:val="bottom"/>
          </w:tcPr>
          <w:p w14:paraId="38316B1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5AE6D1C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15,6%</w:t>
            </w:r>
          </w:p>
        </w:tc>
        <w:tc>
          <w:tcPr>
            <w:tcW w:w="1700" w:type="dxa"/>
            <w:vAlign w:val="bottom"/>
          </w:tcPr>
          <w:p w14:paraId="6409EF5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-47,8%</w:t>
            </w:r>
          </w:p>
        </w:tc>
      </w:tr>
      <w:tr w:rsidR="00BB63E6" w14:paraId="74F06ECF"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44D965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2F8CDDD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1.729 €</w:t>
            </w:r>
          </w:p>
        </w:tc>
        <w:tc>
          <w:tcPr>
            <w:tcW w:w="1559" w:type="dxa"/>
            <w:vAlign w:val="bottom"/>
          </w:tcPr>
          <w:p w14:paraId="4A28872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0FD6E16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15,2%</w:t>
            </w:r>
          </w:p>
        </w:tc>
        <w:tc>
          <w:tcPr>
            <w:tcW w:w="1700" w:type="dxa"/>
            <w:vAlign w:val="bottom"/>
          </w:tcPr>
          <w:p w14:paraId="41910EC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-41,4%</w:t>
            </w:r>
          </w:p>
        </w:tc>
      </w:tr>
      <w:tr w:rsidR="00BB63E6" w14:paraId="13DD806C"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6D7F3D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65B21D4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3.627 €</w:t>
            </w:r>
          </w:p>
        </w:tc>
        <w:tc>
          <w:tcPr>
            <w:tcW w:w="1559" w:type="dxa"/>
            <w:vAlign w:val="bottom"/>
          </w:tcPr>
          <w:p w14:paraId="7D1AF48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0E23CBE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15,0%</w:t>
            </w:r>
          </w:p>
        </w:tc>
        <w:tc>
          <w:tcPr>
            <w:tcW w:w="1700" w:type="dxa"/>
            <w:vAlign w:val="bottom"/>
          </w:tcPr>
          <w:p w14:paraId="0E52A70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w:t>
            </w:r>
          </w:p>
        </w:tc>
      </w:tr>
      <w:tr w:rsidR="00BB63E6" w14:paraId="124E6822"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94656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5F032D2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2.174 €</w:t>
            </w:r>
          </w:p>
        </w:tc>
        <w:tc>
          <w:tcPr>
            <w:tcW w:w="1559" w:type="dxa"/>
            <w:vAlign w:val="bottom"/>
          </w:tcPr>
          <w:p w14:paraId="17E74FD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1FEEA07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14,3%</w:t>
            </w:r>
          </w:p>
        </w:tc>
        <w:tc>
          <w:tcPr>
            <w:tcW w:w="1700" w:type="dxa"/>
            <w:vAlign w:val="bottom"/>
          </w:tcPr>
          <w:p w14:paraId="208E689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-26,3%</w:t>
            </w:r>
          </w:p>
        </w:tc>
      </w:tr>
      <w:tr w:rsidR="00BB63E6" w14:paraId="551012F7"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4FD919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6EC6C19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4.330 €</w:t>
            </w:r>
          </w:p>
        </w:tc>
        <w:tc>
          <w:tcPr>
            <w:tcW w:w="1559" w:type="dxa"/>
            <w:vAlign w:val="bottom"/>
          </w:tcPr>
          <w:p w14:paraId="59FCB99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4F6958B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13,7%</w:t>
            </w:r>
          </w:p>
        </w:tc>
        <w:tc>
          <w:tcPr>
            <w:tcW w:w="1700" w:type="dxa"/>
            <w:vAlign w:val="bottom"/>
          </w:tcPr>
          <w:p w14:paraId="177DED9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46,8%</w:t>
            </w:r>
          </w:p>
        </w:tc>
      </w:tr>
      <w:tr w:rsidR="00BB63E6" w14:paraId="65375F0D"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4B4838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1984" w:type="dxa"/>
            <w:vAlign w:val="bottom"/>
          </w:tcPr>
          <w:p w14:paraId="7C264D7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1.628 €</w:t>
            </w:r>
          </w:p>
        </w:tc>
        <w:tc>
          <w:tcPr>
            <w:tcW w:w="1559" w:type="dxa"/>
            <w:vAlign w:val="bottom"/>
          </w:tcPr>
          <w:p w14:paraId="6476F1B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42242D3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13,6%</w:t>
            </w:r>
          </w:p>
        </w:tc>
        <w:tc>
          <w:tcPr>
            <w:tcW w:w="1700" w:type="dxa"/>
            <w:vAlign w:val="bottom"/>
          </w:tcPr>
          <w:p w14:paraId="00E8274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-44,8%</w:t>
            </w:r>
          </w:p>
        </w:tc>
      </w:tr>
      <w:tr w:rsidR="00BB63E6" w14:paraId="4FF7BFD8"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465F8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4" w:type="dxa"/>
            <w:vAlign w:val="bottom"/>
          </w:tcPr>
          <w:p w14:paraId="5ECB68E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1.805 €</w:t>
            </w:r>
          </w:p>
        </w:tc>
        <w:tc>
          <w:tcPr>
            <w:tcW w:w="1559" w:type="dxa"/>
            <w:vAlign w:val="bottom"/>
          </w:tcPr>
          <w:p w14:paraId="3C843BD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701" w:type="dxa"/>
            <w:vAlign w:val="bottom"/>
          </w:tcPr>
          <w:p w14:paraId="37F94DE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13,6%</w:t>
            </w:r>
          </w:p>
        </w:tc>
        <w:tc>
          <w:tcPr>
            <w:tcW w:w="1700" w:type="dxa"/>
            <w:vAlign w:val="bottom"/>
          </w:tcPr>
          <w:p w14:paraId="722D53E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-38,8%</w:t>
            </w:r>
          </w:p>
        </w:tc>
      </w:tr>
      <w:tr w:rsidR="00BB63E6" w14:paraId="3F55BE16"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87AAE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65B3DC7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2.491 €</w:t>
            </w:r>
          </w:p>
        </w:tc>
        <w:tc>
          <w:tcPr>
            <w:tcW w:w="1559" w:type="dxa"/>
            <w:vAlign w:val="bottom"/>
          </w:tcPr>
          <w:p w14:paraId="401DDA4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44CE60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13,6%</w:t>
            </w:r>
          </w:p>
        </w:tc>
        <w:tc>
          <w:tcPr>
            <w:tcW w:w="1700" w:type="dxa"/>
            <w:vAlign w:val="bottom"/>
          </w:tcPr>
          <w:p w14:paraId="2522B3B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-15,6%</w:t>
            </w:r>
          </w:p>
        </w:tc>
      </w:tr>
      <w:tr w:rsidR="00BB63E6" w14:paraId="4291DDB6"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76A31D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4" w:type="dxa"/>
            <w:vAlign w:val="bottom"/>
          </w:tcPr>
          <w:p w14:paraId="200651B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1.268 €</w:t>
            </w:r>
          </w:p>
        </w:tc>
        <w:tc>
          <w:tcPr>
            <w:tcW w:w="1559" w:type="dxa"/>
            <w:vAlign w:val="bottom"/>
          </w:tcPr>
          <w:p w14:paraId="2D794F5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21E68EF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13,4%</w:t>
            </w:r>
          </w:p>
        </w:tc>
        <w:tc>
          <w:tcPr>
            <w:tcW w:w="1700" w:type="dxa"/>
            <w:vAlign w:val="bottom"/>
          </w:tcPr>
          <w:p w14:paraId="2508181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-57,0%</w:t>
            </w:r>
          </w:p>
        </w:tc>
      </w:tr>
      <w:tr w:rsidR="00BB63E6" w14:paraId="3DAE1185"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0F36C6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4" w:type="dxa"/>
            <w:vAlign w:val="bottom"/>
          </w:tcPr>
          <w:p w14:paraId="45928AB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2.356 €</w:t>
            </w:r>
          </w:p>
        </w:tc>
        <w:tc>
          <w:tcPr>
            <w:tcW w:w="1559" w:type="dxa"/>
            <w:vAlign w:val="bottom"/>
          </w:tcPr>
          <w:p w14:paraId="21E0DD3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4A9319B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13,0%</w:t>
            </w:r>
          </w:p>
        </w:tc>
        <w:tc>
          <w:tcPr>
            <w:tcW w:w="1700" w:type="dxa"/>
            <w:vAlign w:val="bottom"/>
          </w:tcPr>
          <w:p w14:paraId="084E44B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-20,1%</w:t>
            </w:r>
          </w:p>
        </w:tc>
      </w:tr>
      <w:tr w:rsidR="00BB63E6" w14:paraId="6354643E"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E2DF4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1984" w:type="dxa"/>
            <w:vAlign w:val="bottom"/>
          </w:tcPr>
          <w:p w14:paraId="6F9C76F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3.066 €</w:t>
            </w:r>
          </w:p>
        </w:tc>
        <w:tc>
          <w:tcPr>
            <w:tcW w:w="1559" w:type="dxa"/>
            <w:vAlign w:val="bottom"/>
          </w:tcPr>
          <w:p w14:paraId="608CC93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140FCA4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12,9%</w:t>
            </w:r>
          </w:p>
        </w:tc>
        <w:tc>
          <w:tcPr>
            <w:tcW w:w="1700" w:type="dxa"/>
            <w:vAlign w:val="bottom"/>
          </w:tcPr>
          <w:p w14:paraId="3CCEC47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r>
      <w:tr w:rsidR="00BB63E6" w14:paraId="379ADF4A"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969C4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27F53B8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2.309 €</w:t>
            </w:r>
          </w:p>
        </w:tc>
        <w:tc>
          <w:tcPr>
            <w:tcW w:w="1559" w:type="dxa"/>
            <w:vAlign w:val="bottom"/>
          </w:tcPr>
          <w:p w14:paraId="05F8D88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01" w:type="dxa"/>
            <w:vAlign w:val="bottom"/>
          </w:tcPr>
          <w:p w14:paraId="36974E8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12,8%</w:t>
            </w:r>
          </w:p>
        </w:tc>
        <w:tc>
          <w:tcPr>
            <w:tcW w:w="1700" w:type="dxa"/>
            <w:vAlign w:val="bottom"/>
          </w:tcPr>
          <w:p w14:paraId="65ACF75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-21,7%</w:t>
            </w:r>
          </w:p>
        </w:tc>
      </w:tr>
      <w:tr w:rsidR="00BB63E6" w14:paraId="4CE036C3"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B74E35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1984" w:type="dxa"/>
            <w:vAlign w:val="bottom"/>
          </w:tcPr>
          <w:p w14:paraId="5E414E3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1.861 €</w:t>
            </w:r>
          </w:p>
        </w:tc>
        <w:tc>
          <w:tcPr>
            <w:tcW w:w="1559" w:type="dxa"/>
            <w:vAlign w:val="bottom"/>
          </w:tcPr>
          <w:p w14:paraId="0A61E81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6910E9C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11,9%</w:t>
            </w:r>
          </w:p>
        </w:tc>
        <w:tc>
          <w:tcPr>
            <w:tcW w:w="1700" w:type="dxa"/>
            <w:vAlign w:val="bottom"/>
          </w:tcPr>
          <w:p w14:paraId="48E679E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-36,9%</w:t>
            </w:r>
          </w:p>
        </w:tc>
      </w:tr>
      <w:tr w:rsidR="00BB63E6" w14:paraId="0153E79D"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A1C37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4" w:type="dxa"/>
            <w:vAlign w:val="bottom"/>
          </w:tcPr>
          <w:p w14:paraId="68D5546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1.947 €</w:t>
            </w:r>
          </w:p>
        </w:tc>
        <w:tc>
          <w:tcPr>
            <w:tcW w:w="1559" w:type="dxa"/>
            <w:vAlign w:val="bottom"/>
          </w:tcPr>
          <w:p w14:paraId="5B148E0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3E9A41E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11,6%</w:t>
            </w:r>
          </w:p>
        </w:tc>
        <w:tc>
          <w:tcPr>
            <w:tcW w:w="1700" w:type="dxa"/>
            <w:vAlign w:val="bottom"/>
          </w:tcPr>
          <w:p w14:paraId="3EDEB85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-34,0%</w:t>
            </w:r>
          </w:p>
        </w:tc>
      </w:tr>
      <w:tr w:rsidR="00BB63E6" w14:paraId="006B4811"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E9100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4" w:type="dxa"/>
            <w:vAlign w:val="bottom"/>
          </w:tcPr>
          <w:p w14:paraId="2A17E96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2.645 €</w:t>
            </w:r>
          </w:p>
        </w:tc>
        <w:tc>
          <w:tcPr>
            <w:tcW w:w="1559" w:type="dxa"/>
            <w:vAlign w:val="bottom"/>
          </w:tcPr>
          <w:p w14:paraId="72610C9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102DA11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11,3%</w:t>
            </w:r>
          </w:p>
        </w:tc>
        <w:tc>
          <w:tcPr>
            <w:tcW w:w="1700" w:type="dxa"/>
            <w:vAlign w:val="bottom"/>
          </w:tcPr>
          <w:p w14:paraId="418AAF1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-10,3%</w:t>
            </w:r>
          </w:p>
        </w:tc>
      </w:tr>
      <w:tr w:rsidR="00BB63E6" w14:paraId="49DF126B"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B877B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1984" w:type="dxa"/>
            <w:vAlign w:val="bottom"/>
          </w:tcPr>
          <w:p w14:paraId="75D467A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3.002 €</w:t>
            </w:r>
          </w:p>
        </w:tc>
        <w:tc>
          <w:tcPr>
            <w:tcW w:w="1559" w:type="dxa"/>
            <w:vAlign w:val="bottom"/>
          </w:tcPr>
          <w:p w14:paraId="7099CA1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01" w:type="dxa"/>
            <w:vAlign w:val="bottom"/>
          </w:tcPr>
          <w:p w14:paraId="56EB018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10,9%</w:t>
            </w:r>
          </w:p>
        </w:tc>
        <w:tc>
          <w:tcPr>
            <w:tcW w:w="1700" w:type="dxa"/>
            <w:vAlign w:val="bottom"/>
          </w:tcPr>
          <w:p w14:paraId="10A5F61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BB63E6" w14:paraId="56945DFA"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D27DF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5F36760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1.593 €</w:t>
            </w:r>
          </w:p>
        </w:tc>
        <w:tc>
          <w:tcPr>
            <w:tcW w:w="1559" w:type="dxa"/>
            <w:vAlign w:val="bottom"/>
          </w:tcPr>
          <w:p w14:paraId="475B68A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18C999C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10,7%</w:t>
            </w:r>
          </w:p>
        </w:tc>
        <w:tc>
          <w:tcPr>
            <w:tcW w:w="1700" w:type="dxa"/>
            <w:vAlign w:val="bottom"/>
          </w:tcPr>
          <w:p w14:paraId="091DC82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-46,0%</w:t>
            </w:r>
          </w:p>
        </w:tc>
      </w:tr>
      <w:tr w:rsidR="00BB63E6" w14:paraId="7FC73AA0"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4E6298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1984" w:type="dxa"/>
            <w:vAlign w:val="bottom"/>
          </w:tcPr>
          <w:p w14:paraId="5CD49EA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2.013 €</w:t>
            </w:r>
          </w:p>
        </w:tc>
        <w:tc>
          <w:tcPr>
            <w:tcW w:w="1559" w:type="dxa"/>
            <w:vAlign w:val="bottom"/>
          </w:tcPr>
          <w:p w14:paraId="63D7286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50352EE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10,3%</w:t>
            </w:r>
          </w:p>
        </w:tc>
        <w:tc>
          <w:tcPr>
            <w:tcW w:w="1700" w:type="dxa"/>
            <w:vAlign w:val="bottom"/>
          </w:tcPr>
          <w:p w14:paraId="23549AE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-31,8%</w:t>
            </w:r>
          </w:p>
        </w:tc>
      </w:tr>
      <w:tr w:rsidR="00BB63E6" w14:paraId="52A8B268"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20FA7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2136A30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5.317 €</w:t>
            </w:r>
          </w:p>
        </w:tc>
        <w:tc>
          <w:tcPr>
            <w:tcW w:w="1559" w:type="dxa"/>
            <w:vAlign w:val="bottom"/>
          </w:tcPr>
          <w:p w14:paraId="4819ACB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1C03F2E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9,9%</w:t>
            </w:r>
          </w:p>
        </w:tc>
        <w:tc>
          <w:tcPr>
            <w:tcW w:w="1700" w:type="dxa"/>
            <w:vAlign w:val="bottom"/>
          </w:tcPr>
          <w:p w14:paraId="5E8941A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80,3%</w:t>
            </w:r>
          </w:p>
        </w:tc>
      </w:tr>
      <w:tr w:rsidR="00BB63E6" w14:paraId="3C91AAC5"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D11A9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6CF618C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1.719 €</w:t>
            </w:r>
          </w:p>
        </w:tc>
        <w:tc>
          <w:tcPr>
            <w:tcW w:w="1559" w:type="dxa"/>
            <w:vAlign w:val="bottom"/>
          </w:tcPr>
          <w:p w14:paraId="38206E4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701" w:type="dxa"/>
            <w:vAlign w:val="bottom"/>
          </w:tcPr>
          <w:p w14:paraId="4F34067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9,7%</w:t>
            </w:r>
          </w:p>
        </w:tc>
        <w:tc>
          <w:tcPr>
            <w:tcW w:w="1700" w:type="dxa"/>
            <w:vAlign w:val="bottom"/>
          </w:tcPr>
          <w:p w14:paraId="19E9E20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-41,7%</w:t>
            </w:r>
          </w:p>
        </w:tc>
      </w:tr>
      <w:tr w:rsidR="00BB63E6" w14:paraId="7F88A80D"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B511B3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318CCF3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1.052 €</w:t>
            </w:r>
          </w:p>
        </w:tc>
        <w:tc>
          <w:tcPr>
            <w:tcW w:w="1559" w:type="dxa"/>
            <w:vAlign w:val="bottom"/>
          </w:tcPr>
          <w:p w14:paraId="01F53A9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37D621C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9,4%</w:t>
            </w:r>
          </w:p>
        </w:tc>
        <w:tc>
          <w:tcPr>
            <w:tcW w:w="1700" w:type="dxa"/>
            <w:vAlign w:val="bottom"/>
          </w:tcPr>
          <w:p w14:paraId="2CDB98F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-64,3%</w:t>
            </w:r>
          </w:p>
        </w:tc>
      </w:tr>
      <w:tr w:rsidR="00BB63E6" w14:paraId="3498E8B5"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A3F6E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0542EED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4.416 €</w:t>
            </w:r>
          </w:p>
        </w:tc>
        <w:tc>
          <w:tcPr>
            <w:tcW w:w="1559" w:type="dxa"/>
            <w:vAlign w:val="bottom"/>
          </w:tcPr>
          <w:p w14:paraId="73D113B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36EEC92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9,2%</w:t>
            </w:r>
          </w:p>
        </w:tc>
        <w:tc>
          <w:tcPr>
            <w:tcW w:w="1700" w:type="dxa"/>
            <w:vAlign w:val="bottom"/>
          </w:tcPr>
          <w:p w14:paraId="01A8678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49,7%</w:t>
            </w:r>
          </w:p>
        </w:tc>
      </w:tr>
      <w:tr w:rsidR="00BB63E6" w14:paraId="153A3872"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9243DD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La Rioja</w:t>
            </w:r>
          </w:p>
        </w:tc>
        <w:tc>
          <w:tcPr>
            <w:tcW w:w="1984" w:type="dxa"/>
            <w:vAlign w:val="bottom"/>
          </w:tcPr>
          <w:p w14:paraId="2E6587D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1.815 €</w:t>
            </w:r>
          </w:p>
        </w:tc>
        <w:tc>
          <w:tcPr>
            <w:tcW w:w="1559" w:type="dxa"/>
            <w:vAlign w:val="bottom"/>
          </w:tcPr>
          <w:p w14:paraId="0819D2C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61B8A7B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9,0%</w:t>
            </w:r>
          </w:p>
        </w:tc>
        <w:tc>
          <w:tcPr>
            <w:tcW w:w="1700" w:type="dxa"/>
            <w:vAlign w:val="bottom"/>
          </w:tcPr>
          <w:p w14:paraId="0406D58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-38,5%</w:t>
            </w:r>
          </w:p>
        </w:tc>
      </w:tr>
      <w:tr w:rsidR="00BB63E6" w14:paraId="598EFCDD"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941AD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1984" w:type="dxa"/>
            <w:vAlign w:val="bottom"/>
          </w:tcPr>
          <w:p w14:paraId="4DD5C6F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3.517 €</w:t>
            </w:r>
          </w:p>
        </w:tc>
        <w:tc>
          <w:tcPr>
            <w:tcW w:w="1559" w:type="dxa"/>
            <w:vAlign w:val="bottom"/>
          </w:tcPr>
          <w:p w14:paraId="1D3F32D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1C8D7F8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8,5%</w:t>
            </w:r>
          </w:p>
        </w:tc>
        <w:tc>
          <w:tcPr>
            <w:tcW w:w="1700" w:type="dxa"/>
            <w:vAlign w:val="bottom"/>
          </w:tcPr>
          <w:p w14:paraId="7B6129D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w:t>
            </w:r>
          </w:p>
        </w:tc>
      </w:tr>
      <w:tr w:rsidR="00BB63E6" w14:paraId="435B97E5"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87898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33B387F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1.303 €</w:t>
            </w:r>
          </w:p>
        </w:tc>
        <w:tc>
          <w:tcPr>
            <w:tcW w:w="1559" w:type="dxa"/>
            <w:vAlign w:val="bottom"/>
          </w:tcPr>
          <w:p w14:paraId="0974B22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5CE25ED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8,5%</w:t>
            </w:r>
          </w:p>
        </w:tc>
        <w:tc>
          <w:tcPr>
            <w:tcW w:w="1700" w:type="dxa"/>
            <w:vAlign w:val="bottom"/>
          </w:tcPr>
          <w:p w14:paraId="735C9F6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-55,8%</w:t>
            </w:r>
          </w:p>
        </w:tc>
      </w:tr>
      <w:tr w:rsidR="00BB63E6" w14:paraId="67FAB0A1"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DEFAA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1984" w:type="dxa"/>
            <w:vAlign w:val="bottom"/>
          </w:tcPr>
          <w:p w14:paraId="2442463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1.621 €</w:t>
            </w:r>
          </w:p>
        </w:tc>
        <w:tc>
          <w:tcPr>
            <w:tcW w:w="1559" w:type="dxa"/>
            <w:vAlign w:val="bottom"/>
          </w:tcPr>
          <w:p w14:paraId="1D8D51C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5186FAE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8,4%</w:t>
            </w:r>
          </w:p>
        </w:tc>
        <w:tc>
          <w:tcPr>
            <w:tcW w:w="1700" w:type="dxa"/>
            <w:vAlign w:val="bottom"/>
          </w:tcPr>
          <w:p w14:paraId="4255932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-45,1%</w:t>
            </w:r>
          </w:p>
        </w:tc>
      </w:tr>
      <w:tr w:rsidR="00BB63E6" w14:paraId="33824E7F"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57078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1984" w:type="dxa"/>
            <w:vAlign w:val="bottom"/>
          </w:tcPr>
          <w:p w14:paraId="00C977C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1.806 €</w:t>
            </w:r>
          </w:p>
        </w:tc>
        <w:tc>
          <w:tcPr>
            <w:tcW w:w="1559" w:type="dxa"/>
            <w:vAlign w:val="bottom"/>
          </w:tcPr>
          <w:p w14:paraId="4C03DE2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701" w:type="dxa"/>
            <w:vAlign w:val="bottom"/>
          </w:tcPr>
          <w:p w14:paraId="4B6F9E5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8,1%</w:t>
            </w:r>
          </w:p>
        </w:tc>
        <w:tc>
          <w:tcPr>
            <w:tcW w:w="1700" w:type="dxa"/>
            <w:vAlign w:val="bottom"/>
          </w:tcPr>
          <w:p w14:paraId="14198EA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-38,8%</w:t>
            </w:r>
          </w:p>
        </w:tc>
      </w:tr>
      <w:tr w:rsidR="00BB63E6" w14:paraId="201B6877"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0A2FF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06DEB15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1.278 €</w:t>
            </w:r>
          </w:p>
        </w:tc>
        <w:tc>
          <w:tcPr>
            <w:tcW w:w="1559" w:type="dxa"/>
            <w:vAlign w:val="bottom"/>
          </w:tcPr>
          <w:p w14:paraId="2845CFD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701" w:type="dxa"/>
            <w:vAlign w:val="bottom"/>
          </w:tcPr>
          <w:p w14:paraId="19441DC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8,0%</w:t>
            </w:r>
          </w:p>
        </w:tc>
        <w:tc>
          <w:tcPr>
            <w:tcW w:w="1700" w:type="dxa"/>
            <w:vAlign w:val="bottom"/>
          </w:tcPr>
          <w:p w14:paraId="6537935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-56,7%</w:t>
            </w:r>
          </w:p>
        </w:tc>
      </w:tr>
      <w:tr w:rsidR="00BB63E6" w14:paraId="43D51B89"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834F2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067FA42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1.624 €</w:t>
            </w:r>
          </w:p>
        </w:tc>
        <w:tc>
          <w:tcPr>
            <w:tcW w:w="1559" w:type="dxa"/>
            <w:vAlign w:val="bottom"/>
          </w:tcPr>
          <w:p w14:paraId="69C8DC4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59B7A2E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7,8%</w:t>
            </w:r>
          </w:p>
        </w:tc>
        <w:tc>
          <w:tcPr>
            <w:tcW w:w="1700" w:type="dxa"/>
            <w:vAlign w:val="bottom"/>
          </w:tcPr>
          <w:p w14:paraId="74F05AB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-45,0%</w:t>
            </w:r>
          </w:p>
        </w:tc>
      </w:tr>
      <w:tr w:rsidR="00BB63E6" w14:paraId="707AF3C1"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8E36C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27D757B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1.070 €</w:t>
            </w:r>
          </w:p>
        </w:tc>
        <w:tc>
          <w:tcPr>
            <w:tcW w:w="1559" w:type="dxa"/>
            <w:vAlign w:val="bottom"/>
          </w:tcPr>
          <w:p w14:paraId="0B4DCE6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42F3BF4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7,4%</w:t>
            </w:r>
          </w:p>
        </w:tc>
        <w:tc>
          <w:tcPr>
            <w:tcW w:w="1700" w:type="dxa"/>
            <w:vAlign w:val="bottom"/>
          </w:tcPr>
          <w:p w14:paraId="1BFDBE5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-63,7%</w:t>
            </w:r>
          </w:p>
        </w:tc>
      </w:tr>
      <w:tr w:rsidR="00BB63E6" w14:paraId="7DAB1147"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E6142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109FB1F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1.937 €</w:t>
            </w:r>
          </w:p>
        </w:tc>
        <w:tc>
          <w:tcPr>
            <w:tcW w:w="1559" w:type="dxa"/>
            <w:vAlign w:val="bottom"/>
          </w:tcPr>
          <w:p w14:paraId="597B71D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6FCA99B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4A78218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-34,3%</w:t>
            </w:r>
          </w:p>
        </w:tc>
      </w:tr>
      <w:tr w:rsidR="00BB63E6" w14:paraId="071514D2"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C2DDC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1CC4225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1.981 €</w:t>
            </w:r>
          </w:p>
        </w:tc>
        <w:tc>
          <w:tcPr>
            <w:tcW w:w="1559" w:type="dxa"/>
            <w:vAlign w:val="bottom"/>
          </w:tcPr>
          <w:p w14:paraId="2B66632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11F5EF0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6,5%</w:t>
            </w:r>
          </w:p>
        </w:tc>
        <w:tc>
          <w:tcPr>
            <w:tcW w:w="1700" w:type="dxa"/>
            <w:vAlign w:val="bottom"/>
          </w:tcPr>
          <w:p w14:paraId="22E0046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-32,9%</w:t>
            </w:r>
          </w:p>
        </w:tc>
      </w:tr>
      <w:tr w:rsidR="00BB63E6" w14:paraId="23CAC8A0"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CC815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168C057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1.324 €</w:t>
            </w:r>
          </w:p>
        </w:tc>
        <w:tc>
          <w:tcPr>
            <w:tcW w:w="1559" w:type="dxa"/>
            <w:vAlign w:val="bottom"/>
          </w:tcPr>
          <w:p w14:paraId="14BB361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701" w:type="dxa"/>
            <w:vAlign w:val="bottom"/>
          </w:tcPr>
          <w:p w14:paraId="6D162A1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6,0%</w:t>
            </w:r>
          </w:p>
        </w:tc>
        <w:tc>
          <w:tcPr>
            <w:tcW w:w="1700" w:type="dxa"/>
            <w:vAlign w:val="bottom"/>
          </w:tcPr>
          <w:p w14:paraId="06591D6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-55,1%</w:t>
            </w:r>
          </w:p>
        </w:tc>
      </w:tr>
      <w:tr w:rsidR="00BB63E6" w14:paraId="4C2F0C6B"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7F566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1984" w:type="dxa"/>
            <w:vAlign w:val="bottom"/>
          </w:tcPr>
          <w:p w14:paraId="7123653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1.532 €</w:t>
            </w:r>
          </w:p>
        </w:tc>
        <w:tc>
          <w:tcPr>
            <w:tcW w:w="1559" w:type="dxa"/>
            <w:vAlign w:val="bottom"/>
          </w:tcPr>
          <w:p w14:paraId="75EE019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01" w:type="dxa"/>
            <w:vAlign w:val="bottom"/>
          </w:tcPr>
          <w:p w14:paraId="46BFA9D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3,9%</w:t>
            </w:r>
          </w:p>
        </w:tc>
        <w:tc>
          <w:tcPr>
            <w:tcW w:w="1700" w:type="dxa"/>
            <w:vAlign w:val="bottom"/>
          </w:tcPr>
          <w:p w14:paraId="41E3688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-48,1%</w:t>
            </w:r>
          </w:p>
        </w:tc>
      </w:tr>
      <w:tr w:rsidR="00BB63E6" w14:paraId="6291ABC3"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FC2FE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4" w:type="dxa"/>
            <w:vAlign w:val="bottom"/>
          </w:tcPr>
          <w:p w14:paraId="3CC5776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1.214 €</w:t>
            </w:r>
          </w:p>
        </w:tc>
        <w:tc>
          <w:tcPr>
            <w:tcW w:w="1559" w:type="dxa"/>
            <w:vAlign w:val="bottom"/>
          </w:tcPr>
          <w:p w14:paraId="7E82416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vAlign w:val="bottom"/>
          </w:tcPr>
          <w:p w14:paraId="66149D0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w:t>
            </w:r>
          </w:p>
        </w:tc>
        <w:tc>
          <w:tcPr>
            <w:tcW w:w="1700" w:type="dxa"/>
            <w:vAlign w:val="bottom"/>
          </w:tcPr>
          <w:p w14:paraId="3FD8285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-58,8%</w:t>
            </w:r>
          </w:p>
        </w:tc>
      </w:tr>
      <w:tr w:rsidR="00BB63E6" w14:paraId="28F8FAAF" w14:textId="77777777" w:rsidTr="00BB63E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9773D3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1984" w:type="dxa"/>
            <w:vAlign w:val="bottom"/>
          </w:tcPr>
          <w:p w14:paraId="3E745DF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1.434 €</w:t>
            </w:r>
          </w:p>
        </w:tc>
        <w:tc>
          <w:tcPr>
            <w:tcW w:w="1559" w:type="dxa"/>
            <w:vAlign w:val="bottom"/>
          </w:tcPr>
          <w:p w14:paraId="1145B7A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-1,3%</w:t>
            </w:r>
          </w:p>
        </w:tc>
        <w:tc>
          <w:tcPr>
            <w:tcW w:w="1701" w:type="dxa"/>
            <w:vAlign w:val="bottom"/>
          </w:tcPr>
          <w:p w14:paraId="3AA3633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0,9%</w:t>
            </w:r>
          </w:p>
        </w:tc>
        <w:tc>
          <w:tcPr>
            <w:tcW w:w="1700" w:type="dxa"/>
            <w:vAlign w:val="bottom"/>
          </w:tcPr>
          <w:p w14:paraId="29226E9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-51,4%</w:t>
            </w:r>
          </w:p>
        </w:tc>
      </w:tr>
      <w:tr w:rsidR="00BB63E6" w14:paraId="062DD682" w14:textId="77777777" w:rsidTr="00BB63E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B5DA0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1984" w:type="dxa"/>
            <w:vAlign w:val="bottom"/>
          </w:tcPr>
          <w:p w14:paraId="4579F8D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1.138 €</w:t>
            </w:r>
          </w:p>
        </w:tc>
        <w:tc>
          <w:tcPr>
            <w:tcW w:w="1559" w:type="dxa"/>
            <w:vAlign w:val="bottom"/>
          </w:tcPr>
          <w:p w14:paraId="734C0FD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0,0%</w:t>
            </w:r>
          </w:p>
        </w:tc>
        <w:tc>
          <w:tcPr>
            <w:tcW w:w="1701" w:type="dxa"/>
            <w:vAlign w:val="bottom"/>
          </w:tcPr>
          <w:p w14:paraId="4809A79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-10,9%</w:t>
            </w:r>
          </w:p>
        </w:tc>
        <w:tc>
          <w:tcPr>
            <w:tcW w:w="1700" w:type="dxa"/>
            <w:vAlign w:val="bottom"/>
          </w:tcPr>
          <w:p w14:paraId="356F341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-61,4%</w:t>
            </w:r>
          </w:p>
        </w:tc>
      </w:tr>
    </w:tbl>
    <w:p w14:paraId="278AFAA4"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Capitales de provincias</w:t>
      </w:r>
    </w:p>
    <w:p w14:paraId="19BE2F03" w14:textId="77777777" w:rsidR="00BB63E6"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las 50 capitales de provincia con variación interanual sube el precio en febrero respecto al año anterior, de los cuales </w:t>
      </w:r>
      <w:r>
        <w:rPr>
          <w:rFonts w:ascii="Open Sans" w:eastAsia="Open Sans" w:hAnsi="Open Sans" w:cs="Open Sans"/>
          <w:b/>
          <w:bCs/>
          <w:color w:val="000000"/>
        </w:rPr>
        <w:t>15 de las capitales tienen un incremento superior al 15% y las primeras son:</w:t>
      </w:r>
      <w:r>
        <w:rPr>
          <w:rFonts w:ascii="Open Sans" w:eastAsia="Open Sans" w:hAnsi="Open Sans" w:cs="Open Sans"/>
          <w:color w:val="000000"/>
        </w:rPr>
        <w:t xml:space="preserve"> Ciudad Real capital (24,2%), Ávila capital (23,2%), A Coruña capital (22,6%), Ourense capital (22,3%), Soria capital (21,7%), Santa Cruz de Tenerife capital (21,7%), León capital (20,1%), Jaén capital (19,9%), Guadalajara capital (18,5%), Palencia capital (18,1%), Las Palmas de Gran Canaria (17,1%), Salamanca capital (16,3%), Córdoba capital (16,1%), Murcia capital (15,4%) y Valencia capital (15,1%).</w:t>
      </w:r>
    </w:p>
    <w:p w14:paraId="301E39DE" w14:textId="77777777" w:rsidR="00BB63E6"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las 14 capitales de provincia con el precio por encima de los 3.000 euros son:</w:t>
      </w:r>
      <w:r>
        <w:rPr>
          <w:rFonts w:ascii="Times New Roman" w:eastAsia="Times New Roman" w:hAnsi="Times New Roman" w:cs="Times New Roman"/>
          <w:color w:val="000000"/>
        </w:rPr>
        <w:t xml:space="preserve"> </w:t>
      </w:r>
      <w:r>
        <w:rPr>
          <w:rFonts w:ascii="Open Sans" w:eastAsia="Open Sans" w:hAnsi="Open Sans" w:cs="Open Sans"/>
          <w:color w:val="000000"/>
        </w:rPr>
        <w:t>Donostia - San Sebastián con 7.176 euros/m</w:t>
      </w:r>
      <w:r>
        <w:rPr>
          <w:rFonts w:ascii="Open Sans" w:eastAsia="Open Sans" w:hAnsi="Open Sans" w:cs="Open Sans"/>
          <w:color w:val="000000"/>
          <w:vertAlign w:val="superscript"/>
        </w:rPr>
        <w:t>2</w:t>
      </w:r>
      <w:r>
        <w:rPr>
          <w:rFonts w:ascii="Open Sans" w:eastAsia="Open Sans" w:hAnsi="Open Sans" w:cs="Open Sans"/>
          <w:color w:val="000000"/>
        </w:rPr>
        <w:t>, Madrid capital con 6.585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5.434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5.159 euros/m</w:t>
      </w:r>
      <w:r>
        <w:rPr>
          <w:rFonts w:ascii="Open Sans" w:eastAsia="Open Sans" w:hAnsi="Open Sans" w:cs="Open Sans"/>
          <w:color w:val="000000"/>
          <w:vertAlign w:val="superscript"/>
        </w:rPr>
        <w:t>2</w:t>
      </w:r>
      <w:r>
        <w:rPr>
          <w:rFonts w:ascii="Open Sans" w:eastAsia="Open Sans" w:hAnsi="Open Sans" w:cs="Open Sans"/>
          <w:color w:val="000000"/>
        </w:rPr>
        <w:t>, Málaga capital con 4.253 euros/m</w:t>
      </w:r>
      <w:r>
        <w:rPr>
          <w:rFonts w:ascii="Open Sans" w:eastAsia="Open Sans" w:hAnsi="Open Sans" w:cs="Open Sans"/>
          <w:color w:val="000000"/>
          <w:vertAlign w:val="superscript"/>
        </w:rPr>
        <w:t>2</w:t>
      </w:r>
      <w:r>
        <w:rPr>
          <w:rFonts w:ascii="Open Sans" w:eastAsia="Open Sans" w:hAnsi="Open Sans" w:cs="Open Sans"/>
          <w:color w:val="000000"/>
        </w:rPr>
        <w:t>, Bilbao con 3.942 euros/m</w:t>
      </w:r>
      <w:r>
        <w:rPr>
          <w:rFonts w:ascii="Open Sans" w:eastAsia="Open Sans" w:hAnsi="Open Sans" w:cs="Open Sans"/>
          <w:color w:val="000000"/>
          <w:vertAlign w:val="superscript"/>
        </w:rPr>
        <w:t>2</w:t>
      </w:r>
      <w:r>
        <w:rPr>
          <w:rFonts w:ascii="Open Sans" w:eastAsia="Open Sans" w:hAnsi="Open Sans" w:cs="Open Sans"/>
          <w:color w:val="000000"/>
        </w:rPr>
        <w:t>, Valencia capital con 3.570 euros/m</w:t>
      </w:r>
      <w:r>
        <w:rPr>
          <w:rFonts w:ascii="Open Sans" w:eastAsia="Open Sans" w:hAnsi="Open Sans" w:cs="Open Sans"/>
          <w:color w:val="000000"/>
          <w:vertAlign w:val="superscript"/>
        </w:rPr>
        <w:t>2</w:t>
      </w:r>
      <w:r>
        <w:rPr>
          <w:rFonts w:ascii="Open Sans" w:eastAsia="Open Sans" w:hAnsi="Open Sans" w:cs="Open Sans"/>
          <w:color w:val="000000"/>
        </w:rPr>
        <w:t>, A Coruña capital con 3.502 euros/m</w:t>
      </w:r>
      <w:r>
        <w:rPr>
          <w:rFonts w:ascii="Open Sans" w:eastAsia="Open Sans" w:hAnsi="Open Sans" w:cs="Open Sans"/>
          <w:color w:val="000000"/>
          <w:vertAlign w:val="superscript"/>
        </w:rPr>
        <w:t>2</w:t>
      </w:r>
      <w:r>
        <w:rPr>
          <w:rFonts w:ascii="Open Sans" w:eastAsia="Open Sans" w:hAnsi="Open Sans" w:cs="Open Sans"/>
          <w:color w:val="000000"/>
        </w:rPr>
        <w:t>, Cádiz capital con 3.274 euros/m</w:t>
      </w:r>
      <w:r>
        <w:rPr>
          <w:rFonts w:ascii="Open Sans" w:eastAsia="Open Sans" w:hAnsi="Open Sans" w:cs="Open Sans"/>
          <w:color w:val="000000"/>
          <w:vertAlign w:val="superscript"/>
        </w:rPr>
        <w:t>2</w:t>
      </w:r>
      <w:r>
        <w:rPr>
          <w:rFonts w:ascii="Open Sans" w:eastAsia="Open Sans" w:hAnsi="Open Sans" w:cs="Open Sans"/>
          <w:color w:val="000000"/>
        </w:rPr>
        <w:t>, Pamplona / Iruña con 3.245 euros/m</w:t>
      </w:r>
      <w:r>
        <w:rPr>
          <w:rFonts w:ascii="Open Sans" w:eastAsia="Open Sans" w:hAnsi="Open Sans" w:cs="Open Sans"/>
          <w:color w:val="000000"/>
          <w:vertAlign w:val="superscript"/>
        </w:rPr>
        <w:t>2</w:t>
      </w:r>
      <w:r>
        <w:rPr>
          <w:rFonts w:ascii="Open Sans" w:eastAsia="Open Sans" w:hAnsi="Open Sans" w:cs="Open Sans"/>
          <w:color w:val="000000"/>
        </w:rPr>
        <w:t>, Vitoria - Gasteiz con 3.232 euros/m</w:t>
      </w:r>
      <w:r>
        <w:rPr>
          <w:rFonts w:ascii="Open Sans" w:eastAsia="Open Sans" w:hAnsi="Open Sans" w:cs="Open Sans"/>
          <w:color w:val="000000"/>
          <w:vertAlign w:val="superscript"/>
        </w:rPr>
        <w:t>2</w:t>
      </w:r>
      <w:r>
        <w:rPr>
          <w:rFonts w:ascii="Open Sans" w:eastAsia="Open Sans" w:hAnsi="Open Sans" w:cs="Open Sans"/>
          <w:color w:val="000000"/>
        </w:rPr>
        <w:t>, Las Palmas de Gran Canaria con 3.153 euros/m</w:t>
      </w:r>
      <w:r>
        <w:rPr>
          <w:rFonts w:ascii="Open Sans" w:eastAsia="Open Sans" w:hAnsi="Open Sans" w:cs="Open Sans"/>
          <w:color w:val="000000"/>
          <w:vertAlign w:val="superscript"/>
        </w:rPr>
        <w:t>2</w:t>
      </w:r>
      <w:r>
        <w:rPr>
          <w:rFonts w:ascii="Open Sans" w:eastAsia="Open Sans" w:hAnsi="Open Sans" w:cs="Open Sans"/>
          <w:color w:val="000000"/>
        </w:rPr>
        <w:t>, Santander con 3.016 euros/m</w:t>
      </w:r>
      <w:r>
        <w:rPr>
          <w:rFonts w:ascii="Open Sans" w:eastAsia="Open Sans" w:hAnsi="Open Sans" w:cs="Open Sans"/>
          <w:color w:val="000000"/>
          <w:vertAlign w:val="superscript"/>
        </w:rPr>
        <w:t>2</w:t>
      </w:r>
      <w:r>
        <w:rPr>
          <w:rFonts w:ascii="Open Sans" w:eastAsia="Open Sans" w:hAnsi="Open Sans" w:cs="Open Sans"/>
          <w:color w:val="000000"/>
        </w:rPr>
        <w:t xml:space="preserve"> y Girona capital con 3.002 euros/m</w:t>
      </w:r>
      <w:r>
        <w:rPr>
          <w:rFonts w:ascii="Open Sans" w:eastAsia="Open Sans" w:hAnsi="Open Sans" w:cs="Open Sans"/>
          <w:color w:val="000000"/>
          <w:vertAlign w:val="superscript"/>
        </w:rPr>
        <w:t>2</w:t>
      </w:r>
      <w:r>
        <w:rPr>
          <w:rFonts w:ascii="Open Sans" w:eastAsia="Open Sans" w:hAnsi="Open Sans" w:cs="Open Sans"/>
          <w:color w:val="000000"/>
        </w:rPr>
        <w:t>. Por otro lado, la capital con el precio medio más económico es Zamora con 1.504 euros el metro cuadrado.</w:t>
      </w:r>
    </w:p>
    <w:p w14:paraId="129EC0D5" w14:textId="77777777" w:rsidR="00BB63E6" w:rsidRDefault="00BB63E6">
      <w:pPr>
        <w:pBdr>
          <w:top w:val="nil"/>
          <w:left w:val="nil"/>
          <w:bottom w:val="nil"/>
          <w:right w:val="nil"/>
          <w:between w:val="nil"/>
        </w:pBdr>
        <w:spacing w:before="280" w:after="280" w:line="276" w:lineRule="auto"/>
        <w:jc w:val="both"/>
        <w:rPr>
          <w:rFonts w:ascii="Open Sans" w:eastAsia="Open Sans" w:hAnsi="Open Sans" w:cs="Open Sans"/>
          <w:b/>
          <w:bCs/>
          <w:color w:val="000000"/>
        </w:rPr>
      </w:pPr>
    </w:p>
    <w:p w14:paraId="6F587448" w14:textId="77777777" w:rsidR="00BB63E6" w:rsidRDefault="00BB63E6">
      <w:pPr>
        <w:pBdr>
          <w:top w:val="nil"/>
          <w:left w:val="nil"/>
          <w:bottom w:val="nil"/>
          <w:right w:val="nil"/>
          <w:between w:val="nil"/>
        </w:pBdr>
        <w:spacing w:before="280" w:after="280" w:line="276" w:lineRule="auto"/>
        <w:jc w:val="both"/>
        <w:rPr>
          <w:rFonts w:ascii="Open Sans" w:eastAsia="Open Sans" w:hAnsi="Open Sans" w:cs="Open Sans"/>
          <w:b/>
          <w:bCs/>
          <w:color w:val="000000"/>
        </w:rPr>
      </w:pPr>
    </w:p>
    <w:p w14:paraId="2F71E43F" w14:textId="77777777" w:rsidR="00BB63E6"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Capitales de provincias de mayor a menor incremento interanual</w:t>
      </w: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BB63E6" w14:paraId="3B92EE56" w14:textId="77777777" w:rsidTr="00BB63E6">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F4E028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2EC4C7DF" w14:textId="77777777" w:rsidR="00BB63E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4E347806"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4DED58FE"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559" w:type="dxa"/>
            <w:vAlign w:val="center"/>
          </w:tcPr>
          <w:p w14:paraId="257BE7CF"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2" w:type="dxa"/>
            <w:vAlign w:val="center"/>
          </w:tcPr>
          <w:p w14:paraId="1D78BA61"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BB63E6" w14:paraId="6265A94C"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CE1D9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268" w:type="dxa"/>
            <w:vAlign w:val="bottom"/>
          </w:tcPr>
          <w:p w14:paraId="1451836C"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984" w:type="dxa"/>
            <w:vAlign w:val="bottom"/>
          </w:tcPr>
          <w:p w14:paraId="162B72B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1.773 €</w:t>
            </w:r>
          </w:p>
        </w:tc>
        <w:tc>
          <w:tcPr>
            <w:tcW w:w="1559" w:type="dxa"/>
            <w:vAlign w:val="bottom"/>
          </w:tcPr>
          <w:p w14:paraId="1BDDB8D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692" w:type="dxa"/>
            <w:vAlign w:val="bottom"/>
          </w:tcPr>
          <w:p w14:paraId="240802F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w:t>
            </w:r>
          </w:p>
        </w:tc>
      </w:tr>
      <w:tr w:rsidR="00BB63E6" w14:paraId="45A8446C"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1CA8F7"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268" w:type="dxa"/>
            <w:vAlign w:val="bottom"/>
          </w:tcPr>
          <w:p w14:paraId="738AFC32"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35F9FCB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1.744 €</w:t>
            </w:r>
          </w:p>
        </w:tc>
        <w:tc>
          <w:tcPr>
            <w:tcW w:w="1559" w:type="dxa"/>
            <w:vAlign w:val="bottom"/>
          </w:tcPr>
          <w:p w14:paraId="5261616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692" w:type="dxa"/>
            <w:vAlign w:val="bottom"/>
          </w:tcPr>
          <w:p w14:paraId="7CE3AE7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23,2%</w:t>
            </w:r>
          </w:p>
        </w:tc>
      </w:tr>
      <w:tr w:rsidR="00BB63E6" w14:paraId="76AD68A4"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55CA8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6D48BC4B"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1A6C7C1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3.502 €</w:t>
            </w:r>
          </w:p>
        </w:tc>
        <w:tc>
          <w:tcPr>
            <w:tcW w:w="1559" w:type="dxa"/>
            <w:vAlign w:val="bottom"/>
          </w:tcPr>
          <w:p w14:paraId="4EE2298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692" w:type="dxa"/>
            <w:vAlign w:val="bottom"/>
          </w:tcPr>
          <w:p w14:paraId="55609E8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22,6%</w:t>
            </w:r>
          </w:p>
        </w:tc>
      </w:tr>
      <w:tr w:rsidR="00BB63E6" w14:paraId="5A0171F1"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945B1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268" w:type="dxa"/>
            <w:vAlign w:val="bottom"/>
          </w:tcPr>
          <w:p w14:paraId="5777FAA4"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30D74BB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2.076 €</w:t>
            </w:r>
          </w:p>
        </w:tc>
        <w:tc>
          <w:tcPr>
            <w:tcW w:w="1559" w:type="dxa"/>
            <w:vAlign w:val="bottom"/>
          </w:tcPr>
          <w:p w14:paraId="4E80285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692" w:type="dxa"/>
            <w:vAlign w:val="bottom"/>
          </w:tcPr>
          <w:p w14:paraId="25982CF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22,3%</w:t>
            </w:r>
          </w:p>
        </w:tc>
      </w:tr>
      <w:tr w:rsidR="00BB63E6" w14:paraId="6A87D1E3"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7D1A9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268" w:type="dxa"/>
            <w:vAlign w:val="bottom"/>
          </w:tcPr>
          <w:p w14:paraId="4E711BB8"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6441430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2.385 €</w:t>
            </w:r>
          </w:p>
        </w:tc>
        <w:tc>
          <w:tcPr>
            <w:tcW w:w="1559" w:type="dxa"/>
            <w:vAlign w:val="bottom"/>
          </w:tcPr>
          <w:p w14:paraId="36B52D93" w14:textId="77777777" w:rsidR="00BB63E6" w:rsidRDefault="00BB63E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692" w:type="dxa"/>
            <w:vAlign w:val="bottom"/>
          </w:tcPr>
          <w:p w14:paraId="5FA2258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21,7%</w:t>
            </w:r>
          </w:p>
        </w:tc>
      </w:tr>
      <w:tr w:rsidR="00BB63E6" w14:paraId="6251A7B7"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8BE3B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268" w:type="dxa"/>
            <w:vAlign w:val="bottom"/>
          </w:tcPr>
          <w:p w14:paraId="4CAC56D9"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0A8C9B7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2.854 €</w:t>
            </w:r>
          </w:p>
        </w:tc>
        <w:tc>
          <w:tcPr>
            <w:tcW w:w="1559" w:type="dxa"/>
            <w:vAlign w:val="bottom"/>
          </w:tcPr>
          <w:p w14:paraId="4F35463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49D3EDA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21,7%</w:t>
            </w:r>
          </w:p>
        </w:tc>
      </w:tr>
      <w:tr w:rsidR="00BB63E6" w14:paraId="230CCD76"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9BF537"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268" w:type="dxa"/>
            <w:vAlign w:val="bottom"/>
          </w:tcPr>
          <w:p w14:paraId="071B21BD"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36EA12B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2.143 €</w:t>
            </w:r>
          </w:p>
        </w:tc>
        <w:tc>
          <w:tcPr>
            <w:tcW w:w="1559" w:type="dxa"/>
            <w:vAlign w:val="bottom"/>
          </w:tcPr>
          <w:p w14:paraId="4CDD0C7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5734E39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20,1%</w:t>
            </w:r>
          </w:p>
        </w:tc>
      </w:tr>
      <w:tr w:rsidR="00BB63E6" w14:paraId="5A95C7A6"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32F00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662EECF2"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3144E6C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1.709 €</w:t>
            </w:r>
          </w:p>
        </w:tc>
        <w:tc>
          <w:tcPr>
            <w:tcW w:w="1559" w:type="dxa"/>
            <w:vAlign w:val="bottom"/>
          </w:tcPr>
          <w:p w14:paraId="3B56BC4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692" w:type="dxa"/>
            <w:vAlign w:val="bottom"/>
          </w:tcPr>
          <w:p w14:paraId="0981FB6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19,9%</w:t>
            </w:r>
          </w:p>
        </w:tc>
      </w:tr>
      <w:tr w:rsidR="00BB63E6" w14:paraId="227751A4"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191E7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268" w:type="dxa"/>
            <w:vAlign w:val="bottom"/>
          </w:tcPr>
          <w:p w14:paraId="41B2C267"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01D8B6F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2.440 €</w:t>
            </w:r>
          </w:p>
        </w:tc>
        <w:tc>
          <w:tcPr>
            <w:tcW w:w="1559" w:type="dxa"/>
            <w:vAlign w:val="bottom"/>
          </w:tcPr>
          <w:p w14:paraId="71F021D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244FBFA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18,5%</w:t>
            </w:r>
          </w:p>
        </w:tc>
      </w:tr>
      <w:tr w:rsidR="00BB63E6" w14:paraId="714E4D80"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83C55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268" w:type="dxa"/>
            <w:vAlign w:val="bottom"/>
          </w:tcPr>
          <w:p w14:paraId="183750E3"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1D26CE9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1.917 €</w:t>
            </w:r>
          </w:p>
        </w:tc>
        <w:tc>
          <w:tcPr>
            <w:tcW w:w="1559" w:type="dxa"/>
            <w:vAlign w:val="bottom"/>
          </w:tcPr>
          <w:p w14:paraId="74D10EB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692" w:type="dxa"/>
            <w:vAlign w:val="bottom"/>
          </w:tcPr>
          <w:p w14:paraId="132E465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18,1%</w:t>
            </w:r>
          </w:p>
        </w:tc>
      </w:tr>
      <w:tr w:rsidR="00BB63E6" w14:paraId="7D42267D"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00210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740021B8"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441A8CA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3.153 €</w:t>
            </w:r>
          </w:p>
        </w:tc>
        <w:tc>
          <w:tcPr>
            <w:tcW w:w="1559" w:type="dxa"/>
            <w:vAlign w:val="bottom"/>
          </w:tcPr>
          <w:p w14:paraId="4993940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692" w:type="dxa"/>
            <w:vAlign w:val="bottom"/>
          </w:tcPr>
          <w:p w14:paraId="3DA1A4F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17,1%</w:t>
            </w:r>
          </w:p>
        </w:tc>
      </w:tr>
      <w:tr w:rsidR="00BB63E6" w14:paraId="0084F4F2"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CB814B"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268" w:type="dxa"/>
            <w:vAlign w:val="bottom"/>
          </w:tcPr>
          <w:p w14:paraId="332C0C10"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3BD7985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2.590 €</w:t>
            </w:r>
          </w:p>
        </w:tc>
        <w:tc>
          <w:tcPr>
            <w:tcW w:w="1559" w:type="dxa"/>
            <w:vAlign w:val="bottom"/>
          </w:tcPr>
          <w:p w14:paraId="58FCAD0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692" w:type="dxa"/>
            <w:vAlign w:val="bottom"/>
          </w:tcPr>
          <w:p w14:paraId="7086DAC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16,3%</w:t>
            </w:r>
          </w:p>
        </w:tc>
      </w:tr>
      <w:tr w:rsidR="00BB63E6" w14:paraId="4EDBA472"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7B58EC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268" w:type="dxa"/>
            <w:vAlign w:val="bottom"/>
          </w:tcPr>
          <w:p w14:paraId="5B3432BA"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7C8AF04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2.029 €</w:t>
            </w:r>
          </w:p>
        </w:tc>
        <w:tc>
          <w:tcPr>
            <w:tcW w:w="1559" w:type="dxa"/>
            <w:vAlign w:val="bottom"/>
          </w:tcPr>
          <w:p w14:paraId="792FFEA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4149FF8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16,1%</w:t>
            </w:r>
          </w:p>
        </w:tc>
      </w:tr>
      <w:tr w:rsidR="00BB63E6" w14:paraId="773B6587"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40862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268" w:type="dxa"/>
            <w:vAlign w:val="bottom"/>
          </w:tcPr>
          <w:p w14:paraId="5568413E"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1B9BB9A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1.969 €</w:t>
            </w:r>
          </w:p>
        </w:tc>
        <w:tc>
          <w:tcPr>
            <w:tcW w:w="1559" w:type="dxa"/>
            <w:vAlign w:val="bottom"/>
          </w:tcPr>
          <w:p w14:paraId="402DCBC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37EF6D2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15,4%</w:t>
            </w:r>
          </w:p>
        </w:tc>
      </w:tr>
      <w:tr w:rsidR="00BB63E6" w14:paraId="404D91FD"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CB2EF9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379F58BD"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771C2A6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3.570 €</w:t>
            </w:r>
          </w:p>
        </w:tc>
        <w:tc>
          <w:tcPr>
            <w:tcW w:w="1559" w:type="dxa"/>
            <w:vAlign w:val="bottom"/>
          </w:tcPr>
          <w:p w14:paraId="0E9429F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651A62C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15,1%</w:t>
            </w:r>
          </w:p>
        </w:tc>
      </w:tr>
      <w:tr w:rsidR="00BB63E6" w14:paraId="4ECAF7F4"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E67B3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7712B550"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23C2BC7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1.871 €</w:t>
            </w:r>
          </w:p>
        </w:tc>
        <w:tc>
          <w:tcPr>
            <w:tcW w:w="1559" w:type="dxa"/>
            <w:vAlign w:val="bottom"/>
          </w:tcPr>
          <w:p w14:paraId="00C50B8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225916C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13,8%</w:t>
            </w:r>
          </w:p>
        </w:tc>
      </w:tr>
      <w:tr w:rsidR="00BB63E6" w14:paraId="6ADC08B8"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972B0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268" w:type="dxa"/>
            <w:vAlign w:val="bottom"/>
          </w:tcPr>
          <w:p w14:paraId="515BD7AF"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4B6E2A5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1.724 €</w:t>
            </w:r>
          </w:p>
        </w:tc>
        <w:tc>
          <w:tcPr>
            <w:tcW w:w="1559" w:type="dxa"/>
            <w:vAlign w:val="bottom"/>
          </w:tcPr>
          <w:p w14:paraId="5C5C312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692" w:type="dxa"/>
            <w:vAlign w:val="bottom"/>
          </w:tcPr>
          <w:p w14:paraId="57D6EA0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13,4%</w:t>
            </w:r>
          </w:p>
        </w:tc>
      </w:tr>
      <w:tr w:rsidR="00BB63E6" w14:paraId="4CCBA421"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476B5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268" w:type="dxa"/>
            <w:vAlign w:val="bottom"/>
          </w:tcPr>
          <w:p w14:paraId="4CECA844"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2E00082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2.521 €</w:t>
            </w:r>
          </w:p>
        </w:tc>
        <w:tc>
          <w:tcPr>
            <w:tcW w:w="1559" w:type="dxa"/>
            <w:vAlign w:val="bottom"/>
          </w:tcPr>
          <w:p w14:paraId="5244A22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2E0D3C3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13,4%</w:t>
            </w:r>
          </w:p>
        </w:tc>
      </w:tr>
      <w:tr w:rsidR="00BB63E6" w14:paraId="5E0AE477"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B646EE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268" w:type="dxa"/>
            <w:vAlign w:val="bottom"/>
          </w:tcPr>
          <w:p w14:paraId="16FEDFB2"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4AD8725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1.916 €</w:t>
            </w:r>
          </w:p>
        </w:tc>
        <w:tc>
          <w:tcPr>
            <w:tcW w:w="1559" w:type="dxa"/>
            <w:vAlign w:val="bottom"/>
          </w:tcPr>
          <w:p w14:paraId="6CA7B37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692" w:type="dxa"/>
            <w:vAlign w:val="bottom"/>
          </w:tcPr>
          <w:p w14:paraId="789DEFF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12,9%</w:t>
            </w:r>
          </w:p>
        </w:tc>
      </w:tr>
      <w:tr w:rsidR="00BB63E6" w14:paraId="0FED6515"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EB831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268" w:type="dxa"/>
            <w:vAlign w:val="bottom"/>
          </w:tcPr>
          <w:p w14:paraId="00101B37"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04F0C00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2.343 €</w:t>
            </w:r>
          </w:p>
        </w:tc>
        <w:tc>
          <w:tcPr>
            <w:tcW w:w="1559" w:type="dxa"/>
            <w:vAlign w:val="bottom"/>
          </w:tcPr>
          <w:p w14:paraId="2302DAF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92" w:type="dxa"/>
            <w:vAlign w:val="bottom"/>
          </w:tcPr>
          <w:p w14:paraId="3F969C0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12,8%</w:t>
            </w:r>
          </w:p>
        </w:tc>
      </w:tr>
      <w:tr w:rsidR="00BB63E6" w14:paraId="0DB88606"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4B9F9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6D36FA5D"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712FA1B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3.016 €</w:t>
            </w:r>
          </w:p>
        </w:tc>
        <w:tc>
          <w:tcPr>
            <w:tcW w:w="1559" w:type="dxa"/>
            <w:vAlign w:val="bottom"/>
          </w:tcPr>
          <w:p w14:paraId="4B5AF05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c>
          <w:tcPr>
            <w:tcW w:w="1692" w:type="dxa"/>
            <w:vAlign w:val="bottom"/>
          </w:tcPr>
          <w:p w14:paraId="7AC25EB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12,6%</w:t>
            </w:r>
          </w:p>
        </w:tc>
      </w:tr>
      <w:tr w:rsidR="00BB63E6" w14:paraId="67EB4157"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FA4B4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6F25C37E"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16C9B2A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6.585 €</w:t>
            </w:r>
          </w:p>
        </w:tc>
        <w:tc>
          <w:tcPr>
            <w:tcW w:w="1559" w:type="dxa"/>
            <w:vAlign w:val="bottom"/>
          </w:tcPr>
          <w:p w14:paraId="52D8AB6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692" w:type="dxa"/>
            <w:vAlign w:val="bottom"/>
          </w:tcPr>
          <w:p w14:paraId="5D357C3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12,6%</w:t>
            </w:r>
          </w:p>
        </w:tc>
      </w:tr>
      <w:tr w:rsidR="00BB63E6" w14:paraId="40EDFB9D"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368E0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268" w:type="dxa"/>
            <w:vAlign w:val="bottom"/>
          </w:tcPr>
          <w:p w14:paraId="12F2AFAE"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034A6E9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2.394 €</w:t>
            </w:r>
          </w:p>
        </w:tc>
        <w:tc>
          <w:tcPr>
            <w:tcW w:w="1559" w:type="dxa"/>
            <w:vAlign w:val="bottom"/>
          </w:tcPr>
          <w:p w14:paraId="5981828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58794F8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12,6%</w:t>
            </w:r>
          </w:p>
        </w:tc>
      </w:tr>
      <w:tr w:rsidR="00BB63E6" w14:paraId="6BAAE7AB"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DA87A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268" w:type="dxa"/>
            <w:vAlign w:val="bottom"/>
          </w:tcPr>
          <w:p w14:paraId="4E922446"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578663C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2.361 €</w:t>
            </w:r>
          </w:p>
        </w:tc>
        <w:tc>
          <w:tcPr>
            <w:tcW w:w="1559" w:type="dxa"/>
            <w:vAlign w:val="bottom"/>
          </w:tcPr>
          <w:p w14:paraId="59AE94A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692" w:type="dxa"/>
            <w:vAlign w:val="bottom"/>
          </w:tcPr>
          <w:p w14:paraId="198A59F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12,2%</w:t>
            </w:r>
          </w:p>
        </w:tc>
      </w:tr>
      <w:tr w:rsidR="00BB63E6" w14:paraId="2BEDA532"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86842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4187CD51"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11DC626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2.672 €</w:t>
            </w:r>
          </w:p>
        </w:tc>
        <w:tc>
          <w:tcPr>
            <w:tcW w:w="1559" w:type="dxa"/>
            <w:vAlign w:val="bottom"/>
          </w:tcPr>
          <w:p w14:paraId="4EB822A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0915FF3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11,9%</w:t>
            </w:r>
          </w:p>
        </w:tc>
      </w:tr>
      <w:tr w:rsidR="00BB63E6" w14:paraId="1DD44232"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E7476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01AC1FC1"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434AEBF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2.066 €</w:t>
            </w:r>
          </w:p>
        </w:tc>
        <w:tc>
          <w:tcPr>
            <w:tcW w:w="1559" w:type="dxa"/>
            <w:vAlign w:val="bottom"/>
          </w:tcPr>
          <w:p w14:paraId="2C4ADC5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92" w:type="dxa"/>
            <w:vAlign w:val="bottom"/>
          </w:tcPr>
          <w:p w14:paraId="4EF4BBC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11,3%</w:t>
            </w:r>
          </w:p>
        </w:tc>
      </w:tr>
      <w:tr w:rsidR="00BB63E6" w14:paraId="59AD77B4"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2FC328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268" w:type="dxa"/>
            <w:vAlign w:val="bottom"/>
          </w:tcPr>
          <w:p w14:paraId="502B785A"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2EB4F2B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2.085 €</w:t>
            </w:r>
          </w:p>
        </w:tc>
        <w:tc>
          <w:tcPr>
            <w:tcW w:w="1559" w:type="dxa"/>
            <w:vAlign w:val="bottom"/>
          </w:tcPr>
          <w:p w14:paraId="6ED0C83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5A9D255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11,0%</w:t>
            </w:r>
          </w:p>
        </w:tc>
      </w:tr>
      <w:tr w:rsidR="00BB63E6" w14:paraId="6830F08C"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D6281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268" w:type="dxa"/>
            <w:vAlign w:val="bottom"/>
          </w:tcPr>
          <w:p w14:paraId="28CC727D"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4650FC8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2.445 €</w:t>
            </w:r>
          </w:p>
        </w:tc>
        <w:tc>
          <w:tcPr>
            <w:tcW w:w="1559" w:type="dxa"/>
            <w:vAlign w:val="bottom"/>
          </w:tcPr>
          <w:p w14:paraId="2BF5909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06B8521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10,8%</w:t>
            </w:r>
          </w:p>
        </w:tc>
      </w:tr>
      <w:tr w:rsidR="00BB63E6" w14:paraId="39C97213"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8928A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268" w:type="dxa"/>
            <w:vAlign w:val="bottom"/>
          </w:tcPr>
          <w:p w14:paraId="00E9DAA0"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2674EFF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2.846 €</w:t>
            </w:r>
          </w:p>
        </w:tc>
        <w:tc>
          <w:tcPr>
            <w:tcW w:w="1559" w:type="dxa"/>
            <w:vAlign w:val="bottom"/>
          </w:tcPr>
          <w:p w14:paraId="6F258C6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0E89067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10,6%</w:t>
            </w:r>
          </w:p>
        </w:tc>
      </w:tr>
      <w:tr w:rsidR="00BB63E6" w14:paraId="2B91CD73"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2A05E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268" w:type="dxa"/>
            <w:vAlign w:val="bottom"/>
          </w:tcPr>
          <w:p w14:paraId="6730BE23"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53FB3B6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3.232 €</w:t>
            </w:r>
          </w:p>
        </w:tc>
        <w:tc>
          <w:tcPr>
            <w:tcW w:w="1559" w:type="dxa"/>
            <w:vAlign w:val="bottom"/>
          </w:tcPr>
          <w:p w14:paraId="6822BBD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692" w:type="dxa"/>
            <w:vAlign w:val="bottom"/>
          </w:tcPr>
          <w:p w14:paraId="178D877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10,4%</w:t>
            </w:r>
          </w:p>
        </w:tc>
      </w:tr>
      <w:tr w:rsidR="00BB63E6" w14:paraId="55B56C3A"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836EA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268" w:type="dxa"/>
            <w:vAlign w:val="bottom"/>
          </w:tcPr>
          <w:p w14:paraId="3437AC4B"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56D98D9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1.813 €</w:t>
            </w:r>
          </w:p>
        </w:tc>
        <w:tc>
          <w:tcPr>
            <w:tcW w:w="1559" w:type="dxa"/>
            <w:vAlign w:val="bottom"/>
          </w:tcPr>
          <w:p w14:paraId="731AAE1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w:t>
            </w:r>
          </w:p>
        </w:tc>
        <w:tc>
          <w:tcPr>
            <w:tcW w:w="1692" w:type="dxa"/>
            <w:vAlign w:val="bottom"/>
          </w:tcPr>
          <w:p w14:paraId="6196152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10,2%</w:t>
            </w:r>
          </w:p>
        </w:tc>
      </w:tr>
      <w:tr w:rsidR="00BB63E6" w14:paraId="1474E7B7"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05D3B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76983433"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48177A1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3.002 €</w:t>
            </w:r>
          </w:p>
        </w:tc>
        <w:tc>
          <w:tcPr>
            <w:tcW w:w="1559" w:type="dxa"/>
            <w:vAlign w:val="bottom"/>
          </w:tcPr>
          <w:p w14:paraId="47B4B8D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692" w:type="dxa"/>
            <w:vAlign w:val="bottom"/>
          </w:tcPr>
          <w:p w14:paraId="7B234E0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9,6%</w:t>
            </w:r>
          </w:p>
        </w:tc>
      </w:tr>
      <w:tr w:rsidR="00BB63E6" w14:paraId="620DA22F"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EA1F7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268" w:type="dxa"/>
            <w:vAlign w:val="bottom"/>
          </w:tcPr>
          <w:p w14:paraId="27C6C73E"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0FD65E4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2.336 €</w:t>
            </w:r>
          </w:p>
        </w:tc>
        <w:tc>
          <w:tcPr>
            <w:tcW w:w="1559" w:type="dxa"/>
            <w:vAlign w:val="bottom"/>
          </w:tcPr>
          <w:p w14:paraId="2DEBB1F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461656D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9,6%</w:t>
            </w:r>
          </w:p>
        </w:tc>
      </w:tr>
      <w:tr w:rsidR="00BB63E6" w14:paraId="4FEED0B1"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13D47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268" w:type="dxa"/>
            <w:vAlign w:val="bottom"/>
          </w:tcPr>
          <w:p w14:paraId="53CBC36F"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4B15551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1.504 €</w:t>
            </w:r>
          </w:p>
        </w:tc>
        <w:tc>
          <w:tcPr>
            <w:tcW w:w="1559" w:type="dxa"/>
            <w:vAlign w:val="bottom"/>
          </w:tcPr>
          <w:p w14:paraId="0C6F009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692" w:type="dxa"/>
            <w:vAlign w:val="bottom"/>
          </w:tcPr>
          <w:p w14:paraId="19759C0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9,5%</w:t>
            </w:r>
          </w:p>
        </w:tc>
      </w:tr>
      <w:tr w:rsidR="00BB63E6" w14:paraId="7189B00A"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C8F99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268" w:type="dxa"/>
            <w:vAlign w:val="bottom"/>
          </w:tcPr>
          <w:p w14:paraId="141B9675"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0167CB5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1.792 €</w:t>
            </w:r>
          </w:p>
        </w:tc>
        <w:tc>
          <w:tcPr>
            <w:tcW w:w="1559" w:type="dxa"/>
            <w:vAlign w:val="bottom"/>
          </w:tcPr>
          <w:p w14:paraId="05F185DB" w14:textId="77777777" w:rsidR="00BB63E6" w:rsidRDefault="00BB63E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692" w:type="dxa"/>
            <w:vAlign w:val="bottom"/>
          </w:tcPr>
          <w:p w14:paraId="1DA8D89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9,4%</w:t>
            </w:r>
          </w:p>
        </w:tc>
      </w:tr>
      <w:tr w:rsidR="00BB63E6" w14:paraId="02098835"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335D5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2F91A668"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01A9B3A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5.434 €</w:t>
            </w:r>
          </w:p>
        </w:tc>
        <w:tc>
          <w:tcPr>
            <w:tcW w:w="1559" w:type="dxa"/>
            <w:vAlign w:val="bottom"/>
          </w:tcPr>
          <w:p w14:paraId="665DFFA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692" w:type="dxa"/>
            <w:vAlign w:val="bottom"/>
          </w:tcPr>
          <w:p w14:paraId="3F24CE4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9,4%</w:t>
            </w:r>
          </w:p>
        </w:tc>
      </w:tr>
      <w:tr w:rsidR="00BB63E6" w14:paraId="6D67FDD5"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BAFEA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Granada</w:t>
            </w:r>
          </w:p>
        </w:tc>
        <w:tc>
          <w:tcPr>
            <w:tcW w:w="2268" w:type="dxa"/>
            <w:vAlign w:val="bottom"/>
          </w:tcPr>
          <w:p w14:paraId="1AC7CBEC"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7DE6EE4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2.935 €</w:t>
            </w:r>
          </w:p>
        </w:tc>
        <w:tc>
          <w:tcPr>
            <w:tcW w:w="1559" w:type="dxa"/>
            <w:vAlign w:val="bottom"/>
          </w:tcPr>
          <w:p w14:paraId="1F4F256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3A5BC38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9,3%</w:t>
            </w:r>
          </w:p>
        </w:tc>
      </w:tr>
      <w:tr w:rsidR="00BB63E6" w14:paraId="513FDE20"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81C9A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13217CC3"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06BBF2B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1.716 €</w:t>
            </w:r>
          </w:p>
        </w:tc>
        <w:tc>
          <w:tcPr>
            <w:tcW w:w="1559" w:type="dxa"/>
            <w:vAlign w:val="bottom"/>
          </w:tcPr>
          <w:p w14:paraId="735A76C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692" w:type="dxa"/>
            <w:vAlign w:val="bottom"/>
          </w:tcPr>
          <w:p w14:paraId="708C4BA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9,2%</w:t>
            </w:r>
          </w:p>
        </w:tc>
      </w:tr>
      <w:tr w:rsidR="00BB63E6" w14:paraId="41BC9ECA"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3946F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268" w:type="dxa"/>
            <w:vAlign w:val="bottom"/>
          </w:tcPr>
          <w:p w14:paraId="22646DAA"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01CFD6D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1.859 €</w:t>
            </w:r>
          </w:p>
        </w:tc>
        <w:tc>
          <w:tcPr>
            <w:tcW w:w="1559" w:type="dxa"/>
            <w:vAlign w:val="bottom"/>
          </w:tcPr>
          <w:p w14:paraId="1D72E0C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5B2551B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9,1%</w:t>
            </w:r>
          </w:p>
        </w:tc>
      </w:tr>
      <w:tr w:rsidR="00BB63E6" w14:paraId="31A3D123"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2485E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20318C38"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27DCF4B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7.176 €</w:t>
            </w:r>
          </w:p>
        </w:tc>
        <w:tc>
          <w:tcPr>
            <w:tcW w:w="1559" w:type="dxa"/>
            <w:vAlign w:val="bottom"/>
          </w:tcPr>
          <w:p w14:paraId="62A50F6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714CFD7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8,3%</w:t>
            </w:r>
          </w:p>
        </w:tc>
      </w:tr>
      <w:tr w:rsidR="00BB63E6" w14:paraId="1278B238"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9AF39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268" w:type="dxa"/>
            <w:vAlign w:val="bottom"/>
          </w:tcPr>
          <w:p w14:paraId="777F094B"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5F9479C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4.253 €</w:t>
            </w:r>
          </w:p>
        </w:tc>
        <w:tc>
          <w:tcPr>
            <w:tcW w:w="1559" w:type="dxa"/>
            <w:vAlign w:val="bottom"/>
          </w:tcPr>
          <w:p w14:paraId="5E0FD68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20A5C4B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8,2%</w:t>
            </w:r>
          </w:p>
        </w:tc>
      </w:tr>
      <w:tr w:rsidR="00BB63E6" w14:paraId="48986142"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B59CCF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268" w:type="dxa"/>
            <w:vAlign w:val="bottom"/>
          </w:tcPr>
          <w:p w14:paraId="7F19B3B0"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180F667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3.245 €</w:t>
            </w:r>
          </w:p>
        </w:tc>
        <w:tc>
          <w:tcPr>
            <w:tcW w:w="1559" w:type="dxa"/>
            <w:vAlign w:val="bottom"/>
          </w:tcPr>
          <w:p w14:paraId="21DAC31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692" w:type="dxa"/>
            <w:vAlign w:val="bottom"/>
          </w:tcPr>
          <w:p w14:paraId="607A22D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7,7%</w:t>
            </w:r>
          </w:p>
        </w:tc>
      </w:tr>
      <w:tr w:rsidR="00BB63E6" w14:paraId="4E6CAC92"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D80D2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268" w:type="dxa"/>
            <w:vAlign w:val="bottom"/>
          </w:tcPr>
          <w:p w14:paraId="337E35EA"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0BE71F3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1.689 €</w:t>
            </w:r>
          </w:p>
        </w:tc>
        <w:tc>
          <w:tcPr>
            <w:tcW w:w="1559" w:type="dxa"/>
            <w:vAlign w:val="bottom"/>
          </w:tcPr>
          <w:p w14:paraId="3CA42B5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012047B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6,5%</w:t>
            </w:r>
          </w:p>
        </w:tc>
      </w:tr>
      <w:tr w:rsidR="00BB63E6" w14:paraId="202150BF"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A253C8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418EC92D"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1DC8928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5.159 €</w:t>
            </w:r>
          </w:p>
        </w:tc>
        <w:tc>
          <w:tcPr>
            <w:tcW w:w="1559" w:type="dxa"/>
            <w:vAlign w:val="bottom"/>
          </w:tcPr>
          <w:p w14:paraId="32AADE7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692" w:type="dxa"/>
            <w:vAlign w:val="bottom"/>
          </w:tcPr>
          <w:p w14:paraId="6025AB1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5,3%</w:t>
            </w:r>
          </w:p>
        </w:tc>
      </w:tr>
      <w:tr w:rsidR="00BB63E6" w14:paraId="478C299B"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9237C7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268" w:type="dxa"/>
            <w:vAlign w:val="bottom"/>
          </w:tcPr>
          <w:p w14:paraId="216B9DBB"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388ECC0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3.942 €</w:t>
            </w:r>
          </w:p>
        </w:tc>
        <w:tc>
          <w:tcPr>
            <w:tcW w:w="1559" w:type="dxa"/>
            <w:vAlign w:val="bottom"/>
          </w:tcPr>
          <w:p w14:paraId="5934F74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692" w:type="dxa"/>
            <w:vAlign w:val="bottom"/>
          </w:tcPr>
          <w:p w14:paraId="5FFEA85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4,1%</w:t>
            </w:r>
          </w:p>
        </w:tc>
      </w:tr>
      <w:tr w:rsidR="00BB63E6" w14:paraId="076AD6CD"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724F4A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0FCA803D"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66A6684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2.829 €</w:t>
            </w:r>
          </w:p>
        </w:tc>
        <w:tc>
          <w:tcPr>
            <w:tcW w:w="1559" w:type="dxa"/>
            <w:vAlign w:val="bottom"/>
          </w:tcPr>
          <w:p w14:paraId="18FAFD2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6FCF869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3,6%</w:t>
            </w:r>
          </w:p>
        </w:tc>
      </w:tr>
      <w:tr w:rsidR="00BB63E6" w14:paraId="0408BEA0"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BF33D7"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268" w:type="dxa"/>
            <w:vAlign w:val="bottom"/>
          </w:tcPr>
          <w:p w14:paraId="4A348FE1"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5D807D3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1.638 €</w:t>
            </w:r>
          </w:p>
        </w:tc>
        <w:tc>
          <w:tcPr>
            <w:tcW w:w="1559" w:type="dxa"/>
            <w:vAlign w:val="bottom"/>
          </w:tcPr>
          <w:p w14:paraId="2551401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692" w:type="dxa"/>
            <w:vAlign w:val="bottom"/>
          </w:tcPr>
          <w:p w14:paraId="39155FC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3,5%</w:t>
            </w:r>
          </w:p>
        </w:tc>
      </w:tr>
      <w:tr w:rsidR="00BB63E6" w14:paraId="7FD46A2A"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85A55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4825C530"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Cádiz capital</w:t>
            </w:r>
          </w:p>
        </w:tc>
        <w:tc>
          <w:tcPr>
            <w:tcW w:w="1984" w:type="dxa"/>
            <w:vAlign w:val="bottom"/>
          </w:tcPr>
          <w:p w14:paraId="6C0AAB8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3.274 €</w:t>
            </w:r>
          </w:p>
        </w:tc>
        <w:tc>
          <w:tcPr>
            <w:tcW w:w="1559" w:type="dxa"/>
            <w:vAlign w:val="bottom"/>
          </w:tcPr>
          <w:p w14:paraId="7064871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692" w:type="dxa"/>
            <w:vAlign w:val="bottom"/>
          </w:tcPr>
          <w:p w14:paraId="5B9F0D7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BB63E6" w14:paraId="29008511" w14:textId="77777777" w:rsidTr="00BB63E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F9C89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13912219"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984" w:type="dxa"/>
            <w:vAlign w:val="bottom"/>
          </w:tcPr>
          <w:p w14:paraId="41D5D95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1.766 €</w:t>
            </w:r>
          </w:p>
        </w:tc>
        <w:tc>
          <w:tcPr>
            <w:tcW w:w="1559" w:type="dxa"/>
            <w:vAlign w:val="bottom"/>
          </w:tcPr>
          <w:p w14:paraId="4400E58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c>
          <w:tcPr>
            <w:tcW w:w="1692" w:type="dxa"/>
            <w:vAlign w:val="bottom"/>
          </w:tcPr>
          <w:p w14:paraId="7171777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BB63E6" w14:paraId="0D94F6B4" w14:textId="77777777" w:rsidTr="00BB63E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FDB49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2268" w:type="dxa"/>
            <w:vAlign w:val="bottom"/>
          </w:tcPr>
          <w:p w14:paraId="0706EA44"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1984" w:type="dxa"/>
            <w:vAlign w:val="bottom"/>
          </w:tcPr>
          <w:p w14:paraId="2F55F68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1.824 €</w:t>
            </w:r>
          </w:p>
        </w:tc>
        <w:tc>
          <w:tcPr>
            <w:tcW w:w="1559" w:type="dxa"/>
            <w:vAlign w:val="bottom"/>
          </w:tcPr>
          <w:p w14:paraId="0FDEE831" w14:textId="77777777" w:rsidR="00BB63E6" w:rsidRDefault="00BB63E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c>
          <w:tcPr>
            <w:tcW w:w="1692" w:type="dxa"/>
            <w:vAlign w:val="bottom"/>
          </w:tcPr>
          <w:p w14:paraId="757E692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r>
    </w:tbl>
    <w:p w14:paraId="26C922D8"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w:t>
      </w:r>
    </w:p>
    <w:p w14:paraId="0D4A8EF0" w14:textId="77777777" w:rsidR="00BB63E6" w:rsidRDefault="00000000">
      <w:pPr>
        <w:spacing w:line="276" w:lineRule="auto"/>
        <w:jc w:val="both"/>
        <w:rPr>
          <w:rFonts w:ascii="Open Sans" w:eastAsia="Open Sans" w:hAnsi="Open Sans" w:cs="Open Sans"/>
        </w:rPr>
      </w:pPr>
      <w:r>
        <w:rPr>
          <w:rFonts w:ascii="Open Sans" w:eastAsia="Open Sans" w:hAnsi="Open Sans" w:cs="Open Sans"/>
          <w:color w:val="000000"/>
        </w:rPr>
        <w:t xml:space="preserve">El precio medio de la vivienda de segunda mano sube en el 94% de los 398 municipios con variación interanual analizados </w:t>
      </w:r>
      <w:r>
        <w:rPr>
          <w:rFonts w:ascii="Open Sans" w:eastAsia="Open Sans" w:hAnsi="Open Sans" w:cs="Open Sans"/>
        </w:rPr>
        <w:t xml:space="preserve">por </w:t>
      </w:r>
      <w:hyperlink r:id="rId13">
        <w:r>
          <w:rPr>
            <w:rFonts w:ascii="Open Sans" w:eastAsia="Open Sans" w:hAnsi="Open Sans" w:cs="Open Sans"/>
            <w:color w:val="0000FF"/>
            <w:u w:val="single"/>
          </w:rPr>
          <w:t>Fotocasa</w:t>
        </w:r>
      </w:hyperlink>
      <w:r>
        <w:rPr>
          <w:rFonts w:ascii="Open Sans" w:eastAsia="Open Sans" w:hAnsi="Open Sans" w:cs="Open Sans"/>
        </w:rPr>
        <w:t xml:space="preserve">. En 14 (4%) </w:t>
      </w:r>
      <w:r>
        <w:rPr>
          <w:rFonts w:ascii="Open Sans" w:eastAsia="Open Sans" w:hAnsi="Open Sans" w:cs="Open Sans"/>
          <w:color w:val="000000"/>
        </w:rPr>
        <w:t>de los municipios sube el valor interanual de la vivienda por encima del 40% y son: La Alcaidesa (77,4%</w:t>
      </w:r>
      <w:r>
        <w:rPr>
          <w:rFonts w:ascii="Open Sans" w:eastAsia="Open Sans" w:hAnsi="Open Sans" w:cs="Open Sans"/>
        </w:rPr>
        <w:t xml:space="preserve">), </w:t>
      </w:r>
      <w:r>
        <w:rPr>
          <w:rFonts w:ascii="Open Sans" w:eastAsia="Open Sans" w:hAnsi="Open Sans" w:cs="Open Sans"/>
          <w:color w:val="000000"/>
        </w:rPr>
        <w:t>Bigastro (77,1%</w:t>
      </w:r>
      <w:r>
        <w:rPr>
          <w:rFonts w:ascii="Open Sans" w:eastAsia="Open Sans" w:hAnsi="Open Sans" w:cs="Open Sans"/>
        </w:rPr>
        <w:t xml:space="preserve">), </w:t>
      </w:r>
      <w:r>
        <w:rPr>
          <w:rFonts w:ascii="Open Sans" w:eastAsia="Open Sans" w:hAnsi="Open Sans" w:cs="Open Sans"/>
          <w:color w:val="000000"/>
        </w:rPr>
        <w:t>La Nucia (56,7%</w:t>
      </w:r>
      <w:r>
        <w:rPr>
          <w:rFonts w:ascii="Open Sans" w:eastAsia="Open Sans" w:hAnsi="Open Sans" w:cs="Open Sans"/>
        </w:rPr>
        <w:t xml:space="preserve">), </w:t>
      </w:r>
      <w:r>
        <w:rPr>
          <w:rFonts w:ascii="Open Sans" w:eastAsia="Open Sans" w:hAnsi="Open Sans" w:cs="Open Sans"/>
          <w:color w:val="000000"/>
        </w:rPr>
        <w:t>Vera (54,8%</w:t>
      </w:r>
      <w:r>
        <w:rPr>
          <w:rFonts w:ascii="Open Sans" w:eastAsia="Open Sans" w:hAnsi="Open Sans" w:cs="Open Sans"/>
        </w:rPr>
        <w:t xml:space="preserve">), </w:t>
      </w:r>
      <w:r>
        <w:rPr>
          <w:rFonts w:ascii="Open Sans" w:eastAsia="Open Sans" w:hAnsi="Open Sans" w:cs="Open Sans"/>
          <w:color w:val="000000"/>
        </w:rPr>
        <w:t>San Javier (53,4%</w:t>
      </w:r>
      <w:r>
        <w:rPr>
          <w:rFonts w:ascii="Open Sans" w:eastAsia="Open Sans" w:hAnsi="Open Sans" w:cs="Open Sans"/>
        </w:rPr>
        <w:t xml:space="preserve">), </w:t>
      </w:r>
      <w:r>
        <w:rPr>
          <w:rFonts w:ascii="Open Sans" w:eastAsia="Open Sans" w:hAnsi="Open Sans" w:cs="Open Sans"/>
          <w:color w:val="000000"/>
        </w:rPr>
        <w:t>Los Realejo (45,6%</w:t>
      </w:r>
      <w:r>
        <w:rPr>
          <w:rFonts w:ascii="Open Sans" w:eastAsia="Open Sans" w:hAnsi="Open Sans" w:cs="Open Sans"/>
        </w:rPr>
        <w:t xml:space="preserve">), </w:t>
      </w:r>
      <w:r>
        <w:rPr>
          <w:rFonts w:ascii="Open Sans" w:eastAsia="Open Sans" w:hAnsi="Open Sans" w:cs="Open Sans"/>
          <w:color w:val="000000"/>
        </w:rPr>
        <w:t>Atarfe (45,3%</w:t>
      </w:r>
      <w:r>
        <w:rPr>
          <w:rFonts w:ascii="Open Sans" w:eastAsia="Open Sans" w:hAnsi="Open Sans" w:cs="Open Sans"/>
        </w:rPr>
        <w:t xml:space="preserve">), </w:t>
      </w:r>
      <w:r>
        <w:rPr>
          <w:rFonts w:ascii="Open Sans" w:eastAsia="Open Sans" w:hAnsi="Open Sans" w:cs="Open Sans"/>
          <w:color w:val="000000"/>
        </w:rPr>
        <w:t>Cubelles (41,8%</w:t>
      </w:r>
      <w:r>
        <w:rPr>
          <w:rFonts w:ascii="Open Sans" w:eastAsia="Open Sans" w:hAnsi="Open Sans" w:cs="Open Sans"/>
        </w:rPr>
        <w:t xml:space="preserve">), </w:t>
      </w:r>
      <w:r>
        <w:rPr>
          <w:rFonts w:ascii="Open Sans" w:eastAsia="Open Sans" w:hAnsi="Open Sans" w:cs="Open Sans"/>
          <w:color w:val="000000"/>
        </w:rPr>
        <w:t>Alfafar (41,6%</w:t>
      </w:r>
      <w:r>
        <w:rPr>
          <w:rFonts w:ascii="Open Sans" w:eastAsia="Open Sans" w:hAnsi="Open Sans" w:cs="Open Sans"/>
        </w:rPr>
        <w:t xml:space="preserve">), </w:t>
      </w:r>
      <w:r>
        <w:rPr>
          <w:rFonts w:ascii="Open Sans" w:eastAsia="Open Sans" w:hAnsi="Open Sans" w:cs="Open Sans"/>
          <w:color w:val="000000"/>
        </w:rPr>
        <w:t>Xàtiva (41,1%</w:t>
      </w:r>
      <w:r>
        <w:rPr>
          <w:rFonts w:ascii="Open Sans" w:eastAsia="Open Sans" w:hAnsi="Open Sans" w:cs="Open Sans"/>
        </w:rPr>
        <w:t xml:space="preserve">), </w:t>
      </w:r>
      <w:r>
        <w:rPr>
          <w:rFonts w:ascii="Open Sans" w:eastAsia="Open Sans" w:hAnsi="Open Sans" w:cs="Open Sans"/>
          <w:color w:val="000000"/>
        </w:rPr>
        <w:t>Paiporta (40,8%</w:t>
      </w:r>
      <w:r>
        <w:rPr>
          <w:rFonts w:ascii="Open Sans" w:eastAsia="Open Sans" w:hAnsi="Open Sans" w:cs="Open Sans"/>
        </w:rPr>
        <w:t xml:space="preserve">), </w:t>
      </w:r>
      <w:r>
        <w:rPr>
          <w:rFonts w:ascii="Open Sans" w:eastAsia="Open Sans" w:hAnsi="Open Sans" w:cs="Open Sans"/>
          <w:color w:val="000000"/>
        </w:rPr>
        <w:t>Salobreña (40,7%</w:t>
      </w:r>
      <w:r>
        <w:rPr>
          <w:rFonts w:ascii="Open Sans" w:eastAsia="Open Sans" w:hAnsi="Open Sans" w:cs="Open Sans"/>
        </w:rPr>
        <w:t xml:space="preserve">), </w:t>
      </w:r>
      <w:r>
        <w:rPr>
          <w:rFonts w:ascii="Open Sans" w:eastAsia="Open Sans" w:hAnsi="Open Sans" w:cs="Open Sans"/>
          <w:color w:val="000000"/>
        </w:rPr>
        <w:t>Manilva (40,2%</w:t>
      </w:r>
      <w:r>
        <w:rPr>
          <w:rFonts w:ascii="Open Sans" w:eastAsia="Open Sans" w:hAnsi="Open Sans" w:cs="Open Sans"/>
        </w:rPr>
        <w:t xml:space="preserve">) y </w:t>
      </w:r>
      <w:r>
        <w:rPr>
          <w:rFonts w:ascii="Open Sans" w:eastAsia="Open Sans" w:hAnsi="Open Sans" w:cs="Open Sans"/>
          <w:color w:val="000000"/>
        </w:rPr>
        <w:t>La Manga del Mar Menor (40,0%</w:t>
      </w:r>
      <w:r>
        <w:rPr>
          <w:rFonts w:ascii="Open Sans" w:eastAsia="Open Sans" w:hAnsi="Open Sans" w:cs="Open Sans"/>
        </w:rPr>
        <w:t>). Por otro lado, las ciudades con los mayores descensos interanuales son: Población de Arroyo</w:t>
      </w:r>
      <w:r>
        <w:rPr>
          <w:rFonts w:ascii="Open Sans" w:eastAsia="Open Sans" w:hAnsi="Open Sans" w:cs="Open Sans"/>
          <w:color w:val="000000"/>
        </w:rPr>
        <w:t xml:space="preserve"> (</w:t>
      </w:r>
      <w:r>
        <w:rPr>
          <w:rFonts w:ascii="Open Sans" w:eastAsia="Open Sans" w:hAnsi="Open Sans" w:cs="Open Sans"/>
        </w:rPr>
        <w:t>-26,2%), Martorell</w:t>
      </w:r>
      <w:r>
        <w:rPr>
          <w:rFonts w:ascii="Open Sans" w:eastAsia="Open Sans" w:hAnsi="Open Sans" w:cs="Open Sans"/>
          <w:color w:val="000000"/>
        </w:rPr>
        <w:t xml:space="preserve"> (</w:t>
      </w:r>
      <w:r>
        <w:rPr>
          <w:rFonts w:ascii="Open Sans" w:eastAsia="Open Sans" w:hAnsi="Open Sans" w:cs="Open Sans"/>
        </w:rPr>
        <w:t>-15,8%), Torredonjimeno</w:t>
      </w:r>
      <w:r>
        <w:rPr>
          <w:rFonts w:ascii="Open Sans" w:eastAsia="Open Sans" w:hAnsi="Open Sans" w:cs="Open Sans"/>
          <w:color w:val="000000"/>
        </w:rPr>
        <w:t xml:space="preserve"> (</w:t>
      </w:r>
      <w:r>
        <w:rPr>
          <w:rFonts w:ascii="Open Sans" w:eastAsia="Open Sans" w:hAnsi="Open Sans" w:cs="Open Sans"/>
        </w:rPr>
        <w:t>-14,9%) y Benijófar</w:t>
      </w:r>
      <w:r>
        <w:rPr>
          <w:rFonts w:ascii="Open Sans" w:eastAsia="Open Sans" w:hAnsi="Open Sans" w:cs="Open Sans"/>
          <w:color w:val="000000"/>
        </w:rPr>
        <w:t xml:space="preserve"> (</w:t>
      </w:r>
      <w:r>
        <w:rPr>
          <w:rFonts w:ascii="Open Sans" w:eastAsia="Open Sans" w:hAnsi="Open Sans" w:cs="Open Sans"/>
        </w:rPr>
        <w:t>-14,6%).</w:t>
      </w:r>
    </w:p>
    <w:p w14:paraId="005A5832" w14:textId="77777777" w:rsidR="00BB63E6" w:rsidRDefault="00BB63E6">
      <w:pPr>
        <w:spacing w:line="276" w:lineRule="auto"/>
        <w:jc w:val="both"/>
        <w:rPr>
          <w:rFonts w:ascii="Open Sans" w:eastAsia="Open Sans" w:hAnsi="Open Sans" w:cs="Open Sans"/>
        </w:rPr>
      </w:pPr>
    </w:p>
    <w:p w14:paraId="24F622D3" w14:textId="77777777" w:rsidR="00BB63E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febrero, vemos que el orden de las ciudades con un precio </w:t>
      </w:r>
      <w:r>
        <w:rPr>
          <w:rFonts w:ascii="Open Sans" w:eastAsia="Open Sans" w:hAnsi="Open Sans" w:cs="Open Sans"/>
        </w:rPr>
        <w:t>superior a los 7.000 euros/m</w:t>
      </w:r>
      <w:r>
        <w:rPr>
          <w:rFonts w:ascii="Open Sans" w:eastAsia="Open Sans" w:hAnsi="Open Sans" w:cs="Open Sans"/>
          <w:vertAlign w:val="superscript"/>
        </w:rPr>
        <w:t>2</w:t>
      </w:r>
      <w:r>
        <w:rPr>
          <w:rFonts w:ascii="Open Sans" w:eastAsia="Open Sans" w:hAnsi="Open Sans" w:cs="Open Sans"/>
        </w:rPr>
        <w:t xml:space="preserve"> son: Santa Eulària des Riu</w:t>
      </w:r>
      <w:r>
        <w:rPr>
          <w:rFonts w:ascii="Open Sans" w:eastAsia="Open Sans" w:hAnsi="Open Sans" w:cs="Open Sans"/>
          <w:color w:val="000000"/>
        </w:rPr>
        <w:t xml:space="preserve"> con</w:t>
      </w:r>
      <w:r>
        <w:rPr>
          <w:rFonts w:ascii="Open Sans" w:eastAsia="Open Sans" w:hAnsi="Open Sans" w:cs="Open Sans"/>
        </w:rPr>
        <w:t xml:space="preserve"> 8.746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Sant Antoni de Portmany</w:t>
      </w:r>
      <w:r>
        <w:rPr>
          <w:rFonts w:ascii="Open Sans" w:eastAsia="Open Sans" w:hAnsi="Open Sans" w:cs="Open Sans"/>
          <w:color w:val="000000"/>
        </w:rPr>
        <w:t xml:space="preserve"> con</w:t>
      </w:r>
      <w:r>
        <w:rPr>
          <w:rFonts w:ascii="Open Sans" w:eastAsia="Open Sans" w:hAnsi="Open Sans" w:cs="Open Sans"/>
        </w:rPr>
        <w:t xml:space="preserve"> 8.324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r>
        <w:rPr>
          <w:rFonts w:ascii="Open Sans" w:eastAsia="Open Sans" w:hAnsi="Open Sans" w:cs="Open Sans"/>
        </w:rPr>
        <w:t>Eivissa</w:t>
      </w:r>
      <w:r>
        <w:rPr>
          <w:rFonts w:ascii="Open Sans" w:eastAsia="Open Sans" w:hAnsi="Open Sans" w:cs="Open Sans"/>
          <w:color w:val="000000"/>
        </w:rPr>
        <w:t xml:space="preserve"> con</w:t>
      </w:r>
      <w:r>
        <w:rPr>
          <w:rFonts w:ascii="Open Sans" w:eastAsia="Open Sans" w:hAnsi="Open Sans" w:cs="Open Sans"/>
        </w:rPr>
        <w:t xml:space="preserve"> 7.612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w:t>
      </w:r>
      <w:r>
        <w:rPr>
          <w:rFonts w:ascii="Open Sans" w:eastAsia="Open Sans" w:hAnsi="Open Sans" w:cs="Open Sans"/>
        </w:rPr>
        <w:t xml:space="preserve"> Andratx</w:t>
      </w:r>
      <w:r>
        <w:rPr>
          <w:rFonts w:ascii="Open Sans" w:eastAsia="Open Sans" w:hAnsi="Open Sans" w:cs="Open Sans"/>
          <w:color w:val="000000"/>
        </w:rPr>
        <w:t xml:space="preserve"> con</w:t>
      </w:r>
      <w:r>
        <w:rPr>
          <w:rFonts w:ascii="Open Sans" w:eastAsia="Open Sans" w:hAnsi="Open Sans" w:cs="Open Sans"/>
        </w:rPr>
        <w:t xml:space="preserve"> 7.326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w:t>
      </w:r>
      <w:r>
        <w:rPr>
          <w:rFonts w:ascii="Open Sans" w:eastAsia="Open Sans" w:hAnsi="Open Sans" w:cs="Open Sans"/>
        </w:rPr>
        <w:t xml:space="preserve"> Donostia - San Sebastián</w:t>
      </w:r>
      <w:r>
        <w:rPr>
          <w:rFonts w:ascii="Open Sans" w:eastAsia="Open Sans" w:hAnsi="Open Sans" w:cs="Open Sans"/>
          <w:color w:val="000000"/>
        </w:rPr>
        <w:t xml:space="preserve"> con</w:t>
      </w:r>
      <w:r>
        <w:rPr>
          <w:rFonts w:ascii="Open Sans" w:eastAsia="Open Sans" w:hAnsi="Open Sans" w:cs="Open Sans"/>
        </w:rPr>
        <w:t xml:space="preserve"> 7.176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xml:space="preserve"> y </w:t>
      </w:r>
      <w:r>
        <w:rPr>
          <w:rFonts w:ascii="Open Sans" w:eastAsia="Open Sans" w:hAnsi="Open Sans" w:cs="Open Sans"/>
        </w:rPr>
        <w:t>Calvià</w:t>
      </w:r>
      <w:r>
        <w:rPr>
          <w:rFonts w:ascii="Open Sans" w:eastAsia="Open Sans" w:hAnsi="Open Sans" w:cs="Open Sans"/>
          <w:color w:val="000000"/>
        </w:rPr>
        <w:t xml:space="preserve"> con</w:t>
      </w:r>
      <w:r>
        <w:rPr>
          <w:rFonts w:ascii="Open Sans" w:eastAsia="Open Sans" w:hAnsi="Open Sans" w:cs="Open Sans"/>
        </w:rPr>
        <w:t xml:space="preserve"> 7.001 </w:t>
      </w:r>
      <w:r>
        <w:rPr>
          <w:rFonts w:ascii="Open Sans" w:eastAsia="Open Sans" w:hAnsi="Open Sans" w:cs="Open Sans"/>
          <w:color w:val="000000"/>
        </w:rPr>
        <w:t>euros/m</w:t>
      </w:r>
      <w:r>
        <w:rPr>
          <w:rFonts w:ascii="Open Sans" w:eastAsia="Open Sans" w:hAnsi="Open Sans" w:cs="Open Sans"/>
          <w:color w:val="000000"/>
          <w:vertAlign w:val="superscript"/>
        </w:rPr>
        <w:t>2</w:t>
      </w:r>
      <w:r>
        <w:rPr>
          <w:rFonts w:ascii="Open Sans" w:eastAsia="Open Sans" w:hAnsi="Open Sans" w:cs="Open Sans"/>
          <w:color w:val="000000"/>
        </w:rPr>
        <w:t>. Por otro lado, los municipios más económicos con precios inferiores a los 700 euros el metro cuadrado son: Villanueva del Arzobispo con 632 euros/m</w:t>
      </w:r>
      <w:r>
        <w:rPr>
          <w:rFonts w:ascii="Open Sans" w:eastAsia="Open Sans" w:hAnsi="Open Sans" w:cs="Open Sans"/>
          <w:color w:val="000000"/>
          <w:vertAlign w:val="superscript"/>
        </w:rPr>
        <w:t>2</w:t>
      </w:r>
      <w:r>
        <w:rPr>
          <w:rFonts w:ascii="Open Sans" w:eastAsia="Open Sans" w:hAnsi="Open Sans" w:cs="Open Sans"/>
          <w:color w:val="000000"/>
        </w:rPr>
        <w:t>, Torreperogil con 660 euros/m</w:t>
      </w:r>
      <w:r>
        <w:rPr>
          <w:rFonts w:ascii="Open Sans" w:eastAsia="Open Sans" w:hAnsi="Open Sans" w:cs="Open Sans"/>
          <w:color w:val="000000"/>
          <w:vertAlign w:val="superscript"/>
        </w:rPr>
        <w:t>2</w:t>
      </w:r>
      <w:r>
        <w:rPr>
          <w:rFonts w:ascii="Open Sans" w:eastAsia="Open Sans" w:hAnsi="Open Sans" w:cs="Open Sans"/>
          <w:color w:val="000000"/>
        </w:rPr>
        <w:t>, La Carolina con 680 euros/m</w:t>
      </w:r>
      <w:r>
        <w:rPr>
          <w:rFonts w:ascii="Open Sans" w:eastAsia="Open Sans" w:hAnsi="Open Sans" w:cs="Open Sans"/>
          <w:color w:val="000000"/>
          <w:vertAlign w:val="superscript"/>
        </w:rPr>
        <w:t>2</w:t>
      </w:r>
      <w:r>
        <w:rPr>
          <w:rFonts w:ascii="Open Sans" w:eastAsia="Open Sans" w:hAnsi="Open Sans" w:cs="Open Sans"/>
          <w:color w:val="000000"/>
        </w:rPr>
        <w:t xml:space="preserve"> y Jamilena con 697 euros/m</w:t>
      </w:r>
      <w:r>
        <w:rPr>
          <w:rFonts w:ascii="Open Sans" w:eastAsia="Open Sans" w:hAnsi="Open Sans" w:cs="Open Sans"/>
          <w:color w:val="000000"/>
          <w:vertAlign w:val="superscript"/>
        </w:rPr>
        <w:t>2</w:t>
      </w:r>
      <w:r>
        <w:rPr>
          <w:rFonts w:ascii="Open Sans" w:eastAsia="Open Sans" w:hAnsi="Open Sans" w:cs="Open Sans"/>
          <w:color w:val="000000"/>
        </w:rPr>
        <w:t>.</w:t>
      </w:r>
    </w:p>
    <w:p w14:paraId="11A2B606" w14:textId="77777777" w:rsidR="00BB63E6" w:rsidRDefault="00BB63E6">
      <w:pPr>
        <w:spacing w:line="276" w:lineRule="auto"/>
        <w:jc w:val="both"/>
        <w:rPr>
          <w:rFonts w:ascii="Open Sans" w:eastAsia="Open Sans" w:hAnsi="Open Sans" w:cs="Open Sans"/>
          <w:color w:val="000000"/>
        </w:rPr>
      </w:pPr>
    </w:p>
    <w:p w14:paraId="2A2DBCFA" w14:textId="77777777" w:rsidR="00BB63E6" w:rsidRDefault="00BB63E6">
      <w:pPr>
        <w:spacing w:line="276" w:lineRule="auto"/>
        <w:jc w:val="both"/>
        <w:rPr>
          <w:rFonts w:ascii="Open Sans" w:eastAsia="Open Sans" w:hAnsi="Open Sans" w:cs="Open Sans"/>
          <w:color w:val="000000"/>
        </w:rPr>
      </w:pPr>
    </w:p>
    <w:p w14:paraId="37B79086" w14:textId="77777777" w:rsidR="00BB63E6" w:rsidRDefault="00BB63E6">
      <w:pPr>
        <w:spacing w:line="276" w:lineRule="auto"/>
        <w:jc w:val="both"/>
        <w:rPr>
          <w:rFonts w:ascii="Open Sans" w:eastAsia="Open Sans" w:hAnsi="Open Sans" w:cs="Open Sans"/>
          <w:color w:val="000000"/>
        </w:rPr>
      </w:pPr>
    </w:p>
    <w:p w14:paraId="18302605" w14:textId="77777777" w:rsidR="00BB63E6" w:rsidRDefault="00000000">
      <w:pPr>
        <w:pBdr>
          <w:top w:val="nil"/>
          <w:left w:val="nil"/>
          <w:bottom w:val="nil"/>
          <w:right w:val="nil"/>
          <w:between w:val="nil"/>
        </w:pBdr>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Municipios con mayor incremento interanual</w:t>
      </w:r>
    </w:p>
    <w:tbl>
      <w:tblPr>
        <w:tblStyle w:val="a2"/>
        <w:tblW w:w="737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701"/>
        <w:gridCol w:w="1701"/>
      </w:tblGrid>
      <w:tr w:rsidR="00BB63E6" w14:paraId="7AECC0B9" w14:textId="77777777" w:rsidTr="00BB63E6">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A2F504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5427920D" w14:textId="77777777" w:rsidR="00BB63E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701" w:type="dxa"/>
            <w:vAlign w:val="center"/>
          </w:tcPr>
          <w:p w14:paraId="0D1AE9E6"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5C8BC29E"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701" w:type="dxa"/>
            <w:vAlign w:val="center"/>
          </w:tcPr>
          <w:p w14:paraId="78B60BB9"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BB63E6" w14:paraId="7732CBC4"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7AA779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268" w:type="dxa"/>
            <w:vAlign w:val="bottom"/>
          </w:tcPr>
          <w:p w14:paraId="11BB8600"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Fraga</w:t>
            </w:r>
          </w:p>
        </w:tc>
        <w:tc>
          <w:tcPr>
            <w:tcW w:w="1701" w:type="dxa"/>
            <w:vAlign w:val="bottom"/>
          </w:tcPr>
          <w:p w14:paraId="621057C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1.881 €</w:t>
            </w:r>
          </w:p>
        </w:tc>
        <w:tc>
          <w:tcPr>
            <w:tcW w:w="1701" w:type="dxa"/>
            <w:vAlign w:val="bottom"/>
          </w:tcPr>
          <w:p w14:paraId="280587A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74,9%</w:t>
            </w:r>
          </w:p>
        </w:tc>
      </w:tr>
      <w:tr w:rsidR="00BB63E6" w14:paraId="59096993"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2C008D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4C1F72C6"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Alcaidesa</w:t>
            </w:r>
          </w:p>
        </w:tc>
        <w:tc>
          <w:tcPr>
            <w:tcW w:w="1701" w:type="dxa"/>
            <w:vAlign w:val="bottom"/>
          </w:tcPr>
          <w:p w14:paraId="6D82F3F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4.891 €</w:t>
            </w:r>
          </w:p>
        </w:tc>
        <w:tc>
          <w:tcPr>
            <w:tcW w:w="1701" w:type="dxa"/>
            <w:vAlign w:val="bottom"/>
          </w:tcPr>
          <w:p w14:paraId="53D622F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73,0%</w:t>
            </w:r>
          </w:p>
        </w:tc>
      </w:tr>
      <w:tr w:rsidR="00BB63E6" w14:paraId="2965FD13"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241D8B"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598E41F9"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Vandellòs i l'Hospitalet de l'Infant</w:t>
            </w:r>
          </w:p>
        </w:tc>
        <w:tc>
          <w:tcPr>
            <w:tcW w:w="1701" w:type="dxa"/>
            <w:vAlign w:val="bottom"/>
          </w:tcPr>
          <w:p w14:paraId="4185DD8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3.255 €</w:t>
            </w:r>
          </w:p>
        </w:tc>
        <w:tc>
          <w:tcPr>
            <w:tcW w:w="1701" w:type="dxa"/>
            <w:vAlign w:val="bottom"/>
          </w:tcPr>
          <w:p w14:paraId="479139D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71,8%</w:t>
            </w:r>
          </w:p>
        </w:tc>
      </w:tr>
      <w:tr w:rsidR="00BB63E6" w14:paraId="699998CD"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8AA8C4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51D57456"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Dolores</w:t>
            </w:r>
          </w:p>
        </w:tc>
        <w:tc>
          <w:tcPr>
            <w:tcW w:w="1701" w:type="dxa"/>
            <w:vAlign w:val="bottom"/>
          </w:tcPr>
          <w:p w14:paraId="04DCE59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2.049 €</w:t>
            </w:r>
          </w:p>
        </w:tc>
        <w:tc>
          <w:tcPr>
            <w:tcW w:w="1701" w:type="dxa"/>
            <w:vAlign w:val="bottom"/>
          </w:tcPr>
          <w:p w14:paraId="29602C8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70,1%</w:t>
            </w:r>
          </w:p>
        </w:tc>
      </w:tr>
      <w:tr w:rsidR="00BB63E6" w14:paraId="68B0A683"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87D52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2A09FDFC"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Fruitós de Bages</w:t>
            </w:r>
          </w:p>
        </w:tc>
        <w:tc>
          <w:tcPr>
            <w:tcW w:w="1701" w:type="dxa"/>
            <w:vAlign w:val="bottom"/>
          </w:tcPr>
          <w:p w14:paraId="5C616FD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2.335 €</w:t>
            </w:r>
          </w:p>
        </w:tc>
        <w:tc>
          <w:tcPr>
            <w:tcW w:w="1701" w:type="dxa"/>
            <w:vAlign w:val="bottom"/>
          </w:tcPr>
          <w:p w14:paraId="210C1C9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68,4%</w:t>
            </w:r>
          </w:p>
        </w:tc>
      </w:tr>
      <w:tr w:rsidR="00BB63E6" w14:paraId="517A6EAC"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F0E68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43C7A074"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Bigastro</w:t>
            </w:r>
          </w:p>
        </w:tc>
        <w:tc>
          <w:tcPr>
            <w:tcW w:w="1701" w:type="dxa"/>
            <w:vAlign w:val="bottom"/>
          </w:tcPr>
          <w:p w14:paraId="5C6367D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1.438 €</w:t>
            </w:r>
          </w:p>
        </w:tc>
        <w:tc>
          <w:tcPr>
            <w:tcW w:w="1701" w:type="dxa"/>
            <w:vAlign w:val="bottom"/>
          </w:tcPr>
          <w:p w14:paraId="6C92A96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63,6%</w:t>
            </w:r>
          </w:p>
        </w:tc>
      </w:tr>
      <w:tr w:rsidR="00BB63E6" w14:paraId="2246BF38"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0F49F9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239C2FCA"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Pego</w:t>
            </w:r>
          </w:p>
        </w:tc>
        <w:tc>
          <w:tcPr>
            <w:tcW w:w="1701" w:type="dxa"/>
            <w:vAlign w:val="bottom"/>
          </w:tcPr>
          <w:p w14:paraId="39E2257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1.570 €</w:t>
            </w:r>
          </w:p>
        </w:tc>
        <w:tc>
          <w:tcPr>
            <w:tcW w:w="1701" w:type="dxa"/>
            <w:vAlign w:val="bottom"/>
          </w:tcPr>
          <w:p w14:paraId="33C4DC5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62,2%</w:t>
            </w:r>
          </w:p>
        </w:tc>
      </w:tr>
      <w:tr w:rsidR="00BB63E6" w14:paraId="4C150E27"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227C3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39053981"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Yeles</w:t>
            </w:r>
          </w:p>
        </w:tc>
        <w:tc>
          <w:tcPr>
            <w:tcW w:w="1701" w:type="dxa"/>
            <w:vAlign w:val="bottom"/>
          </w:tcPr>
          <w:p w14:paraId="187BE1A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1.861 €</w:t>
            </w:r>
          </w:p>
        </w:tc>
        <w:tc>
          <w:tcPr>
            <w:tcW w:w="1701" w:type="dxa"/>
            <w:vAlign w:val="bottom"/>
          </w:tcPr>
          <w:p w14:paraId="638DA58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57,8%</w:t>
            </w:r>
          </w:p>
        </w:tc>
      </w:tr>
      <w:tr w:rsidR="00BB63E6" w14:paraId="5ABA0A1E"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CCD8A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739FE9AF"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Farners</w:t>
            </w:r>
          </w:p>
        </w:tc>
        <w:tc>
          <w:tcPr>
            <w:tcW w:w="1701" w:type="dxa"/>
            <w:vAlign w:val="bottom"/>
          </w:tcPr>
          <w:p w14:paraId="58D4E42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1.843 €</w:t>
            </w:r>
          </w:p>
        </w:tc>
        <w:tc>
          <w:tcPr>
            <w:tcW w:w="1701" w:type="dxa"/>
            <w:vAlign w:val="bottom"/>
          </w:tcPr>
          <w:p w14:paraId="7A4240B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51,4%</w:t>
            </w:r>
          </w:p>
        </w:tc>
      </w:tr>
      <w:tr w:rsidR="00BB63E6" w14:paraId="3B64EE16"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E23062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10AEE2AD"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Marín</w:t>
            </w:r>
          </w:p>
        </w:tc>
        <w:tc>
          <w:tcPr>
            <w:tcW w:w="1701" w:type="dxa"/>
            <w:vAlign w:val="bottom"/>
          </w:tcPr>
          <w:p w14:paraId="203AD3A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2.118 €</w:t>
            </w:r>
          </w:p>
        </w:tc>
        <w:tc>
          <w:tcPr>
            <w:tcW w:w="1701" w:type="dxa"/>
            <w:vAlign w:val="bottom"/>
          </w:tcPr>
          <w:p w14:paraId="0BD6681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51,3%</w:t>
            </w:r>
          </w:p>
        </w:tc>
      </w:tr>
    </w:tbl>
    <w:p w14:paraId="2A0E9BC2" w14:textId="77777777" w:rsidR="00BB63E6" w:rsidRDefault="00000000">
      <w:pPr>
        <w:pBdr>
          <w:top w:val="nil"/>
          <w:left w:val="nil"/>
          <w:bottom w:val="nil"/>
          <w:right w:val="nil"/>
          <w:between w:val="nil"/>
        </w:pBdr>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mayor descenso interanual</w:t>
      </w:r>
    </w:p>
    <w:tbl>
      <w:tblPr>
        <w:tblStyle w:val="a3"/>
        <w:tblW w:w="7376"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0"/>
        <w:gridCol w:w="2268"/>
        <w:gridCol w:w="1714"/>
        <w:gridCol w:w="1694"/>
      </w:tblGrid>
      <w:tr w:rsidR="00BB63E6" w14:paraId="3EB26271" w14:textId="77777777" w:rsidTr="00BB63E6">
        <w:trPr>
          <w:cnfStyle w:val="100000000000" w:firstRow="1" w:lastRow="0" w:firstColumn="0" w:lastColumn="0" w:oddVBand="0" w:evenVBand="0" w:oddHBand="0"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D7A2C2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22FDBE39" w14:textId="77777777" w:rsidR="00BB63E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714" w:type="dxa"/>
            <w:vAlign w:val="center"/>
          </w:tcPr>
          <w:p w14:paraId="7B775E8E"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 (euros/m²)</w:t>
            </w:r>
          </w:p>
        </w:tc>
        <w:tc>
          <w:tcPr>
            <w:tcW w:w="1694" w:type="dxa"/>
            <w:vAlign w:val="center"/>
          </w:tcPr>
          <w:p w14:paraId="2D73633A"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BB63E6" w14:paraId="2D9D9102"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774FA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6836D7BC"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Polop</w:t>
            </w:r>
          </w:p>
        </w:tc>
        <w:tc>
          <w:tcPr>
            <w:tcW w:w="1714" w:type="dxa"/>
            <w:vAlign w:val="bottom"/>
          </w:tcPr>
          <w:p w14:paraId="1AFF37F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1.855 €</w:t>
            </w:r>
          </w:p>
        </w:tc>
        <w:tc>
          <w:tcPr>
            <w:tcW w:w="1694" w:type="dxa"/>
            <w:vAlign w:val="bottom"/>
          </w:tcPr>
          <w:p w14:paraId="4C13C5F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-30,8%</w:t>
            </w:r>
          </w:p>
        </w:tc>
      </w:tr>
      <w:tr w:rsidR="00BB63E6" w14:paraId="6644B7D2"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D0C72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347408D1"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Torredonjimeno</w:t>
            </w:r>
          </w:p>
        </w:tc>
        <w:tc>
          <w:tcPr>
            <w:tcW w:w="1714" w:type="dxa"/>
            <w:vAlign w:val="bottom"/>
          </w:tcPr>
          <w:p w14:paraId="62830CD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774 €</w:t>
            </w:r>
          </w:p>
        </w:tc>
        <w:tc>
          <w:tcPr>
            <w:tcW w:w="1694" w:type="dxa"/>
            <w:vAlign w:val="bottom"/>
          </w:tcPr>
          <w:p w14:paraId="5891A3C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-18,1%</w:t>
            </w:r>
          </w:p>
        </w:tc>
      </w:tr>
      <w:tr w:rsidR="00BB63E6" w14:paraId="1C6E8D74" w14:textId="77777777" w:rsidTr="00BB63E6">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54CEBC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22FDE7C5"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Alberic</w:t>
            </w:r>
          </w:p>
        </w:tc>
        <w:tc>
          <w:tcPr>
            <w:tcW w:w="1714" w:type="dxa"/>
            <w:vAlign w:val="bottom"/>
          </w:tcPr>
          <w:p w14:paraId="01B1262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1.049 €</w:t>
            </w:r>
          </w:p>
        </w:tc>
        <w:tc>
          <w:tcPr>
            <w:tcW w:w="1694" w:type="dxa"/>
            <w:vAlign w:val="bottom"/>
          </w:tcPr>
          <w:p w14:paraId="0411080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-16,8%</w:t>
            </w:r>
          </w:p>
        </w:tc>
      </w:tr>
      <w:tr w:rsidR="00BB63E6" w14:paraId="3F695B90"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835647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135CD356"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Níjar</w:t>
            </w:r>
          </w:p>
        </w:tc>
        <w:tc>
          <w:tcPr>
            <w:tcW w:w="1714" w:type="dxa"/>
            <w:vAlign w:val="bottom"/>
          </w:tcPr>
          <w:p w14:paraId="6B2443C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1.433 €</w:t>
            </w:r>
          </w:p>
        </w:tc>
        <w:tc>
          <w:tcPr>
            <w:tcW w:w="1694" w:type="dxa"/>
            <w:vAlign w:val="bottom"/>
          </w:tcPr>
          <w:p w14:paraId="6949630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-16,2%</w:t>
            </w:r>
          </w:p>
        </w:tc>
      </w:tr>
      <w:tr w:rsidR="00BB63E6" w14:paraId="2F50FF2E"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7EA707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07EA48B3"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Pol de Mar</w:t>
            </w:r>
          </w:p>
        </w:tc>
        <w:tc>
          <w:tcPr>
            <w:tcW w:w="1714" w:type="dxa"/>
            <w:vAlign w:val="bottom"/>
          </w:tcPr>
          <w:p w14:paraId="41F3B3F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3.131 €</w:t>
            </w:r>
          </w:p>
        </w:tc>
        <w:tc>
          <w:tcPr>
            <w:tcW w:w="1694" w:type="dxa"/>
            <w:vAlign w:val="bottom"/>
          </w:tcPr>
          <w:p w14:paraId="3D4C331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-11,4%</w:t>
            </w:r>
          </w:p>
        </w:tc>
      </w:tr>
      <w:tr w:rsidR="00BB63E6" w14:paraId="46BF9C60"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5A4AE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0FF916F4"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Tona</w:t>
            </w:r>
          </w:p>
        </w:tc>
        <w:tc>
          <w:tcPr>
            <w:tcW w:w="1714" w:type="dxa"/>
            <w:vAlign w:val="bottom"/>
          </w:tcPr>
          <w:p w14:paraId="61F2529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2.368 €</w:t>
            </w:r>
          </w:p>
        </w:tc>
        <w:tc>
          <w:tcPr>
            <w:tcW w:w="1694" w:type="dxa"/>
            <w:vAlign w:val="bottom"/>
          </w:tcPr>
          <w:p w14:paraId="2857AE1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-10,9%</w:t>
            </w:r>
          </w:p>
        </w:tc>
      </w:tr>
      <w:tr w:rsidR="00BB63E6" w14:paraId="03AF76F4"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FDEE2C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64AF705E"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Benijófar</w:t>
            </w:r>
          </w:p>
        </w:tc>
        <w:tc>
          <w:tcPr>
            <w:tcW w:w="1714" w:type="dxa"/>
            <w:vAlign w:val="bottom"/>
          </w:tcPr>
          <w:p w14:paraId="3976B23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3.886 €</w:t>
            </w:r>
          </w:p>
        </w:tc>
        <w:tc>
          <w:tcPr>
            <w:tcW w:w="1694" w:type="dxa"/>
            <w:vAlign w:val="bottom"/>
          </w:tcPr>
          <w:p w14:paraId="199EFF2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-10,7%</w:t>
            </w:r>
          </w:p>
        </w:tc>
      </w:tr>
      <w:tr w:rsidR="00BB63E6" w14:paraId="4BF85841"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D7324C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455825EA"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Xeraco</w:t>
            </w:r>
          </w:p>
        </w:tc>
        <w:tc>
          <w:tcPr>
            <w:tcW w:w="1714" w:type="dxa"/>
            <w:vAlign w:val="bottom"/>
          </w:tcPr>
          <w:p w14:paraId="61B360A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1.793 €</w:t>
            </w:r>
          </w:p>
        </w:tc>
        <w:tc>
          <w:tcPr>
            <w:tcW w:w="1694" w:type="dxa"/>
            <w:vAlign w:val="bottom"/>
          </w:tcPr>
          <w:p w14:paraId="398F5D3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-9,4%</w:t>
            </w:r>
          </w:p>
        </w:tc>
      </w:tr>
      <w:tr w:rsidR="00BB63E6" w14:paraId="286FA807"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5E9BD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2268" w:type="dxa"/>
            <w:vAlign w:val="bottom"/>
          </w:tcPr>
          <w:p w14:paraId="758C7179"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Albolote</w:t>
            </w:r>
          </w:p>
        </w:tc>
        <w:tc>
          <w:tcPr>
            <w:tcW w:w="1714" w:type="dxa"/>
            <w:vAlign w:val="bottom"/>
          </w:tcPr>
          <w:p w14:paraId="27EA12E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1.592 €</w:t>
            </w:r>
          </w:p>
        </w:tc>
        <w:tc>
          <w:tcPr>
            <w:tcW w:w="1694" w:type="dxa"/>
            <w:vAlign w:val="bottom"/>
          </w:tcPr>
          <w:p w14:paraId="59E45A7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-9,4%</w:t>
            </w:r>
          </w:p>
        </w:tc>
      </w:tr>
      <w:tr w:rsidR="00BB63E6" w14:paraId="76478B11"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8DE6B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04D9C478"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Boiro</w:t>
            </w:r>
          </w:p>
        </w:tc>
        <w:tc>
          <w:tcPr>
            <w:tcW w:w="1714" w:type="dxa"/>
            <w:vAlign w:val="bottom"/>
          </w:tcPr>
          <w:p w14:paraId="3152E0F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1.365 €</w:t>
            </w:r>
          </w:p>
        </w:tc>
        <w:tc>
          <w:tcPr>
            <w:tcW w:w="1694" w:type="dxa"/>
            <w:vAlign w:val="bottom"/>
          </w:tcPr>
          <w:p w14:paraId="538D7ED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-9,2%</w:t>
            </w:r>
          </w:p>
        </w:tc>
      </w:tr>
    </w:tbl>
    <w:p w14:paraId="31AEF547" w14:textId="77777777" w:rsidR="00BB63E6" w:rsidRDefault="00000000">
      <w:pPr>
        <w:pBdr>
          <w:top w:val="nil"/>
          <w:left w:val="nil"/>
          <w:bottom w:val="nil"/>
          <w:right w:val="nil"/>
          <w:between w:val="nil"/>
        </w:pBdr>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 con mayor precio</w:t>
      </w:r>
    </w:p>
    <w:tbl>
      <w:tblPr>
        <w:tblStyle w:val="a4"/>
        <w:tblW w:w="7371"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701"/>
        <w:gridCol w:w="1701"/>
      </w:tblGrid>
      <w:tr w:rsidR="00BB63E6" w14:paraId="57DBA067" w14:textId="77777777" w:rsidTr="00BB63E6">
        <w:trPr>
          <w:cnfStyle w:val="100000000000" w:firstRow="1" w:lastRow="0" w:firstColumn="0" w:lastColumn="0" w:oddVBand="0" w:evenVBand="0" w:oddHBand="0"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004601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62E61349" w14:textId="77777777" w:rsidR="00BB63E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701" w:type="dxa"/>
            <w:vAlign w:val="center"/>
          </w:tcPr>
          <w:p w14:paraId="2F7ED0AE"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 (euros/m²)</w:t>
            </w:r>
          </w:p>
        </w:tc>
        <w:tc>
          <w:tcPr>
            <w:tcW w:w="1701" w:type="dxa"/>
            <w:vAlign w:val="center"/>
          </w:tcPr>
          <w:p w14:paraId="2F187209"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BB63E6" w14:paraId="51A877E2"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FA5872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2C3EC70D"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701" w:type="dxa"/>
            <w:vAlign w:val="bottom"/>
          </w:tcPr>
          <w:p w14:paraId="7F66F61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8.746 €</w:t>
            </w:r>
          </w:p>
        </w:tc>
        <w:tc>
          <w:tcPr>
            <w:tcW w:w="1701" w:type="dxa"/>
            <w:vAlign w:val="bottom"/>
          </w:tcPr>
          <w:p w14:paraId="2BFADAC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r>
      <w:tr w:rsidR="00BB63E6" w14:paraId="2DB1DE80"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70C06A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3367D736"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Antoni de Portmany</w:t>
            </w:r>
          </w:p>
        </w:tc>
        <w:tc>
          <w:tcPr>
            <w:tcW w:w="1701" w:type="dxa"/>
            <w:vAlign w:val="bottom"/>
          </w:tcPr>
          <w:p w14:paraId="31B8025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8.324 €</w:t>
            </w:r>
          </w:p>
        </w:tc>
        <w:tc>
          <w:tcPr>
            <w:tcW w:w="1701" w:type="dxa"/>
            <w:vAlign w:val="bottom"/>
          </w:tcPr>
          <w:p w14:paraId="7B3EA7A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31,2%</w:t>
            </w:r>
          </w:p>
        </w:tc>
      </w:tr>
      <w:tr w:rsidR="00BB63E6" w14:paraId="295ECC20"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BB196A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06EDBA26"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701" w:type="dxa"/>
            <w:vAlign w:val="bottom"/>
          </w:tcPr>
          <w:p w14:paraId="690AF4B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7.612 €</w:t>
            </w:r>
          </w:p>
        </w:tc>
        <w:tc>
          <w:tcPr>
            <w:tcW w:w="1701" w:type="dxa"/>
            <w:vAlign w:val="bottom"/>
          </w:tcPr>
          <w:p w14:paraId="645B9B3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10,7%</w:t>
            </w:r>
          </w:p>
        </w:tc>
      </w:tr>
      <w:tr w:rsidR="00BB63E6" w14:paraId="0E10B6EE"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4C9A91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37698DEF"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Andratx</w:t>
            </w:r>
          </w:p>
        </w:tc>
        <w:tc>
          <w:tcPr>
            <w:tcW w:w="1701" w:type="dxa"/>
            <w:vAlign w:val="bottom"/>
          </w:tcPr>
          <w:p w14:paraId="6776DFD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7.326 €</w:t>
            </w:r>
          </w:p>
        </w:tc>
        <w:tc>
          <w:tcPr>
            <w:tcW w:w="1701" w:type="dxa"/>
            <w:vAlign w:val="bottom"/>
          </w:tcPr>
          <w:p w14:paraId="5676290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BB63E6" w14:paraId="21D2DD6D"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246839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Gipuzkoa</w:t>
            </w:r>
          </w:p>
        </w:tc>
        <w:tc>
          <w:tcPr>
            <w:tcW w:w="2268" w:type="dxa"/>
            <w:vAlign w:val="bottom"/>
          </w:tcPr>
          <w:p w14:paraId="5632AAAB"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701" w:type="dxa"/>
            <w:vAlign w:val="bottom"/>
          </w:tcPr>
          <w:p w14:paraId="70CA3D28"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7.176 €</w:t>
            </w:r>
          </w:p>
        </w:tc>
        <w:tc>
          <w:tcPr>
            <w:tcW w:w="1701" w:type="dxa"/>
            <w:vAlign w:val="bottom"/>
          </w:tcPr>
          <w:p w14:paraId="19991BF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8,3%</w:t>
            </w:r>
          </w:p>
        </w:tc>
      </w:tr>
      <w:tr w:rsidR="00BB63E6" w14:paraId="25CF572C"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855A6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63E98638"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701" w:type="dxa"/>
            <w:vAlign w:val="bottom"/>
          </w:tcPr>
          <w:p w14:paraId="10CEEEA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7.001 €</w:t>
            </w:r>
          </w:p>
        </w:tc>
        <w:tc>
          <w:tcPr>
            <w:tcW w:w="1701" w:type="dxa"/>
            <w:vAlign w:val="bottom"/>
          </w:tcPr>
          <w:p w14:paraId="6DA6747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8,7%</w:t>
            </w:r>
          </w:p>
        </w:tc>
      </w:tr>
      <w:tr w:rsidR="00BB63E6" w14:paraId="6E95E754"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E4FE75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7A6B8CFC"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701" w:type="dxa"/>
            <w:vAlign w:val="bottom"/>
          </w:tcPr>
          <w:p w14:paraId="0B0C943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6.899 €</w:t>
            </w:r>
          </w:p>
        </w:tc>
        <w:tc>
          <w:tcPr>
            <w:tcW w:w="1701" w:type="dxa"/>
            <w:vAlign w:val="bottom"/>
          </w:tcPr>
          <w:p w14:paraId="7C9EAE6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13,8%</w:t>
            </w:r>
          </w:p>
        </w:tc>
      </w:tr>
      <w:tr w:rsidR="00BB63E6" w14:paraId="1E38925C"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7D8850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1873BBE7"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Campos</w:t>
            </w:r>
          </w:p>
        </w:tc>
        <w:tc>
          <w:tcPr>
            <w:tcW w:w="1701" w:type="dxa"/>
            <w:vAlign w:val="bottom"/>
          </w:tcPr>
          <w:p w14:paraId="2AFC516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6.765 €</w:t>
            </w:r>
          </w:p>
        </w:tc>
        <w:tc>
          <w:tcPr>
            <w:tcW w:w="1701" w:type="dxa"/>
            <w:vAlign w:val="bottom"/>
          </w:tcPr>
          <w:p w14:paraId="2CCBB702"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r>
      <w:tr w:rsidR="00BB63E6" w14:paraId="0373CA05"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B53839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4DEC7CEB"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701" w:type="dxa"/>
            <w:vAlign w:val="bottom"/>
          </w:tcPr>
          <w:p w14:paraId="0481126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6.640 €</w:t>
            </w:r>
          </w:p>
        </w:tc>
        <w:tc>
          <w:tcPr>
            <w:tcW w:w="1701" w:type="dxa"/>
            <w:vAlign w:val="bottom"/>
          </w:tcPr>
          <w:p w14:paraId="66AC84E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-2,1%</w:t>
            </w:r>
          </w:p>
        </w:tc>
      </w:tr>
      <w:tr w:rsidR="00BB63E6" w14:paraId="18B9F7E9"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C19E07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57C4BCA6"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Just Desvern</w:t>
            </w:r>
          </w:p>
        </w:tc>
        <w:tc>
          <w:tcPr>
            <w:tcW w:w="1701" w:type="dxa"/>
            <w:vAlign w:val="bottom"/>
          </w:tcPr>
          <w:p w14:paraId="3186057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6.633 €</w:t>
            </w:r>
          </w:p>
        </w:tc>
        <w:tc>
          <w:tcPr>
            <w:tcW w:w="1701" w:type="dxa"/>
            <w:vAlign w:val="bottom"/>
          </w:tcPr>
          <w:p w14:paraId="7D8CAC4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8,5%</w:t>
            </w:r>
          </w:p>
        </w:tc>
      </w:tr>
    </w:tbl>
    <w:p w14:paraId="31687080" w14:textId="77777777" w:rsidR="00BB63E6" w:rsidRDefault="00000000">
      <w:pPr>
        <w:pBdr>
          <w:top w:val="nil"/>
          <w:left w:val="nil"/>
          <w:bottom w:val="nil"/>
          <w:right w:val="nil"/>
          <w:between w:val="nil"/>
        </w:pBdr>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 con menor precio</w:t>
      </w:r>
    </w:p>
    <w:tbl>
      <w:tblPr>
        <w:tblStyle w:val="a5"/>
        <w:tblW w:w="7230"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87"/>
        <w:gridCol w:w="2121"/>
        <w:gridCol w:w="1821"/>
        <w:gridCol w:w="1701"/>
      </w:tblGrid>
      <w:tr w:rsidR="00BB63E6" w14:paraId="49D21C77" w14:textId="77777777" w:rsidTr="00BB63E6">
        <w:trPr>
          <w:cnfStyle w:val="100000000000" w:firstRow="1" w:lastRow="0" w:firstColumn="0" w:lastColumn="0" w:oddVBand="0" w:evenVBand="0" w:oddHBand="0"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14:paraId="0EB0A39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121" w:type="dxa"/>
            <w:vAlign w:val="center"/>
          </w:tcPr>
          <w:p w14:paraId="2980771A" w14:textId="77777777" w:rsidR="00BB63E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21" w:type="dxa"/>
            <w:vAlign w:val="center"/>
          </w:tcPr>
          <w:p w14:paraId="4065F078" w14:textId="77777777" w:rsidR="00BB63E6" w:rsidRDefault="00000000">
            <w:pPr>
              <w:ind w:left="1416" w:hanging="1416"/>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xml:space="preserve">Feb. 2026 </w:t>
            </w:r>
          </w:p>
          <w:p w14:paraId="21C70523" w14:textId="77777777" w:rsidR="00BB63E6" w:rsidRDefault="00000000">
            <w:pPr>
              <w:ind w:left="1416" w:hanging="1416"/>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701" w:type="dxa"/>
            <w:vAlign w:val="center"/>
          </w:tcPr>
          <w:p w14:paraId="6B1CC583"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BB63E6" w14:paraId="62D5E422"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1C9ACE0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121" w:type="dxa"/>
            <w:vAlign w:val="bottom"/>
          </w:tcPr>
          <w:p w14:paraId="79DEE9B6"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del Arzobispo</w:t>
            </w:r>
          </w:p>
        </w:tc>
        <w:tc>
          <w:tcPr>
            <w:tcW w:w="1821" w:type="dxa"/>
            <w:vAlign w:val="bottom"/>
          </w:tcPr>
          <w:p w14:paraId="77B8DF0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632 €</w:t>
            </w:r>
          </w:p>
        </w:tc>
        <w:tc>
          <w:tcPr>
            <w:tcW w:w="1701" w:type="dxa"/>
            <w:vAlign w:val="bottom"/>
          </w:tcPr>
          <w:p w14:paraId="0A510FC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r>
      <w:tr w:rsidR="00BB63E6" w14:paraId="352A04E1"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429DCCB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121" w:type="dxa"/>
            <w:vAlign w:val="bottom"/>
          </w:tcPr>
          <w:p w14:paraId="3AC32C39"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Torreperogil</w:t>
            </w:r>
          </w:p>
        </w:tc>
        <w:tc>
          <w:tcPr>
            <w:tcW w:w="1821" w:type="dxa"/>
            <w:vAlign w:val="bottom"/>
          </w:tcPr>
          <w:p w14:paraId="6C8452D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660 €</w:t>
            </w:r>
          </w:p>
        </w:tc>
        <w:tc>
          <w:tcPr>
            <w:tcW w:w="1701" w:type="dxa"/>
            <w:vAlign w:val="bottom"/>
          </w:tcPr>
          <w:p w14:paraId="2B6AA43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2,0%</w:t>
            </w:r>
          </w:p>
        </w:tc>
      </w:tr>
      <w:tr w:rsidR="00BB63E6" w14:paraId="6CC8F2F1"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280A091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121" w:type="dxa"/>
            <w:vAlign w:val="bottom"/>
          </w:tcPr>
          <w:p w14:paraId="240BEA5C"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Carolina</w:t>
            </w:r>
          </w:p>
        </w:tc>
        <w:tc>
          <w:tcPr>
            <w:tcW w:w="1821" w:type="dxa"/>
            <w:vAlign w:val="bottom"/>
          </w:tcPr>
          <w:p w14:paraId="782AA2E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680 €</w:t>
            </w:r>
          </w:p>
        </w:tc>
        <w:tc>
          <w:tcPr>
            <w:tcW w:w="1701" w:type="dxa"/>
            <w:vAlign w:val="bottom"/>
          </w:tcPr>
          <w:p w14:paraId="16B9B10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-5,5%</w:t>
            </w:r>
          </w:p>
        </w:tc>
      </w:tr>
      <w:tr w:rsidR="00BB63E6" w14:paraId="614EC57D"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741CF77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121" w:type="dxa"/>
            <w:vAlign w:val="bottom"/>
          </w:tcPr>
          <w:p w14:paraId="164F8500"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Jamilena</w:t>
            </w:r>
          </w:p>
        </w:tc>
        <w:tc>
          <w:tcPr>
            <w:tcW w:w="1821" w:type="dxa"/>
            <w:vAlign w:val="bottom"/>
          </w:tcPr>
          <w:p w14:paraId="03AE1DF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697 €</w:t>
            </w:r>
          </w:p>
        </w:tc>
        <w:tc>
          <w:tcPr>
            <w:tcW w:w="1701" w:type="dxa"/>
            <w:vAlign w:val="bottom"/>
          </w:tcPr>
          <w:p w14:paraId="49BFE20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r>
      <w:tr w:rsidR="00BB63E6" w14:paraId="5269DB45"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25FB26E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121" w:type="dxa"/>
            <w:vAlign w:val="bottom"/>
          </w:tcPr>
          <w:p w14:paraId="2F1115C2"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Socuéllamos</w:t>
            </w:r>
          </w:p>
        </w:tc>
        <w:tc>
          <w:tcPr>
            <w:tcW w:w="1821" w:type="dxa"/>
            <w:vAlign w:val="bottom"/>
          </w:tcPr>
          <w:p w14:paraId="3D7C8E2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710 €</w:t>
            </w:r>
          </w:p>
        </w:tc>
        <w:tc>
          <w:tcPr>
            <w:tcW w:w="1701" w:type="dxa"/>
            <w:vAlign w:val="bottom"/>
          </w:tcPr>
          <w:p w14:paraId="6E65CCA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2,4%</w:t>
            </w:r>
          </w:p>
        </w:tc>
      </w:tr>
      <w:tr w:rsidR="00BB63E6" w14:paraId="2FF03235"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420DB86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121" w:type="dxa"/>
            <w:vAlign w:val="bottom"/>
          </w:tcPr>
          <w:p w14:paraId="236885E3"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Fortuna</w:t>
            </w:r>
          </w:p>
        </w:tc>
        <w:tc>
          <w:tcPr>
            <w:tcW w:w="1821" w:type="dxa"/>
            <w:vAlign w:val="bottom"/>
          </w:tcPr>
          <w:p w14:paraId="7BE524F6"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721 €</w:t>
            </w:r>
          </w:p>
        </w:tc>
        <w:tc>
          <w:tcPr>
            <w:tcW w:w="1701" w:type="dxa"/>
            <w:vAlign w:val="bottom"/>
          </w:tcPr>
          <w:p w14:paraId="20C7E6DB" w14:textId="77777777" w:rsidR="00BB63E6" w:rsidRDefault="00BB63E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BB63E6" w14:paraId="6BE2E96A"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2CC2DC2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121" w:type="dxa"/>
            <w:vAlign w:val="bottom"/>
          </w:tcPr>
          <w:p w14:paraId="4A843675"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Calasparra</w:t>
            </w:r>
          </w:p>
        </w:tc>
        <w:tc>
          <w:tcPr>
            <w:tcW w:w="1821" w:type="dxa"/>
            <w:vAlign w:val="bottom"/>
          </w:tcPr>
          <w:p w14:paraId="4D29F72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727 €</w:t>
            </w:r>
          </w:p>
        </w:tc>
        <w:tc>
          <w:tcPr>
            <w:tcW w:w="1701" w:type="dxa"/>
            <w:vAlign w:val="bottom"/>
          </w:tcPr>
          <w:p w14:paraId="5DFA718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-1,0%</w:t>
            </w:r>
          </w:p>
        </w:tc>
      </w:tr>
      <w:tr w:rsidR="00BB63E6" w14:paraId="4988012D"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7B21746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121" w:type="dxa"/>
            <w:vAlign w:val="bottom"/>
          </w:tcPr>
          <w:p w14:paraId="4D7A843B"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Trujillo</w:t>
            </w:r>
          </w:p>
        </w:tc>
        <w:tc>
          <w:tcPr>
            <w:tcW w:w="1821" w:type="dxa"/>
            <w:vAlign w:val="bottom"/>
          </w:tcPr>
          <w:p w14:paraId="702FA0E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728 €</w:t>
            </w:r>
          </w:p>
        </w:tc>
        <w:tc>
          <w:tcPr>
            <w:tcW w:w="1701" w:type="dxa"/>
            <w:vAlign w:val="bottom"/>
          </w:tcPr>
          <w:p w14:paraId="6E3D879A" w14:textId="77777777" w:rsidR="00BB63E6" w:rsidRDefault="00BB63E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p>
        </w:tc>
      </w:tr>
      <w:tr w:rsidR="00BB63E6" w14:paraId="21A4CC31" w14:textId="77777777" w:rsidTr="00BB63E6">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01A1FA49"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121" w:type="dxa"/>
            <w:vAlign w:val="bottom"/>
          </w:tcPr>
          <w:p w14:paraId="3E0B7B51" w14:textId="77777777" w:rsidR="00BB63E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Montijo</w:t>
            </w:r>
          </w:p>
        </w:tc>
        <w:tc>
          <w:tcPr>
            <w:tcW w:w="1821" w:type="dxa"/>
            <w:vAlign w:val="bottom"/>
          </w:tcPr>
          <w:p w14:paraId="5986A02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730 €</w:t>
            </w:r>
          </w:p>
        </w:tc>
        <w:tc>
          <w:tcPr>
            <w:tcW w:w="1701" w:type="dxa"/>
            <w:vAlign w:val="bottom"/>
          </w:tcPr>
          <w:p w14:paraId="1CB9DEC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r>
      <w:tr w:rsidR="00BB63E6" w14:paraId="56A0B512" w14:textId="77777777" w:rsidTr="00BB63E6">
        <w:trPr>
          <w:trHeight w:val="212"/>
          <w:jc w:val="center"/>
        </w:trPr>
        <w:tc>
          <w:tcPr>
            <w:cnfStyle w:val="001000000000" w:firstRow="0" w:lastRow="0" w:firstColumn="1" w:lastColumn="0" w:oddVBand="0" w:evenVBand="0" w:oddHBand="0" w:evenHBand="0" w:firstRowFirstColumn="0" w:firstRowLastColumn="0" w:lastRowFirstColumn="0" w:lastRowLastColumn="0"/>
            <w:tcW w:w="1587" w:type="dxa"/>
            <w:vAlign w:val="bottom"/>
          </w:tcPr>
          <w:p w14:paraId="4A3A415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121" w:type="dxa"/>
            <w:vAlign w:val="bottom"/>
          </w:tcPr>
          <w:p w14:paraId="37E9F376" w14:textId="77777777" w:rsidR="00BB63E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Peñarroya-Pueblonuevo</w:t>
            </w:r>
          </w:p>
        </w:tc>
        <w:tc>
          <w:tcPr>
            <w:tcW w:w="1821" w:type="dxa"/>
            <w:vAlign w:val="bottom"/>
          </w:tcPr>
          <w:p w14:paraId="252DC09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748 €</w:t>
            </w:r>
          </w:p>
        </w:tc>
        <w:tc>
          <w:tcPr>
            <w:tcW w:w="1701" w:type="dxa"/>
            <w:vAlign w:val="bottom"/>
          </w:tcPr>
          <w:p w14:paraId="67417E8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-0,3%</w:t>
            </w:r>
          </w:p>
        </w:tc>
      </w:tr>
    </w:tbl>
    <w:p w14:paraId="6E4F692D" w14:textId="77777777" w:rsidR="00BB63E6" w:rsidRDefault="00BB63E6">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p>
    <w:p w14:paraId="7782C3ED"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Madrid</w:t>
      </w:r>
    </w:p>
    <w:p w14:paraId="6EA3608B" w14:textId="77777777" w:rsidR="00BB63E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los 20 distritos con variación interanual analizados por </w:t>
      </w:r>
      <w:hyperlink r:id="rId14">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interanuales de la vivienda son:  Usera (32,9%), Ciudad Lineal (25,1%), Puente de Vallecas (24,4%), Villaverde (24,0%), Latina (23,8%), Moratalaz (23,1%), Villa de Vallecas (22,7%), Carabanchel (19,9%), San Blas (16,7%), Arganzuela (15,3%), Tetuán (15,1%), Chamartín (14,7%), Chamberí (14,4%), Vicálvaro (14,2%), Moncloa - Aravaca (12,5%), Centro (8,9%), Retiro (8,5%), Barrio de Salamanca (8,3%), Fuencarral - El Pardo (6,8%) y Hortaleza (0,2%).</w:t>
      </w:r>
    </w:p>
    <w:p w14:paraId="0CBBA1AC" w14:textId="77777777" w:rsidR="00BB63E6" w:rsidRDefault="00BB63E6">
      <w:pPr>
        <w:spacing w:line="276" w:lineRule="auto"/>
        <w:jc w:val="both"/>
      </w:pPr>
    </w:p>
    <w:p w14:paraId="1535E9A0" w14:textId="77777777" w:rsidR="00BB63E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Los dos distritos por encima de los 8.000 euros es: Barrio de Salamanca con 10.792 euros/m</w:t>
      </w:r>
      <w:r>
        <w:rPr>
          <w:rFonts w:ascii="Open Sans" w:eastAsia="Open Sans" w:hAnsi="Open Sans" w:cs="Open Sans"/>
          <w:color w:val="000000"/>
          <w:vertAlign w:val="superscript"/>
        </w:rPr>
        <w:t>2</w:t>
      </w:r>
      <w:r>
        <w:rPr>
          <w:rFonts w:ascii="Open Sans" w:eastAsia="Open Sans" w:hAnsi="Open Sans" w:cs="Open Sans"/>
          <w:color w:val="000000"/>
        </w:rPr>
        <w:t>, Chamberí con 9.384 euros/m</w:t>
      </w:r>
      <w:r>
        <w:rPr>
          <w:rFonts w:ascii="Open Sans" w:eastAsia="Open Sans" w:hAnsi="Open Sans" w:cs="Open Sans"/>
          <w:color w:val="000000"/>
          <w:vertAlign w:val="superscript"/>
        </w:rPr>
        <w:t>2</w:t>
      </w:r>
      <w:r>
        <w:rPr>
          <w:rFonts w:ascii="Open Sans" w:eastAsia="Open Sans" w:hAnsi="Open Sans" w:cs="Open Sans"/>
          <w:color w:val="000000"/>
        </w:rPr>
        <w:t>, Retiro con 8.750 euros/m</w:t>
      </w:r>
      <w:r>
        <w:rPr>
          <w:rFonts w:ascii="Open Sans" w:eastAsia="Open Sans" w:hAnsi="Open Sans" w:cs="Open Sans"/>
          <w:color w:val="000000"/>
          <w:vertAlign w:val="superscript"/>
        </w:rPr>
        <w:t>2</w:t>
      </w:r>
      <w:r>
        <w:rPr>
          <w:rFonts w:ascii="Open Sans" w:eastAsia="Open Sans" w:hAnsi="Open Sans" w:cs="Open Sans"/>
          <w:color w:val="000000"/>
        </w:rPr>
        <w:t xml:space="preserve"> y Chamartín con 8.138 euros/m</w:t>
      </w:r>
      <w:r>
        <w:rPr>
          <w:rFonts w:ascii="Open Sans" w:eastAsia="Open Sans" w:hAnsi="Open Sans" w:cs="Open Sans"/>
          <w:color w:val="000000"/>
          <w:vertAlign w:val="superscript"/>
        </w:rPr>
        <w:t>2</w:t>
      </w:r>
      <w:r>
        <w:rPr>
          <w:rFonts w:ascii="Open Sans" w:eastAsia="Open Sans" w:hAnsi="Open Sans" w:cs="Open Sans"/>
          <w:color w:val="000000"/>
        </w:rPr>
        <w:t xml:space="preserve">. Por otro lado, los distritos con el precio de la vivienda más </w:t>
      </w:r>
      <w:r>
        <w:rPr>
          <w:rFonts w:ascii="Open Sans" w:eastAsia="Open Sans" w:hAnsi="Open Sans" w:cs="Open Sans"/>
          <w:color w:val="000000"/>
        </w:rPr>
        <w:lastRenderedPageBreak/>
        <w:t>económico son Villaverde con 2.794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3.177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3.570 euros/m</w:t>
      </w:r>
      <w:r>
        <w:rPr>
          <w:rFonts w:ascii="Open Sans" w:eastAsia="Open Sans" w:hAnsi="Open Sans" w:cs="Open Sans"/>
          <w:color w:val="000000"/>
          <w:vertAlign w:val="superscript"/>
        </w:rPr>
        <w:t>2</w:t>
      </w:r>
      <w:r>
        <w:rPr>
          <w:rFonts w:ascii="Open Sans" w:eastAsia="Open Sans" w:hAnsi="Open Sans" w:cs="Open Sans"/>
          <w:color w:val="000000"/>
        </w:rPr>
        <w:t>.</w:t>
      </w:r>
    </w:p>
    <w:p w14:paraId="5050640F" w14:textId="77777777" w:rsidR="00BB63E6"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Madrid de mayor a menor incremento interanual</w:t>
      </w: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BB63E6" w14:paraId="6EAD1D45" w14:textId="77777777" w:rsidTr="00BB63E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371B717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32DD7A50"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75AA27D9"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985" w:type="dxa"/>
            <w:tcBorders>
              <w:bottom w:val="single" w:sz="4" w:space="0" w:color="FFFFFF"/>
            </w:tcBorders>
            <w:vAlign w:val="center"/>
          </w:tcPr>
          <w:p w14:paraId="1BC7B967"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58206AC6"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BB63E6" w14:paraId="638A9D08"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248DD2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4057CE3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3.570 €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390148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496FDD5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32,9%</w:t>
            </w:r>
          </w:p>
        </w:tc>
      </w:tr>
      <w:tr w:rsidR="00BB63E6" w14:paraId="14C3979E"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7B71A9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2684E9A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5.441 €</w:t>
            </w:r>
          </w:p>
        </w:tc>
        <w:tc>
          <w:tcPr>
            <w:tcW w:w="1985" w:type="dxa"/>
            <w:tcBorders>
              <w:top w:val="single" w:sz="4" w:space="0" w:color="FFFFFF"/>
              <w:left w:val="single" w:sz="4" w:space="0" w:color="FFFFFF"/>
              <w:bottom w:val="single" w:sz="4" w:space="0" w:color="FFFFFF"/>
              <w:right w:val="single" w:sz="4" w:space="0" w:color="FFFFFF"/>
            </w:tcBorders>
            <w:vAlign w:val="bottom"/>
          </w:tcPr>
          <w:p w14:paraId="540485B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4C8B3D83"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25,1%</w:t>
            </w:r>
          </w:p>
        </w:tc>
      </w:tr>
      <w:tr w:rsidR="00BB63E6" w14:paraId="17B145D8"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E9C57C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EDF21F0"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3.177 €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125CF1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285F26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24,4%</w:t>
            </w:r>
          </w:p>
        </w:tc>
      </w:tr>
      <w:tr w:rsidR="00BB63E6" w14:paraId="309A8946"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6D11CA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1F44FA7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2.794 €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448E81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3,1%</w:t>
            </w:r>
          </w:p>
        </w:tc>
        <w:tc>
          <w:tcPr>
            <w:tcW w:w="1963" w:type="dxa"/>
            <w:tcBorders>
              <w:top w:val="single" w:sz="4" w:space="0" w:color="FFFFFF"/>
              <w:left w:val="single" w:sz="4" w:space="0" w:color="FFFFFF"/>
              <w:bottom w:val="single" w:sz="4" w:space="0" w:color="FFFFFF"/>
              <w:right w:val="single" w:sz="4" w:space="0" w:color="FFFFFF"/>
            </w:tcBorders>
            <w:vAlign w:val="bottom"/>
          </w:tcPr>
          <w:p w14:paraId="6BFBA94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24,0%</w:t>
            </w:r>
          </w:p>
        </w:tc>
      </w:tr>
      <w:tr w:rsidR="00BB63E6" w14:paraId="0963D447"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39112FB"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5F91E4C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3.832 €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02659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2600D7C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23,8%</w:t>
            </w:r>
          </w:p>
        </w:tc>
      </w:tr>
      <w:tr w:rsidR="00BB63E6" w14:paraId="6E020F6A"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5D3647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29C2C7D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4.209 €</w:t>
            </w:r>
          </w:p>
        </w:tc>
        <w:tc>
          <w:tcPr>
            <w:tcW w:w="1985" w:type="dxa"/>
            <w:tcBorders>
              <w:top w:val="single" w:sz="4" w:space="0" w:color="FFFFFF"/>
              <w:left w:val="single" w:sz="4" w:space="0" w:color="FFFFFF"/>
              <w:bottom w:val="single" w:sz="4" w:space="0" w:color="FFFFFF"/>
              <w:right w:val="single" w:sz="4" w:space="0" w:color="FFFFFF"/>
            </w:tcBorders>
            <w:vAlign w:val="bottom"/>
          </w:tcPr>
          <w:p w14:paraId="3079079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2E2574E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23,1%</w:t>
            </w:r>
          </w:p>
        </w:tc>
      </w:tr>
      <w:tr w:rsidR="00BB63E6" w14:paraId="0F216C0C"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016456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5170550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3.675 €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D7BEA7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75DF35D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22,7%</w:t>
            </w:r>
          </w:p>
        </w:tc>
      </w:tr>
      <w:tr w:rsidR="00BB63E6" w14:paraId="75AEB370"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03AD46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3BF3A7F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3.699 €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D80B20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1D3AD94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19,9%</w:t>
            </w:r>
          </w:p>
        </w:tc>
      </w:tr>
      <w:tr w:rsidR="00BB63E6" w14:paraId="0B3BB883"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A26BB6F"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AF172F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4.139 €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BD3EE7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7C70B77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16,7%</w:t>
            </w:r>
          </w:p>
        </w:tc>
      </w:tr>
      <w:tr w:rsidR="00BB63E6" w14:paraId="7FA4D4AE"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D22305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73A6312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6.283 €</w:t>
            </w:r>
          </w:p>
        </w:tc>
        <w:tc>
          <w:tcPr>
            <w:tcW w:w="1985" w:type="dxa"/>
            <w:tcBorders>
              <w:top w:val="single" w:sz="4" w:space="0" w:color="FFFFFF"/>
              <w:left w:val="single" w:sz="4" w:space="0" w:color="FFFFFF"/>
              <w:bottom w:val="single" w:sz="4" w:space="0" w:color="FFFFFF"/>
              <w:right w:val="single" w:sz="4" w:space="0" w:color="FFFFFF"/>
            </w:tcBorders>
            <w:vAlign w:val="bottom"/>
          </w:tcPr>
          <w:p w14:paraId="49B8AF6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4,7%</w:t>
            </w:r>
          </w:p>
        </w:tc>
        <w:tc>
          <w:tcPr>
            <w:tcW w:w="1963" w:type="dxa"/>
            <w:tcBorders>
              <w:top w:val="single" w:sz="4" w:space="0" w:color="FFFFFF"/>
              <w:left w:val="single" w:sz="4" w:space="0" w:color="FFFFFF"/>
              <w:bottom w:val="single" w:sz="4" w:space="0" w:color="FFFFFF"/>
              <w:right w:val="single" w:sz="4" w:space="0" w:color="FFFFFF"/>
            </w:tcBorders>
            <w:vAlign w:val="bottom"/>
          </w:tcPr>
          <w:p w14:paraId="4D2E2DE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15,3%</w:t>
            </w:r>
          </w:p>
        </w:tc>
      </w:tr>
      <w:tr w:rsidR="00BB63E6" w14:paraId="7E7A0D24"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180138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597995F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87B8EBC"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-3,9%</w:t>
            </w:r>
          </w:p>
        </w:tc>
        <w:tc>
          <w:tcPr>
            <w:tcW w:w="1963" w:type="dxa"/>
            <w:tcBorders>
              <w:top w:val="single" w:sz="4" w:space="0" w:color="FFFFFF"/>
              <w:left w:val="single" w:sz="4" w:space="0" w:color="FFFFFF"/>
              <w:bottom w:val="single" w:sz="4" w:space="0" w:color="FFFFFF"/>
              <w:right w:val="single" w:sz="4" w:space="0" w:color="FFFFFF"/>
            </w:tcBorders>
            <w:vAlign w:val="bottom"/>
          </w:tcPr>
          <w:p w14:paraId="271F7FE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15,1%</w:t>
            </w:r>
          </w:p>
        </w:tc>
      </w:tr>
      <w:tr w:rsidR="00BB63E6" w14:paraId="6D65BD6E"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B570A9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453D83D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8.138 €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3F7B22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307AADA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14,7%</w:t>
            </w:r>
          </w:p>
        </w:tc>
      </w:tr>
      <w:tr w:rsidR="00BB63E6" w14:paraId="377E86E5"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321214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590614B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561A7B"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5742C4A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14,4%</w:t>
            </w:r>
          </w:p>
        </w:tc>
      </w:tr>
      <w:tr w:rsidR="00BB63E6" w14:paraId="007933EE"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C09C554"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6DE3DB9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6C12E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221E5395"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14,2%</w:t>
            </w:r>
          </w:p>
        </w:tc>
      </w:tr>
      <w:tr w:rsidR="00BB63E6" w14:paraId="5091C621"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4C9D8C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E8EF1D1"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7.192 €</w:t>
            </w:r>
          </w:p>
        </w:tc>
        <w:tc>
          <w:tcPr>
            <w:tcW w:w="1985" w:type="dxa"/>
            <w:tcBorders>
              <w:top w:val="single" w:sz="4" w:space="0" w:color="FFFFFF"/>
              <w:left w:val="single" w:sz="4" w:space="0" w:color="FFFFFF"/>
              <w:bottom w:val="single" w:sz="4" w:space="0" w:color="FFFFFF"/>
              <w:right w:val="single" w:sz="4" w:space="0" w:color="FFFFFF"/>
            </w:tcBorders>
            <w:vAlign w:val="bottom"/>
          </w:tcPr>
          <w:p w14:paraId="1CDF867E"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c>
          <w:tcPr>
            <w:tcW w:w="1963" w:type="dxa"/>
            <w:tcBorders>
              <w:top w:val="single" w:sz="4" w:space="0" w:color="FFFFFF"/>
              <w:left w:val="single" w:sz="4" w:space="0" w:color="FFFFFF"/>
              <w:bottom w:val="single" w:sz="4" w:space="0" w:color="FFFFFF"/>
              <w:right w:val="single" w:sz="4" w:space="0" w:color="FFFFFF"/>
            </w:tcBorders>
            <w:vAlign w:val="bottom"/>
          </w:tcPr>
          <w:p w14:paraId="46373FA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12,5%</w:t>
            </w:r>
          </w:p>
        </w:tc>
      </w:tr>
      <w:tr w:rsidR="00BB63E6" w14:paraId="4A38923B"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36ABF60"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313C821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7958943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563BABB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8,9%</w:t>
            </w:r>
          </w:p>
        </w:tc>
      </w:tr>
      <w:tr w:rsidR="00BB63E6" w14:paraId="2348FC14"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74EC516"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3EBCD2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8.750 €</w:t>
            </w:r>
          </w:p>
        </w:tc>
        <w:tc>
          <w:tcPr>
            <w:tcW w:w="1985" w:type="dxa"/>
            <w:tcBorders>
              <w:top w:val="single" w:sz="4" w:space="0" w:color="FFFFFF"/>
              <w:left w:val="single" w:sz="4" w:space="0" w:color="FFFFFF"/>
              <w:bottom w:val="single" w:sz="4" w:space="0" w:color="FFFFFF"/>
              <w:right w:val="single" w:sz="4" w:space="0" w:color="FFFFFF"/>
            </w:tcBorders>
            <w:vAlign w:val="bottom"/>
          </w:tcPr>
          <w:p w14:paraId="282A749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7FC77E66"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8,5%</w:t>
            </w:r>
          </w:p>
        </w:tc>
      </w:tr>
      <w:tr w:rsidR="00BB63E6" w14:paraId="706D7C6C"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1FB49D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604C3D8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10.792 €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E24DD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6FD24351"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8,3%</w:t>
            </w:r>
          </w:p>
        </w:tc>
      </w:tr>
      <w:tr w:rsidR="00BB63E6" w14:paraId="66B62574"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34B412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690E7F9A"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5.595 €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42375F"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43531E1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6,8%</w:t>
            </w:r>
          </w:p>
        </w:tc>
      </w:tr>
      <w:tr w:rsidR="00BB63E6" w14:paraId="6B3F2116"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4C7CFD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307C8EB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5.341 €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57C042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7,8%</w:t>
            </w:r>
          </w:p>
        </w:tc>
        <w:tc>
          <w:tcPr>
            <w:tcW w:w="1963" w:type="dxa"/>
            <w:tcBorders>
              <w:top w:val="single" w:sz="4" w:space="0" w:color="FFFFFF"/>
              <w:left w:val="single" w:sz="4" w:space="0" w:color="FFFFFF"/>
              <w:bottom w:val="single" w:sz="4" w:space="0" w:color="FFFFFF"/>
              <w:right w:val="single" w:sz="4" w:space="0" w:color="FFFFFF"/>
            </w:tcBorders>
            <w:vAlign w:val="bottom"/>
          </w:tcPr>
          <w:p w14:paraId="71B942A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0,2%</w:t>
            </w:r>
          </w:p>
        </w:tc>
      </w:tr>
    </w:tbl>
    <w:p w14:paraId="6FE54525" w14:textId="77777777" w:rsidR="00BB63E6"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Barcelona</w:t>
      </w:r>
    </w:p>
    <w:p w14:paraId="499A9BE5" w14:textId="77777777" w:rsidR="00BB63E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los diez distritos con variación interanual analizados por </w:t>
      </w:r>
      <w:hyperlink r:id="rId15">
        <w:r>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 Gràcia</w:t>
      </w:r>
      <w:r>
        <w:rPr>
          <w:rFonts w:ascii="Open Sans" w:eastAsia="Open Sans" w:hAnsi="Open Sans" w:cs="Open Sans"/>
          <w:color w:val="000000"/>
        </w:rPr>
        <w:tab/>
        <w:t xml:space="preserve"> (18,6%), Nou Barris (17,2%), Sarrià - Sant Gervasi (16,4%), Sant Martí (12,0%), Les Corts (9,8%), Horta - Guinardó (6,9%), Eixample (6,8%), Sant Andreu (3,1%), Sants - Montjuïc (2,5%) y Ciutat Vella (0,5%).</w:t>
      </w:r>
    </w:p>
    <w:p w14:paraId="4B5B78FB" w14:textId="77777777" w:rsidR="00BB63E6" w:rsidRDefault="00BB63E6">
      <w:pPr>
        <w:spacing w:line="276" w:lineRule="auto"/>
        <w:jc w:val="both"/>
        <w:rPr>
          <w:rFonts w:ascii="Open Sans" w:eastAsia="Open Sans" w:hAnsi="Open Sans" w:cs="Open Sans"/>
          <w:color w:val="000000"/>
        </w:rPr>
      </w:pPr>
    </w:p>
    <w:p w14:paraId="0F3D1864" w14:textId="77777777" w:rsidR="00BB63E6"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febrero, vemos que el orden de los distritos de mayor a menor precio es: Sarrià - Sant Gervasi con 7.620 euros/m</w:t>
      </w:r>
      <w:r>
        <w:rPr>
          <w:rFonts w:ascii="Open Sans" w:eastAsia="Open Sans" w:hAnsi="Open Sans" w:cs="Open Sans"/>
          <w:color w:val="000000"/>
          <w:vertAlign w:val="superscript"/>
        </w:rPr>
        <w:t>2</w:t>
      </w:r>
      <w:r>
        <w:rPr>
          <w:rFonts w:ascii="Open Sans" w:eastAsia="Open Sans" w:hAnsi="Open Sans" w:cs="Open Sans"/>
          <w:color w:val="000000"/>
        </w:rPr>
        <w:t>, Eixample con 6.861 euros/m</w:t>
      </w:r>
      <w:r>
        <w:rPr>
          <w:rFonts w:ascii="Open Sans" w:eastAsia="Open Sans" w:hAnsi="Open Sans" w:cs="Open Sans"/>
          <w:color w:val="000000"/>
          <w:vertAlign w:val="superscript"/>
        </w:rPr>
        <w:t>2</w:t>
      </w:r>
      <w:r>
        <w:rPr>
          <w:rFonts w:ascii="Open Sans" w:eastAsia="Open Sans" w:hAnsi="Open Sans" w:cs="Open Sans"/>
          <w:color w:val="000000"/>
        </w:rPr>
        <w:t>, Les Corts con 6.637 euros/m</w:t>
      </w:r>
      <w:r>
        <w:rPr>
          <w:rFonts w:ascii="Open Sans" w:eastAsia="Open Sans" w:hAnsi="Open Sans" w:cs="Open Sans"/>
          <w:color w:val="000000"/>
          <w:vertAlign w:val="superscript"/>
        </w:rPr>
        <w:t>2</w:t>
      </w:r>
      <w:r>
        <w:rPr>
          <w:rFonts w:ascii="Open Sans" w:eastAsia="Open Sans" w:hAnsi="Open Sans" w:cs="Open Sans"/>
          <w:color w:val="000000"/>
        </w:rPr>
        <w:t>, Gràcia con 6.173 euros/m</w:t>
      </w:r>
      <w:r>
        <w:rPr>
          <w:rFonts w:ascii="Open Sans" w:eastAsia="Open Sans" w:hAnsi="Open Sans" w:cs="Open Sans"/>
          <w:color w:val="000000"/>
          <w:vertAlign w:val="superscript"/>
        </w:rPr>
        <w:t>2</w:t>
      </w:r>
      <w:r>
        <w:rPr>
          <w:rFonts w:ascii="Open Sans" w:eastAsia="Open Sans" w:hAnsi="Open Sans" w:cs="Open Sans"/>
          <w:color w:val="000000"/>
        </w:rPr>
        <w:t>, Sant Martí con 5.272 euros/m</w:t>
      </w:r>
      <w:r>
        <w:rPr>
          <w:rFonts w:ascii="Open Sans" w:eastAsia="Open Sans" w:hAnsi="Open Sans" w:cs="Open Sans"/>
          <w:color w:val="000000"/>
          <w:vertAlign w:val="superscript"/>
        </w:rPr>
        <w:t>2</w:t>
      </w:r>
      <w:r>
        <w:rPr>
          <w:rFonts w:ascii="Open Sans" w:eastAsia="Open Sans" w:hAnsi="Open Sans" w:cs="Open Sans"/>
          <w:color w:val="000000"/>
        </w:rPr>
        <w:t>, Ciutat Vella con 5.056 euros/m</w:t>
      </w:r>
      <w:r>
        <w:rPr>
          <w:rFonts w:ascii="Open Sans" w:eastAsia="Open Sans" w:hAnsi="Open Sans" w:cs="Open Sans"/>
          <w:color w:val="000000"/>
          <w:vertAlign w:val="superscript"/>
        </w:rPr>
        <w:t>2</w:t>
      </w:r>
      <w:r>
        <w:rPr>
          <w:rFonts w:ascii="Open Sans" w:eastAsia="Open Sans" w:hAnsi="Open Sans" w:cs="Open Sans"/>
          <w:color w:val="000000"/>
        </w:rPr>
        <w:t xml:space="preserve">, Sants - </w:t>
      </w:r>
      <w:r>
        <w:rPr>
          <w:rFonts w:ascii="Open Sans" w:eastAsia="Open Sans" w:hAnsi="Open Sans" w:cs="Open Sans"/>
          <w:color w:val="000000"/>
        </w:rPr>
        <w:lastRenderedPageBreak/>
        <w:t>Montjuïc con 4.693 euros/m</w:t>
      </w:r>
      <w:r>
        <w:rPr>
          <w:rFonts w:ascii="Open Sans" w:eastAsia="Open Sans" w:hAnsi="Open Sans" w:cs="Open Sans"/>
          <w:color w:val="000000"/>
          <w:vertAlign w:val="superscript"/>
        </w:rPr>
        <w:t>2</w:t>
      </w:r>
      <w:r>
        <w:rPr>
          <w:rFonts w:ascii="Open Sans" w:eastAsia="Open Sans" w:hAnsi="Open Sans" w:cs="Open Sans"/>
          <w:color w:val="000000"/>
        </w:rPr>
        <w:t>, Horta - Guinardó con 4.230 euros/m</w:t>
      </w:r>
      <w:r>
        <w:rPr>
          <w:rFonts w:ascii="Open Sans" w:eastAsia="Open Sans" w:hAnsi="Open Sans" w:cs="Open Sans"/>
          <w:color w:val="000000"/>
          <w:vertAlign w:val="superscript"/>
        </w:rPr>
        <w:t>2</w:t>
      </w:r>
      <w:r>
        <w:rPr>
          <w:rFonts w:ascii="Open Sans" w:eastAsia="Open Sans" w:hAnsi="Open Sans" w:cs="Open Sans"/>
          <w:color w:val="000000"/>
        </w:rPr>
        <w:t>, Sant Andreu con 3.851 euros/m</w:t>
      </w:r>
      <w:r>
        <w:rPr>
          <w:rFonts w:ascii="Open Sans" w:eastAsia="Open Sans" w:hAnsi="Open Sans" w:cs="Open Sans"/>
          <w:color w:val="000000"/>
          <w:vertAlign w:val="superscript"/>
        </w:rPr>
        <w:t>2</w:t>
      </w:r>
      <w:r>
        <w:rPr>
          <w:rFonts w:ascii="Open Sans" w:eastAsia="Open Sans" w:hAnsi="Open Sans" w:cs="Open Sans"/>
          <w:color w:val="000000"/>
        </w:rPr>
        <w:t xml:space="preserve"> y Nou Barris con 3.396 euros/m</w:t>
      </w:r>
      <w:r>
        <w:rPr>
          <w:rFonts w:ascii="Open Sans" w:eastAsia="Open Sans" w:hAnsi="Open Sans" w:cs="Open Sans"/>
          <w:color w:val="000000"/>
          <w:vertAlign w:val="superscript"/>
        </w:rPr>
        <w:t>2</w:t>
      </w:r>
      <w:r>
        <w:rPr>
          <w:rFonts w:ascii="Open Sans" w:eastAsia="Open Sans" w:hAnsi="Open Sans" w:cs="Open Sans"/>
          <w:color w:val="000000"/>
        </w:rPr>
        <w:t>.</w:t>
      </w:r>
    </w:p>
    <w:p w14:paraId="35DD7AB0" w14:textId="77777777" w:rsidR="00BB63E6" w:rsidRDefault="00BB63E6">
      <w:pPr>
        <w:spacing w:line="276" w:lineRule="auto"/>
        <w:jc w:val="both"/>
        <w:rPr>
          <w:rFonts w:ascii="Open Sans" w:eastAsia="Open Sans" w:hAnsi="Open Sans" w:cs="Open Sans"/>
          <w:color w:val="000000"/>
        </w:rPr>
      </w:pPr>
    </w:p>
    <w:p w14:paraId="0CB87AEC" w14:textId="77777777" w:rsidR="00BB63E6"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Distritos de Barcelona de mayor a menor incremento interanual</w:t>
      </w: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BB63E6" w14:paraId="60907C00" w14:textId="77777777" w:rsidTr="00BB63E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1C506011"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409" w:type="dxa"/>
            <w:tcBorders>
              <w:bottom w:val="single" w:sz="4" w:space="0" w:color="FFFFFF"/>
            </w:tcBorders>
            <w:vAlign w:val="center"/>
          </w:tcPr>
          <w:p w14:paraId="528225B8"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Feb. 2026</w:t>
            </w:r>
          </w:p>
          <w:p w14:paraId="65EDF0DD"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(euros/m²)</w:t>
            </w:r>
          </w:p>
        </w:tc>
        <w:tc>
          <w:tcPr>
            <w:tcW w:w="1985" w:type="dxa"/>
            <w:tcBorders>
              <w:bottom w:val="single" w:sz="4" w:space="0" w:color="FFFFFF"/>
            </w:tcBorders>
            <w:vAlign w:val="center"/>
          </w:tcPr>
          <w:p w14:paraId="743E3323"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113CB24A" w14:textId="77777777" w:rsidR="00BB63E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BB63E6" w14:paraId="23D1E6A3"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1F1F1E8"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59DA05F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6.173 €</w:t>
            </w:r>
          </w:p>
        </w:tc>
        <w:tc>
          <w:tcPr>
            <w:tcW w:w="1985" w:type="dxa"/>
            <w:tcBorders>
              <w:top w:val="single" w:sz="4" w:space="0" w:color="FFFFFF"/>
              <w:left w:val="single" w:sz="4" w:space="0" w:color="FFFFFF"/>
              <w:bottom w:val="single" w:sz="4" w:space="0" w:color="FFFFFF"/>
              <w:right w:val="single" w:sz="4" w:space="0" w:color="FFFFFF"/>
            </w:tcBorders>
            <w:vAlign w:val="bottom"/>
          </w:tcPr>
          <w:p w14:paraId="1C23561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4,8%</w:t>
            </w:r>
          </w:p>
        </w:tc>
        <w:tc>
          <w:tcPr>
            <w:tcW w:w="1963" w:type="dxa"/>
            <w:tcBorders>
              <w:top w:val="single" w:sz="4" w:space="0" w:color="FFFFFF"/>
              <w:left w:val="single" w:sz="4" w:space="0" w:color="FFFFFF"/>
              <w:bottom w:val="single" w:sz="4" w:space="0" w:color="FFFFFF"/>
              <w:right w:val="single" w:sz="4" w:space="0" w:color="FFFFFF"/>
            </w:tcBorders>
            <w:vAlign w:val="bottom"/>
          </w:tcPr>
          <w:p w14:paraId="12AA217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18,6%</w:t>
            </w:r>
          </w:p>
        </w:tc>
      </w:tr>
      <w:tr w:rsidR="00BB63E6" w14:paraId="0F6BCF33"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689B4FC"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409" w:type="dxa"/>
            <w:tcBorders>
              <w:top w:val="single" w:sz="4" w:space="0" w:color="FFFFFF"/>
              <w:left w:val="single" w:sz="4" w:space="0" w:color="FFFFFF"/>
              <w:bottom w:val="single" w:sz="4" w:space="0" w:color="FFFFFF"/>
              <w:right w:val="single" w:sz="4" w:space="0" w:color="FFFFFF"/>
            </w:tcBorders>
            <w:vAlign w:val="bottom"/>
          </w:tcPr>
          <w:p w14:paraId="2BF1031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581121A9"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24453E17"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17,2%</w:t>
            </w:r>
          </w:p>
        </w:tc>
      </w:tr>
      <w:tr w:rsidR="00BB63E6" w14:paraId="128BD11D"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35F89F0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1DF8F482"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7.620 €</w:t>
            </w:r>
          </w:p>
        </w:tc>
        <w:tc>
          <w:tcPr>
            <w:tcW w:w="1985" w:type="dxa"/>
            <w:tcBorders>
              <w:top w:val="single" w:sz="4" w:space="0" w:color="FFFFFF"/>
              <w:left w:val="single" w:sz="4" w:space="0" w:color="FFFFFF"/>
              <w:bottom w:val="single" w:sz="4" w:space="0" w:color="FFFFFF"/>
              <w:right w:val="single" w:sz="4" w:space="0" w:color="FFFFFF"/>
            </w:tcBorders>
            <w:vAlign w:val="bottom"/>
          </w:tcPr>
          <w:p w14:paraId="72C8DE77"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1F0B60C3"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16,4%</w:t>
            </w:r>
          </w:p>
        </w:tc>
      </w:tr>
      <w:tr w:rsidR="00BB63E6" w14:paraId="3C725215"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18E208D3"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32793E7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5.272 €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05E8E28"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3,8%</w:t>
            </w:r>
          </w:p>
        </w:tc>
        <w:tc>
          <w:tcPr>
            <w:tcW w:w="1963" w:type="dxa"/>
            <w:tcBorders>
              <w:top w:val="single" w:sz="4" w:space="0" w:color="FFFFFF"/>
              <w:left w:val="single" w:sz="4" w:space="0" w:color="FFFFFF"/>
              <w:bottom w:val="single" w:sz="4" w:space="0" w:color="FFFFFF"/>
              <w:right w:val="single" w:sz="4" w:space="0" w:color="FFFFFF"/>
            </w:tcBorders>
            <w:vAlign w:val="bottom"/>
          </w:tcPr>
          <w:p w14:paraId="76808B70"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12,0%</w:t>
            </w:r>
          </w:p>
        </w:tc>
      </w:tr>
      <w:tr w:rsidR="00BB63E6" w14:paraId="7DE055B9"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8C3B5FE"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572973E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4FC88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4BCC763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9,8%</w:t>
            </w:r>
          </w:p>
        </w:tc>
      </w:tr>
      <w:tr w:rsidR="00BB63E6" w14:paraId="4ADBE911"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245A56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64E80CF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4.230 €</w:t>
            </w:r>
          </w:p>
        </w:tc>
        <w:tc>
          <w:tcPr>
            <w:tcW w:w="1985" w:type="dxa"/>
            <w:tcBorders>
              <w:top w:val="single" w:sz="4" w:space="0" w:color="FFFFFF"/>
              <w:left w:val="single" w:sz="4" w:space="0" w:color="FFFFFF"/>
              <w:bottom w:val="single" w:sz="4" w:space="0" w:color="FFFFFF"/>
              <w:right w:val="single" w:sz="4" w:space="0" w:color="FFFFFF"/>
            </w:tcBorders>
            <w:vAlign w:val="bottom"/>
          </w:tcPr>
          <w:p w14:paraId="3545DBFC"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5415293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6,9%</w:t>
            </w:r>
          </w:p>
        </w:tc>
      </w:tr>
      <w:tr w:rsidR="00BB63E6" w14:paraId="34891B35"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1891E32"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3458490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6.861 €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9F60B2D"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2F178654"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6,8%</w:t>
            </w:r>
          </w:p>
        </w:tc>
      </w:tr>
      <w:tr w:rsidR="00BB63E6" w14:paraId="0EAAE92F"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AE5A02A"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263E31EB"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3.851 €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B0DC2DD"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19F95E7F"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3,1%</w:t>
            </w:r>
          </w:p>
        </w:tc>
      </w:tr>
      <w:tr w:rsidR="00BB63E6" w14:paraId="354C84E7" w14:textId="77777777" w:rsidTr="00BB63E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DC068A5"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697B6119"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4.693 €</w:t>
            </w:r>
          </w:p>
        </w:tc>
        <w:tc>
          <w:tcPr>
            <w:tcW w:w="1985" w:type="dxa"/>
            <w:tcBorders>
              <w:top w:val="single" w:sz="4" w:space="0" w:color="FFFFFF"/>
              <w:left w:val="single" w:sz="4" w:space="0" w:color="FFFFFF"/>
              <w:bottom w:val="single" w:sz="4" w:space="0" w:color="FFFFFF"/>
              <w:right w:val="single" w:sz="4" w:space="0" w:color="FFFFFF"/>
            </w:tcBorders>
            <w:vAlign w:val="bottom"/>
          </w:tcPr>
          <w:p w14:paraId="3D48F02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3231A325" w14:textId="77777777" w:rsidR="00BB63E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2,5%</w:t>
            </w:r>
          </w:p>
        </w:tc>
      </w:tr>
      <w:tr w:rsidR="00BB63E6" w14:paraId="3C5BF8DA" w14:textId="77777777" w:rsidTr="00BB63E6">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5393702D" w14:textId="77777777" w:rsidR="00BB63E6" w:rsidRDefault="00000000">
            <w:pPr>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5A435B84"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51AC9BE"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4FBA625A" w14:textId="77777777" w:rsidR="00BB63E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0,5%</w:t>
            </w:r>
          </w:p>
        </w:tc>
      </w:tr>
    </w:tbl>
    <w:p w14:paraId="2F669B16" w14:textId="77777777" w:rsidR="00BB63E6" w:rsidRDefault="00BB63E6">
      <w:pPr>
        <w:spacing w:line="276" w:lineRule="auto"/>
        <w:jc w:val="right"/>
        <w:rPr>
          <w:rFonts w:ascii="Open Sans Light" w:eastAsia="Open Sans Light" w:hAnsi="Open Sans Light" w:cs="Open Sans Light"/>
          <w:b/>
          <w:bCs/>
          <w:color w:val="303AB2"/>
        </w:rPr>
      </w:pPr>
    </w:p>
    <w:p w14:paraId="0E58774F" w14:textId="77777777" w:rsidR="00BB63E6" w:rsidRDefault="00BB63E6">
      <w:pPr>
        <w:spacing w:line="276" w:lineRule="auto"/>
        <w:jc w:val="right"/>
        <w:rPr>
          <w:rFonts w:ascii="Open Sans Light" w:eastAsia="Open Sans Light" w:hAnsi="Open Sans Light" w:cs="Open Sans Light"/>
          <w:b/>
          <w:bCs/>
          <w:color w:val="303AB2"/>
        </w:rPr>
      </w:pPr>
    </w:p>
    <w:p w14:paraId="72E5BCC8" w14:textId="77777777" w:rsidR="00BB63E6"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72882F80"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D934299"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456EE696"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7">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A90DDD6"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Pr>
            <w:rFonts w:ascii="Open Sans" w:eastAsia="Open Sans" w:hAnsi="Open Sans" w:cs="Open Sans"/>
            <w:b/>
            <w:bCs/>
            <w:color w:val="0000FF"/>
            <w:sz w:val="22"/>
            <w:szCs w:val="22"/>
            <w:u w:val="single"/>
          </w:rPr>
          <w:t>Sala de Prensa</w:t>
        </w:r>
      </w:hyperlink>
    </w:p>
    <w:p w14:paraId="329B3050" w14:textId="77777777" w:rsidR="00BB63E6" w:rsidRDefault="00BB63E6">
      <w:pPr>
        <w:spacing w:line="276" w:lineRule="auto"/>
        <w:rPr>
          <w:rFonts w:ascii="Open Sans Light" w:eastAsia="Open Sans Light" w:hAnsi="Open Sans Light" w:cs="Open Sans Light"/>
          <w:b/>
          <w:bCs/>
          <w:color w:val="303AB2"/>
        </w:rPr>
      </w:pPr>
    </w:p>
    <w:p w14:paraId="0699312D" w14:textId="77777777" w:rsidR="00BB63E6" w:rsidRDefault="00BB63E6">
      <w:pPr>
        <w:spacing w:line="276" w:lineRule="auto"/>
        <w:jc w:val="right"/>
        <w:rPr>
          <w:rFonts w:ascii="Open Sans Light" w:eastAsia="Open Sans Light" w:hAnsi="Open Sans Light" w:cs="Open Sans Light"/>
          <w:b/>
          <w:bCs/>
          <w:color w:val="303AB2"/>
        </w:rPr>
      </w:pPr>
    </w:p>
    <w:p w14:paraId="3E004318" w14:textId="77777777" w:rsidR="00BB63E6" w:rsidRDefault="00BB63E6">
      <w:pPr>
        <w:spacing w:line="276" w:lineRule="auto"/>
        <w:jc w:val="right"/>
        <w:rPr>
          <w:rFonts w:ascii="Open Sans Light" w:eastAsia="Open Sans Light" w:hAnsi="Open Sans Light" w:cs="Open Sans Light"/>
          <w:b/>
          <w:bCs/>
          <w:color w:val="303AB2"/>
        </w:rPr>
      </w:pPr>
    </w:p>
    <w:p w14:paraId="2B1ACEF4" w14:textId="77777777" w:rsidR="00BB63E6" w:rsidRDefault="00BB63E6">
      <w:pPr>
        <w:spacing w:line="276" w:lineRule="auto"/>
        <w:jc w:val="right"/>
        <w:rPr>
          <w:rFonts w:ascii="Open Sans Light" w:eastAsia="Open Sans Light" w:hAnsi="Open Sans Light" w:cs="Open Sans Light"/>
          <w:b/>
          <w:bCs/>
          <w:color w:val="303AB2"/>
        </w:rPr>
      </w:pPr>
    </w:p>
    <w:p w14:paraId="3E823B4F" w14:textId="77777777" w:rsidR="00BB63E6" w:rsidRDefault="00BB63E6">
      <w:pPr>
        <w:spacing w:line="276" w:lineRule="auto"/>
        <w:jc w:val="right"/>
        <w:rPr>
          <w:rFonts w:ascii="Open Sans Light" w:eastAsia="Open Sans Light" w:hAnsi="Open Sans Light" w:cs="Open Sans Light"/>
          <w:b/>
          <w:bCs/>
          <w:color w:val="303AB2"/>
        </w:rPr>
      </w:pPr>
    </w:p>
    <w:p w14:paraId="252A2948" w14:textId="77777777" w:rsidR="00BB63E6"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5D7E71FE"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6E7F803"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4">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C2263A8"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6E55F254"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723E7999" w14:textId="77777777" w:rsidR="00BB63E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61CBD0CD" w14:textId="77777777" w:rsidR="00BB63E6" w:rsidRDefault="00BB63E6">
      <w:pPr>
        <w:shd w:val="clear" w:color="auto" w:fill="FFFFFF"/>
        <w:spacing w:before="280" w:after="280" w:line="276" w:lineRule="auto"/>
        <w:jc w:val="both"/>
        <w:rPr>
          <w:rFonts w:ascii="Open Sans" w:eastAsia="Open Sans" w:hAnsi="Open Sans" w:cs="Open Sans"/>
          <w:sz w:val="22"/>
          <w:szCs w:val="22"/>
        </w:rPr>
      </w:pPr>
    </w:p>
    <w:p w14:paraId="631629CD" w14:textId="77777777" w:rsidR="00BB63E6"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44E9BCD" w14:textId="77777777" w:rsidR="00BB63E6"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36BBEAC1" w14:textId="77777777" w:rsidR="00BB63E6"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6229BB70" w14:textId="77777777" w:rsidR="00BB63E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608A2E8" w14:textId="77777777" w:rsidR="00BB63E6" w:rsidRDefault="00BB63E6">
      <w:pPr>
        <w:spacing w:line="276" w:lineRule="auto"/>
        <w:jc w:val="right"/>
        <w:rPr>
          <w:rFonts w:ascii="Open Sans" w:eastAsia="Open Sans" w:hAnsi="Open Sans" w:cs="Open Sans"/>
          <w:color w:val="000000"/>
          <w:sz w:val="21"/>
          <w:szCs w:val="21"/>
        </w:rPr>
      </w:pPr>
    </w:p>
    <w:sectPr w:rsidR="00BB63E6">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E7FBB" w14:textId="77777777" w:rsidR="00304318" w:rsidRDefault="00304318">
      <w:r>
        <w:separator/>
      </w:r>
    </w:p>
  </w:endnote>
  <w:endnote w:type="continuationSeparator" w:id="0">
    <w:p w14:paraId="58D138B1" w14:textId="77777777" w:rsidR="00304318" w:rsidRDefault="0030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E79BD6-9287-4EE3-9142-B35CCD2E1EE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87D45A-D075-4649-B652-FF1C48C44471}"/>
    <w:embedBold r:id="rId3" w:fontKey="{F62B7B97-22CF-4BC7-A0F9-B2E5687C109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0F9D7ED-EC76-4AB8-9431-3AB91274DB6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238E916F-FD95-4186-8D44-4A4CA3ED0EF3}"/>
    <w:embedBold r:id="rId6" w:fontKey="{5E4A9931-E3EA-4465-8888-77A32EF3830E}"/>
  </w:font>
  <w:font w:name="Open Sans Light">
    <w:charset w:val="00"/>
    <w:family w:val="swiss"/>
    <w:pitch w:val="variable"/>
    <w:sig w:usb0="E00002EF" w:usb1="4000205B" w:usb2="00000028" w:usb3="00000000" w:csb0="0000019F" w:csb1="00000000"/>
    <w:embedBold r:id="rId7" w:fontKey="{6BA146F0-B9AE-40A2-9BFC-A57F7B8D03EB}"/>
  </w:font>
  <w:font w:name="Calibri Light">
    <w:panose1 w:val="020F0302020204030204"/>
    <w:charset w:val="00"/>
    <w:family w:val="swiss"/>
    <w:pitch w:val="variable"/>
    <w:sig w:usb0="E4002EFF" w:usb1="C200247B" w:usb2="00000009" w:usb3="00000000" w:csb0="000001FF" w:csb1="00000000"/>
    <w:embedRegular r:id="rId8" w:fontKey="{462CEE41-5C80-469D-9394-32A18E1C8C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4033" w14:textId="77777777" w:rsidR="00BB63E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079C8F8" wp14:editId="6B1FB539">
          <wp:simplePos x="0" y="0"/>
          <wp:positionH relativeFrom="column">
            <wp:posOffset>-1191894</wp:posOffset>
          </wp:positionH>
          <wp:positionV relativeFrom="paragraph">
            <wp:posOffset>167970</wp:posOffset>
          </wp:positionV>
          <wp:extent cx="7670550" cy="451315"/>
          <wp:effectExtent l="0" t="0" r="0" b="0"/>
          <wp:wrapNone/>
          <wp:docPr id="1302301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96800" w14:textId="77777777" w:rsidR="00304318" w:rsidRDefault="00304318">
      <w:r>
        <w:separator/>
      </w:r>
    </w:p>
  </w:footnote>
  <w:footnote w:type="continuationSeparator" w:id="0">
    <w:p w14:paraId="7147839D" w14:textId="77777777" w:rsidR="00304318" w:rsidRDefault="00304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93AA1"/>
    <w:multiLevelType w:val="multilevel"/>
    <w:tmpl w:val="D47E787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40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3E6"/>
    <w:rsid w:val="00056F16"/>
    <w:rsid w:val="00304318"/>
    <w:rsid w:val="00B00F41"/>
    <w:rsid w:val="00BB63E6"/>
    <w:rsid w:val="00BC44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E491F"/>
  <w15:docId w15:val="{033A6B59-9817-431B-BA8D-D59511D8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inespaciado">
    <w:name w:val="No Spacing"/>
    <w:uiPriority w:val="1"/>
    <w:qFormat/>
    <w:rsid w:val="00832CAC"/>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otocasa.es" TargetMode="External"/><Relationship Id="rId18" Type="http://schemas.openxmlformats.org/officeDocument/2006/relationships/hyperlink" Target="http://prensa.fotocasa.es"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profesionales.fotocasa.es/" TargetMode="External"/><Relationship Id="rId7" Type="http://schemas.openxmlformats.org/officeDocument/2006/relationships/footnotes" Target="footnotes.xml"/><Relationship Id="rId12" Type="http://schemas.openxmlformats.org/officeDocument/2006/relationships/hyperlink" Target="https://www.fotocasa.es" TargetMode="External"/><Relationship Id="rId17" Type="http://schemas.openxmlformats.org/officeDocument/2006/relationships/hyperlink" Target="https://www.research.fotocasa.es" TargetMode="External"/><Relationship Id="rId25" Type="http://schemas.openxmlformats.org/officeDocument/2006/relationships/hyperlink" Target="mailto:comunicacion@fotocasa.es" TargetMode="External"/><Relationship Id="rId2" Type="http://schemas.openxmlformats.org/officeDocument/2006/relationships/customXml" Target="../customXml/item2.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inmoweb.es/" TargetMode="External"/><Relationship Id="rId5" Type="http://schemas.openxmlformats.org/officeDocument/2006/relationships/settings" Target="settings.xml"/><Relationship Id="rId15" Type="http://schemas.openxmlformats.org/officeDocument/2006/relationships/hyperlink" Target="http://www.fotocasa.es" TargetMode="External"/><Relationship Id="rId23" Type="http://schemas.openxmlformats.org/officeDocument/2006/relationships/hyperlink" Target="https://get.witei.com/en/" TargetMode="External"/><Relationship Id="rId28"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fotocasa.es" TargetMode="External"/><Relationship Id="rId22" Type="http://schemas.openxmlformats.org/officeDocument/2006/relationships/hyperlink" Target="https://datavenue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shortcut-targets-by-id\15e3vU-8r_yuUfvU6rrh71ObKniR6eMW4\DRIVE%20PATRICIA\03-NOTAS%20DE%20PRENSA\01-VENTA\01-NOTAS%20DE%20PRENSA\2026\02-FEBRERO\PRENSA%20VENTA%20Feb%20202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5202992458E-2"/>
          <c:y val="5.7971167309232172E-2"/>
          <c:w val="0.9302750421385988"/>
          <c:h val="0.65080320749884413"/>
        </c:manualLayout>
      </c:layout>
      <c:barChart>
        <c:barDir val="col"/>
        <c:grouping val="clustered"/>
        <c:varyColors val="0"/>
        <c:ser>
          <c:idx val="0"/>
          <c:order val="0"/>
          <c:tx>
            <c:strRef>
              <c:f>gráfica!$C$24</c:f>
              <c:strCache>
                <c:ptCount val="1"/>
                <c:pt idx="0">
                  <c:v>  % mensual </c:v>
                </c:pt>
              </c:strCache>
            </c:strRef>
          </c:tx>
          <c:spPr>
            <a:solidFill>
              <a:srgbClr val="4472C4"/>
            </a:solidFill>
            <a:ln>
              <a:noFill/>
            </a:ln>
            <a:effectLst/>
          </c:spPr>
          <c:invertIfNegative val="0"/>
          <c:dPt>
            <c:idx val="3"/>
            <c:invertIfNegative val="0"/>
            <c:bubble3D val="0"/>
            <c:spPr>
              <a:solidFill>
                <a:srgbClr val="4472C4"/>
              </a:solidFill>
              <a:ln>
                <a:noFill/>
              </a:ln>
              <a:effectLst/>
            </c:spPr>
            <c:extLst>
              <c:ext xmlns:c16="http://schemas.microsoft.com/office/drawing/2014/chart" uri="{C3380CC4-5D6E-409C-BE32-E72D297353CC}">
                <c16:uniqueId val="{00000001-38DF-4100-AD90-7A956CAEA5FC}"/>
              </c:ext>
            </c:extLst>
          </c:dPt>
          <c:dPt>
            <c:idx val="4"/>
            <c:invertIfNegative val="0"/>
            <c:bubble3D val="0"/>
            <c:spPr>
              <a:solidFill>
                <a:srgbClr val="4472C4"/>
              </a:solidFill>
              <a:ln>
                <a:noFill/>
              </a:ln>
              <a:effectLst/>
            </c:spPr>
            <c:extLst>
              <c:ext xmlns:c16="http://schemas.microsoft.com/office/drawing/2014/chart" uri="{C3380CC4-5D6E-409C-BE32-E72D297353CC}">
                <c16:uniqueId val="{00000003-38DF-4100-AD90-7A956CAEA5FC}"/>
              </c:ext>
            </c:extLst>
          </c:dPt>
          <c:dPt>
            <c:idx val="5"/>
            <c:invertIfNegative val="0"/>
            <c:bubble3D val="0"/>
            <c:spPr>
              <a:solidFill>
                <a:srgbClr val="4472C4"/>
              </a:solidFill>
              <a:ln>
                <a:noFill/>
              </a:ln>
              <a:effectLst/>
            </c:spPr>
            <c:extLst>
              <c:ext xmlns:c16="http://schemas.microsoft.com/office/drawing/2014/chart" uri="{C3380CC4-5D6E-409C-BE32-E72D297353CC}">
                <c16:uniqueId val="{00000005-38DF-4100-AD90-7A956CAEA5FC}"/>
              </c:ext>
            </c:extLst>
          </c:dPt>
          <c:dPt>
            <c:idx val="6"/>
            <c:invertIfNegative val="0"/>
            <c:bubble3D val="0"/>
            <c:spPr>
              <a:solidFill>
                <a:srgbClr val="4472C4"/>
              </a:solidFill>
              <a:ln>
                <a:noFill/>
              </a:ln>
              <a:effectLst/>
            </c:spPr>
            <c:extLst>
              <c:ext xmlns:c16="http://schemas.microsoft.com/office/drawing/2014/chart" uri="{C3380CC4-5D6E-409C-BE32-E72D297353CC}">
                <c16:uniqueId val="{00000007-38DF-4100-AD90-7A956CAEA5FC}"/>
              </c:ext>
            </c:extLst>
          </c:dPt>
          <c:dPt>
            <c:idx val="7"/>
            <c:invertIfNegative val="0"/>
            <c:bubble3D val="0"/>
            <c:spPr>
              <a:solidFill>
                <a:srgbClr val="4472C4"/>
              </a:solidFill>
              <a:ln>
                <a:noFill/>
              </a:ln>
              <a:effectLst/>
            </c:spPr>
            <c:extLst>
              <c:ext xmlns:c16="http://schemas.microsoft.com/office/drawing/2014/chart" uri="{C3380CC4-5D6E-409C-BE32-E72D297353CC}">
                <c16:uniqueId val="{00000009-38DF-4100-AD90-7A956CAEA5FC}"/>
              </c:ext>
            </c:extLst>
          </c:dPt>
          <c:dPt>
            <c:idx val="8"/>
            <c:invertIfNegative val="0"/>
            <c:bubble3D val="0"/>
            <c:spPr>
              <a:solidFill>
                <a:srgbClr val="4472C4"/>
              </a:solidFill>
              <a:ln>
                <a:noFill/>
              </a:ln>
              <a:effectLst/>
            </c:spPr>
            <c:extLst>
              <c:ext xmlns:c16="http://schemas.microsoft.com/office/drawing/2014/chart" uri="{C3380CC4-5D6E-409C-BE32-E72D297353CC}">
                <c16:uniqueId val="{0000000B-38DF-4100-AD90-7A956CAEA5FC}"/>
              </c:ext>
            </c:extLst>
          </c:dPt>
          <c:dPt>
            <c:idx val="9"/>
            <c:invertIfNegative val="0"/>
            <c:bubble3D val="0"/>
            <c:spPr>
              <a:solidFill>
                <a:srgbClr val="4472C4"/>
              </a:solidFill>
              <a:ln>
                <a:noFill/>
              </a:ln>
              <a:effectLst/>
            </c:spPr>
            <c:extLst>
              <c:ext xmlns:c16="http://schemas.microsoft.com/office/drawing/2014/chart" uri="{C3380CC4-5D6E-409C-BE32-E72D297353CC}">
                <c16:uniqueId val="{0000000D-38DF-4100-AD90-7A956CAEA5FC}"/>
              </c:ext>
            </c:extLst>
          </c:dPt>
          <c:dPt>
            <c:idx val="10"/>
            <c:invertIfNegative val="0"/>
            <c:bubble3D val="0"/>
            <c:spPr>
              <a:solidFill>
                <a:srgbClr val="4472C4"/>
              </a:solidFill>
              <a:ln>
                <a:noFill/>
              </a:ln>
              <a:effectLst/>
            </c:spPr>
            <c:extLst>
              <c:ext xmlns:c16="http://schemas.microsoft.com/office/drawing/2014/chart" uri="{C3380CC4-5D6E-409C-BE32-E72D297353CC}">
                <c16:uniqueId val="{0000000F-38DF-4100-AD90-7A956CAEA5FC}"/>
              </c:ext>
            </c:extLst>
          </c:dPt>
          <c:dPt>
            <c:idx val="14"/>
            <c:invertIfNegative val="0"/>
            <c:bubble3D val="0"/>
            <c:spPr>
              <a:solidFill>
                <a:srgbClr val="4472C4"/>
              </a:solidFill>
              <a:ln>
                <a:noFill/>
              </a:ln>
              <a:effectLst/>
            </c:spPr>
            <c:extLst>
              <c:ext xmlns:c16="http://schemas.microsoft.com/office/drawing/2014/chart" uri="{C3380CC4-5D6E-409C-BE32-E72D297353CC}">
                <c16:uniqueId val="{00000011-38DF-4100-AD90-7A956CAEA5FC}"/>
              </c:ext>
            </c:extLst>
          </c:dPt>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DF-4100-AD90-7A956CAEA5FC}"/>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DF-4100-AD90-7A956CAEA5FC}"/>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gráfica!$A$25:$B$37</c:f>
              <c:multiLvlStrCache>
                <c:ptCount val="13"/>
                <c:lvl>
                  <c:pt idx="0">
                    <c:v>FEB</c:v>
                  </c:pt>
                  <c:pt idx="1">
                    <c:v>MAR</c:v>
                  </c:pt>
                  <c:pt idx="2">
                    <c:v>ABR</c:v>
                  </c:pt>
                  <c:pt idx="3">
                    <c:v>MAY</c:v>
                  </c:pt>
                  <c:pt idx="4">
                    <c:v>JUN</c:v>
                  </c:pt>
                  <c:pt idx="5">
                    <c:v>JUL</c:v>
                  </c:pt>
                  <c:pt idx="6">
                    <c:v>AGO</c:v>
                  </c:pt>
                  <c:pt idx="7">
                    <c:v>SEP</c:v>
                  </c:pt>
                  <c:pt idx="8">
                    <c:v>OCT</c:v>
                  </c:pt>
                  <c:pt idx="9">
                    <c:v>NOV</c:v>
                  </c:pt>
                  <c:pt idx="10">
                    <c:v>DIC</c:v>
                  </c:pt>
                  <c:pt idx="11">
                    <c:v>ENE</c:v>
                  </c:pt>
                  <c:pt idx="12">
                    <c:v>FEB</c:v>
                  </c:pt>
                </c:lvl>
                <c:lvl>
                  <c:pt idx="0">
                    <c:v>2025</c:v>
                  </c:pt>
                  <c:pt idx="11">
                    <c:v>2026</c:v>
                  </c:pt>
                </c:lvl>
              </c:multiLvlStrCache>
            </c:multiLvlStrRef>
          </c:cat>
          <c:val>
            <c:numRef>
              <c:f>gráfica!$C$25:$C$37</c:f>
              <c:numCache>
                <c:formatCode>#,##0.0"%"</c:formatCode>
                <c:ptCount val="13"/>
                <c:pt idx="0">
                  <c:v>2.2644882348050066</c:v>
                </c:pt>
                <c:pt idx="1">
                  <c:v>1.1809567172249125</c:v>
                </c:pt>
                <c:pt idx="2">
                  <c:v>1.797968596821109</c:v>
                </c:pt>
                <c:pt idx="3">
                  <c:v>3.9878910828955672</c:v>
                </c:pt>
                <c:pt idx="4">
                  <c:v>1.4513931324509954</c:v>
                </c:pt>
                <c:pt idx="5">
                  <c:v>1.5795282365925312</c:v>
                </c:pt>
                <c:pt idx="6">
                  <c:v>0.83162380256116553</c:v>
                </c:pt>
                <c:pt idx="7">
                  <c:v>0.65418683225275664</c:v>
                </c:pt>
                <c:pt idx="8">
                  <c:v>1.2138652809127404</c:v>
                </c:pt>
                <c:pt idx="9">
                  <c:v>1.3800101107521723</c:v>
                </c:pt>
                <c:pt idx="10">
                  <c:v>1.8160277266940028</c:v>
                </c:pt>
                <c:pt idx="11">
                  <c:v>0.62001771479185397</c:v>
                </c:pt>
                <c:pt idx="12">
                  <c:v>1.8282242474454646</c:v>
                </c:pt>
              </c:numCache>
            </c:numRef>
          </c:val>
          <c:extLst>
            <c:ext xmlns:c16="http://schemas.microsoft.com/office/drawing/2014/chart" uri="{C3380CC4-5D6E-409C-BE32-E72D297353CC}">
              <c16:uniqueId val="{00000012-38DF-4100-AD90-7A956CAEA5FC}"/>
            </c:ext>
          </c:extLst>
        </c:ser>
        <c:ser>
          <c:idx val="1"/>
          <c:order val="1"/>
          <c:tx>
            <c:strRef>
              <c:f>gráfica!$D$24</c:f>
              <c:strCache>
                <c:ptCount val="1"/>
                <c:pt idx="0">
                  <c:v> % interanual </c:v>
                </c:pt>
              </c:strCache>
            </c:strRef>
          </c:tx>
          <c:spPr>
            <a:solidFill>
              <a:srgbClr val="A5A5A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gráfica!$A$25:$B$37</c:f>
              <c:multiLvlStrCache>
                <c:ptCount val="13"/>
                <c:lvl>
                  <c:pt idx="0">
                    <c:v>FEB</c:v>
                  </c:pt>
                  <c:pt idx="1">
                    <c:v>MAR</c:v>
                  </c:pt>
                  <c:pt idx="2">
                    <c:v>ABR</c:v>
                  </c:pt>
                  <c:pt idx="3">
                    <c:v>MAY</c:v>
                  </c:pt>
                  <c:pt idx="4">
                    <c:v>JUN</c:v>
                  </c:pt>
                  <c:pt idx="5">
                    <c:v>JUL</c:v>
                  </c:pt>
                  <c:pt idx="6">
                    <c:v>AGO</c:v>
                  </c:pt>
                  <c:pt idx="7">
                    <c:v>SEP</c:v>
                  </c:pt>
                  <c:pt idx="8">
                    <c:v>OCT</c:v>
                  </c:pt>
                  <c:pt idx="9">
                    <c:v>NOV</c:v>
                  </c:pt>
                  <c:pt idx="10">
                    <c:v>DIC</c:v>
                  </c:pt>
                  <c:pt idx="11">
                    <c:v>ENE</c:v>
                  </c:pt>
                  <c:pt idx="12">
                    <c:v>FEB</c:v>
                  </c:pt>
                </c:lvl>
                <c:lvl>
                  <c:pt idx="0">
                    <c:v>2025</c:v>
                  </c:pt>
                  <c:pt idx="11">
                    <c:v>2026</c:v>
                  </c:pt>
                </c:lvl>
              </c:multiLvlStrCache>
            </c:multiLvlStrRef>
          </c:cat>
          <c:val>
            <c:numRef>
              <c:f>gráfica!$D$25:$D$37</c:f>
              <c:numCache>
                <c:formatCode>#,##0.0"%"</c:formatCode>
                <c:ptCount val="13"/>
                <c:pt idx="0">
                  <c:v>10.10119998746748</c:v>
                </c:pt>
                <c:pt idx="1">
                  <c:v>10.179418053360623</c:v>
                </c:pt>
                <c:pt idx="2">
                  <c:v>11.66460996033496</c:v>
                </c:pt>
                <c:pt idx="3">
                  <c:v>14.845714933329845</c:v>
                </c:pt>
                <c:pt idx="4">
                  <c:v>14.85000042967506</c:v>
                </c:pt>
                <c:pt idx="5">
                  <c:v>15.856151085736702</c:v>
                </c:pt>
                <c:pt idx="6">
                  <c:v>17.663112383260927</c:v>
                </c:pt>
                <c:pt idx="7">
                  <c:v>17.031550604553569</c:v>
                </c:pt>
                <c:pt idx="8">
                  <c:v>18.019100652908904</c:v>
                </c:pt>
                <c:pt idx="9">
                  <c:v>18.818205120662924</c:v>
                </c:pt>
                <c:pt idx="10">
                  <c:v>20.512112117140301</c:v>
                </c:pt>
                <c:pt idx="11">
                  <c:v>20.42903467198802</c:v>
                </c:pt>
                <c:pt idx="12">
                  <c:v>19.915280075776387</c:v>
                </c:pt>
              </c:numCache>
            </c:numRef>
          </c:val>
          <c:extLst>
            <c:ext xmlns:c16="http://schemas.microsoft.com/office/drawing/2014/chart" uri="{C3380CC4-5D6E-409C-BE32-E72D297353CC}">
              <c16:uniqueId val="{00000013-38DF-4100-AD90-7A956CAEA5FC}"/>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General"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ayout>
        <c:manualLayout>
          <c:xMode val="edge"/>
          <c:yMode val="edge"/>
          <c:x val="0.23990091516338238"/>
          <c:y val="0.9023028385560159"/>
          <c:w val="0.53293860812609251"/>
          <c:h val="7.34731176689424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0.04634</cdr:x>
      <cdr:y>0.70926</cdr:y>
    </cdr:from>
    <cdr:to>
      <cdr:x>0.97838</cdr:x>
      <cdr:y>0.70926</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66967" y="1995196"/>
          <a:ext cx="5369221" cy="0"/>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Wp+Kgpqn0xV4rkTnYRdEbBRKA==">CgMxLjAyDmguYXI1NjlrMzJrbGJpOAByITE1Q0RPeURlRTNCZVhmOWZ1UEx6YVlXZTlKU0JYbUZqMA==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FDA548-1627-40F0-9A1E-1B1BD18E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12</Pages>
  <Words>3000</Words>
  <Characters>16502</Characters>
  <Application>Microsoft Office Word</Application>
  <DocSecurity>0</DocSecurity>
  <Lines>137</Lines>
  <Paragraphs>38</Paragraphs>
  <ScaleCrop>false</ScaleCrop>
  <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Anais Garcia Lopez</cp:lastModifiedBy>
  <cp:revision>2</cp:revision>
  <dcterms:created xsi:type="dcterms:W3CDTF">2025-10-21T11:23:00Z</dcterms:created>
  <dcterms:modified xsi:type="dcterms:W3CDTF">2026-03-02T08:45:00Z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