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FDCAA" w14:textId="77777777" w:rsidR="00FE0824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99F8F0" wp14:editId="63EFE846">
            <wp:simplePos x="0" y="0"/>
            <wp:positionH relativeFrom="column">
              <wp:posOffset>-1080118</wp:posOffset>
            </wp:positionH>
            <wp:positionV relativeFrom="paragraph">
              <wp:posOffset>-654667</wp:posOffset>
            </wp:positionV>
            <wp:extent cx="7581265" cy="1019175"/>
            <wp:effectExtent l="0" t="0" r="0" b="0"/>
            <wp:wrapNone/>
            <wp:docPr id="20668166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112EAA" w14:textId="77777777" w:rsidR="00FE0824" w:rsidRDefault="00FE0824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6637FF7B" w14:textId="77777777" w:rsidR="00FE0824" w:rsidRDefault="00FE0824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D50F5B7" w14:textId="77777777" w:rsidR="00FE0824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bCs/>
          <w:color w:val="1DBDC5"/>
          <w:sz w:val="34"/>
          <w:szCs w:val="34"/>
        </w:rPr>
        <w:t>EL SEGMENTO INVERSOR EN EL MERCADO INMOBILIARIO</w:t>
      </w:r>
    </w:p>
    <w:p w14:paraId="75EF33C3" w14:textId="77777777" w:rsidR="00FE0824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bCs/>
          <w:color w:val="303AB2"/>
          <w:sz w:val="46"/>
          <w:szCs w:val="46"/>
        </w:rPr>
        <w:t xml:space="preserve">Hombre, de 44 años y de clase media-alta: el perfil del inversor español en vivienda </w:t>
      </w:r>
    </w:p>
    <w:p w14:paraId="74A1A836" w14:textId="77777777" w:rsidR="00FE0824" w:rsidRDefault="00FE0824">
      <w:pPr>
        <w:jc w:val="center"/>
        <w:rPr>
          <w:rFonts w:ascii="Open Sans" w:eastAsia="Open Sans" w:hAnsi="Open Sans" w:cs="Open Sans"/>
          <w:color w:val="303AB2"/>
        </w:rPr>
      </w:pPr>
    </w:p>
    <w:p w14:paraId="78BF20DE" w14:textId="77777777" w:rsidR="00FE08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El comprador inversor es de mayor edad que el demandante de vivienda habitual y mantiene un claro predominio masculino (60% del total)</w:t>
      </w:r>
    </w:p>
    <w:p w14:paraId="575CCB39" w14:textId="77777777" w:rsidR="00FE08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Cataluña y Madrid concentran la mayor presencia de inversores inmobiliarios, con gran peso de las rentas altas</w:t>
      </w:r>
    </w:p>
    <w:p w14:paraId="1DED3D2D" w14:textId="77777777" w:rsidR="00FE08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El 83% de los inversores consideran que, con el precio actual del alquiler, compensa más pagar una hipoteca para comprar una vivienda</w:t>
      </w:r>
    </w:p>
    <w:p w14:paraId="3150974E" w14:textId="77777777" w:rsidR="00FE08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hyperlink r:id="rId9">
        <w:r>
          <w:rPr>
            <w:rFonts w:ascii="Open Sans Light" w:eastAsia="Open Sans Light" w:hAnsi="Open Sans Light" w:cs="Open Sans Light"/>
            <w:b/>
            <w:bCs/>
            <w:color w:val="0000FF"/>
            <w:u w:val="single"/>
          </w:rPr>
          <w:t>Aquí se puede descargar el informe completo “</w:t>
        </w:r>
      </w:hyperlink>
      <w:hyperlink r:id="rId10">
        <w:r>
          <w:rPr>
            <w:rFonts w:ascii="Open Sans Light" w:eastAsia="Open Sans Light" w:hAnsi="Open Sans Light" w:cs="Open Sans Light"/>
            <w:b/>
            <w:bCs/>
            <w:i/>
            <w:iCs/>
            <w:color w:val="0000FF"/>
            <w:u w:val="single"/>
          </w:rPr>
          <w:t>El segmento inversor en el mercado inmobiliario en 2025</w:t>
        </w:r>
      </w:hyperlink>
      <w:hyperlink r:id="rId11">
        <w:r>
          <w:rPr>
            <w:rFonts w:ascii="Open Sans Light" w:eastAsia="Open Sans Light" w:hAnsi="Open Sans Light" w:cs="Open Sans Light"/>
            <w:b/>
            <w:bCs/>
            <w:color w:val="0000FF"/>
            <w:u w:val="single"/>
          </w:rPr>
          <w:t>”</w:t>
        </w:r>
      </w:hyperlink>
    </w:p>
    <w:p w14:paraId="7BC94866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3EB72AE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18 de marzo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2A9B6058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5CBCF6F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perfil del inversor en vivienda en España responde, mayoritariamente, a un hombre de 44 años, perteneciente a las clases alta o media-alta, que vive en pareja y con hijos, y que presenta un comportamiento claramente diferenciado respecto al comprador de vivienda destinada a primera o segunda residencia, </w:t>
      </w:r>
      <w:r>
        <w:rPr>
          <w:rFonts w:ascii="Open Sans" w:eastAsia="Open Sans" w:hAnsi="Open Sans" w:cs="Open Sans"/>
          <w:b/>
          <w:bCs/>
        </w:rPr>
        <w:t>según los datos analizados en el informe “</w:t>
      </w:r>
      <w:hyperlink r:id="rId12">
        <w:r>
          <w:rPr>
            <w:rFonts w:ascii="Open Sans" w:eastAsia="Open Sans" w:hAnsi="Open Sans" w:cs="Open Sans"/>
            <w:b/>
            <w:bCs/>
            <w:i/>
            <w:iCs/>
            <w:color w:val="0000FF"/>
            <w:u w:val="single"/>
          </w:rPr>
          <w:t>El segmento inversor en el mercado inmobiliario en 2025</w:t>
        </w:r>
      </w:hyperlink>
      <w:r>
        <w:rPr>
          <w:rFonts w:ascii="Open Sans" w:eastAsia="Open Sans" w:hAnsi="Open Sans" w:cs="Open Sans"/>
          <w:b/>
          <w:bCs/>
        </w:rPr>
        <w:t xml:space="preserve">””, realizado por </w:t>
      </w:r>
      <w:hyperlink r:id="rId13"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</w:rPr>
        <w:t>. La edad media es uno de los rasgos que marca esta diferencia. Los inversores en vivienda alcanzan una media de 44 años, frente a los 41 años de quienes compran un inmueble para vivir en este. El análisis por tramos de edad refuerza este retrato: entre los inversores, destaca especialmente la franja de mayor edad, la de más de 55 años, que concentra el 29% del total. A continuación, se sitúan los jóvenes de entre 25 y 34 años, que representan el 27%, seguidos muy de cerca por el grupo de 35 a 44 años, con un 26%.</w:t>
      </w:r>
    </w:p>
    <w:p w14:paraId="16E1A966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A2C59E3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“La inversión inmobiliaria se concentra en quienes ya han consolidado su posición económica, por lo que está vinculada a la madurez financiera, que persigue transformar la vivienda en estrategia de seguridad y rentabilidad. El hecho de que el 57% de los inversores pertenezca a clases altas confirma que la vivienda como </w:t>
      </w:r>
      <w:r>
        <w:rPr>
          <w:rFonts w:ascii="Open Sans" w:eastAsia="Open Sans" w:hAnsi="Open Sans" w:cs="Open Sans"/>
        </w:rPr>
        <w:lastRenderedPageBreak/>
        <w:t xml:space="preserve">inversión requiere capacidad de ahorro, estabilidad laboral e ingresos elevados (estamos hablando de perfiles con margen financiero para asumir riesgo y endeudamiento). Otro dato muy destacable es que territorialmente, la concentración en Cataluña y Madrid no es casual, sino que es debido a que son mercados con mayor dinamismo económico y, por lo tanto, mayor expectativa de revalorización”, </w:t>
      </w:r>
      <w:r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14">
        <w:r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</w:p>
    <w:p w14:paraId="42813D45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31857CE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05AEC483" wp14:editId="1CB58B77">
            <wp:extent cx="5760720" cy="3783330"/>
            <wp:effectExtent l="0" t="0" r="0" b="0"/>
            <wp:docPr id="2066816618" name="image4.png" descr="Interfaz de usuario gráfica, Aplicación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terfaz de usuario gráfica, Aplicación&#10;&#10;El contenido generado por IA puede ser incorrecto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D6E94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AB7D73E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perfil del comprador inversor es claramente masculino. </w:t>
      </w:r>
      <w:r>
        <w:rPr>
          <w:rFonts w:ascii="Open Sans" w:eastAsia="Open Sans" w:hAnsi="Open Sans" w:cs="Open Sans"/>
          <w:b/>
          <w:bCs/>
        </w:rPr>
        <w:t>El 60% de quienes compran vivienda con fines de inversión son hombres, frente a un reparto mucho más equilibrado entre los demandantes de primera o segunda residencia</w:t>
      </w:r>
      <w:r>
        <w:rPr>
          <w:rFonts w:ascii="Open Sans" w:eastAsia="Open Sans" w:hAnsi="Open Sans" w:cs="Open Sans"/>
        </w:rPr>
        <w:t>, donde los hombres representan el 53% y las mujeres el 47%. Esta diferencia evidencia una mayor presencia femenina en la compra de vivienda no vinculada a la inversión.</w:t>
      </w:r>
    </w:p>
    <w:p w14:paraId="39C93732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757528D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Mayor peso de Cataluña y la Comunidad de Madrid</w:t>
      </w:r>
    </w:p>
    <w:p w14:paraId="6C06DFCF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EC4FA50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Desde el punto de vista territorial, </w:t>
      </w:r>
      <w:r>
        <w:rPr>
          <w:rFonts w:ascii="Open Sans" w:eastAsia="Open Sans" w:hAnsi="Open Sans" w:cs="Open Sans"/>
          <w:b/>
          <w:bCs/>
        </w:rPr>
        <w:t>los inversores en vivienda se concentran principalmente en Cataluña, donde reside el 18% del total. Le siguen Madrid, con un 16%</w:t>
      </w:r>
      <w:r>
        <w:rPr>
          <w:rFonts w:ascii="Open Sans" w:eastAsia="Open Sans" w:hAnsi="Open Sans" w:cs="Open Sans"/>
        </w:rPr>
        <w:t xml:space="preserve">, y la Comunidad Valenciana y Andalucía, ambas con un 15%. Estos </w:t>
      </w:r>
      <w:r>
        <w:rPr>
          <w:rFonts w:ascii="Open Sans" w:eastAsia="Open Sans" w:hAnsi="Open Sans" w:cs="Open Sans"/>
        </w:rPr>
        <w:lastRenderedPageBreak/>
        <w:t>datos reflejan una mayor implantación del inversor en las zonas más pobladas y en los grandes mercados residenciales del país.</w:t>
      </w:r>
    </w:p>
    <w:p w14:paraId="45C3C17A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1E24D2D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nivel socioeconómico es otro de los elementos clave del perfil inversor. </w:t>
      </w:r>
      <w:r>
        <w:rPr>
          <w:rFonts w:ascii="Open Sans" w:eastAsia="Open Sans" w:hAnsi="Open Sans" w:cs="Open Sans"/>
          <w:b/>
          <w:bCs/>
        </w:rPr>
        <w:t>El 57% de los inversores pertenece a las clases alta y media-alta</w:t>
      </w:r>
      <w:r>
        <w:rPr>
          <w:rFonts w:ascii="Open Sans" w:eastAsia="Open Sans" w:hAnsi="Open Sans" w:cs="Open Sans"/>
        </w:rPr>
        <w:t>, un porcentaje superior al de los demandantes no inversores, que se sitúa en el 51%. En el caso de las clases medias, los inversores representan el 30%, mientras que entre los no inversores este grupo desciende hasta el 26%. Esta diferencia también se refleja en los ingresos. Uno de cada cuatro inversores (25%) declara unos ingresos brutos mensuales de la unidad familiar superiores a los 4.000 euros, frente al 17% de quienes compran vivienda habitual o segunda residencia. Este mayor nivel de renta explica, en parte, la capacidad de acceso a la inversión inmobiliaria.</w:t>
      </w:r>
    </w:p>
    <w:p w14:paraId="61B76161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31FC29F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situación de convivencia completa el retrato del inversor tipo. </w:t>
      </w:r>
      <w:r>
        <w:rPr>
          <w:rFonts w:ascii="Open Sans" w:eastAsia="Open Sans" w:hAnsi="Open Sans" w:cs="Open Sans"/>
          <w:b/>
          <w:bCs/>
        </w:rPr>
        <w:t>Entre quienes compran vivienda con fines de inversión predominan los que viven en pareja con hijos (39%) o solo en pareja (30%)</w:t>
      </w:r>
      <w:r>
        <w:rPr>
          <w:rFonts w:ascii="Open Sans" w:eastAsia="Open Sans" w:hAnsi="Open Sans" w:cs="Open Sans"/>
        </w:rPr>
        <w:t>. En cambio, es significativamente menor el peso de los inversores que viven con sus padres (13%) o solos (12%), lo que confirma que la inversión inmobiliaria se asocia mayoritariamente a etapas vitales de mayor estabilidad.</w:t>
      </w:r>
    </w:p>
    <w:p w14:paraId="047A2C53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E032878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La opinión de los inversores sobre el mercado de la vivienda</w:t>
      </w:r>
    </w:p>
    <w:p w14:paraId="3A3465E6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</w:rPr>
      </w:pPr>
    </w:p>
    <w:p w14:paraId="07360E63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percepción de los inversores sobre el mercado inmobiliario español sigue siendo claramente positiva en 2025. El sentimiento de propiedad continúa muy vigente: el 82% de los inversores lo respalda, apenas un punto menos que el año anterior, y le otorgan una nota media de 8,1 sobre 10. </w:t>
      </w:r>
      <w:r>
        <w:rPr>
          <w:rFonts w:ascii="Open Sans" w:eastAsia="Open Sans" w:hAnsi="Open Sans" w:cs="Open Sans"/>
          <w:b/>
          <w:bCs/>
        </w:rPr>
        <w:t>La idea que gana más fuerza este año es que, con el precio actual del alquiler, compensa más pagar una hipoteca</w:t>
      </w:r>
      <w:r>
        <w:rPr>
          <w:rFonts w:ascii="Open Sans" w:eastAsia="Open Sans" w:hAnsi="Open Sans" w:cs="Open Sans"/>
        </w:rPr>
        <w:t>. Esta afirmación es compartida por el 83% de los inversores en 2025, frente al 70% de 2024, y alcanza una valoración media de 8,1 puntos, superior a los 7,5 del ejercicio anterior. En línea con esta percepción, aumenta también el porcentaje de quienes consideran que alquilar una vivienda es tirar el dinero, que pasa del 56% al 58%.</w:t>
      </w:r>
    </w:p>
    <w:p w14:paraId="3FD299AC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D5E2DAF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Asimismo, el 78% de los inversores considera que comprar una vivienda es una buena inversión, con una puntuación media de 7,8, cifras ligeramente superiores a las registradas un año antes. En paralelo, disminuye la preocupación por las condiciones hipotecarias, favorecida por el descenso del euríbor. Si en 2024 esta </w:t>
      </w:r>
      <w:r>
        <w:rPr>
          <w:rFonts w:ascii="Open Sans" w:eastAsia="Open Sans" w:hAnsi="Open Sans" w:cs="Open Sans"/>
        </w:rPr>
        <w:lastRenderedPageBreak/>
        <w:t xml:space="preserve">cuestión era considerada una dificultad por el 78% de los inversores, en 2025 este porcentaje se reduce al 69%, y su valoración desciende de 7,8 a 7,4 puntos. </w:t>
      </w:r>
      <w:r>
        <w:rPr>
          <w:rFonts w:ascii="Open Sans" w:eastAsia="Open Sans" w:hAnsi="Open Sans" w:cs="Open Sans"/>
          <w:b/>
          <w:bCs/>
        </w:rPr>
        <w:t>Por último, la percepción de que el mercado se encuentra próximo a una nueva burbuja inmobiliaria se mantiene en niveles moderados</w:t>
      </w:r>
      <w:r>
        <w:rPr>
          <w:rFonts w:ascii="Open Sans" w:eastAsia="Open Sans" w:hAnsi="Open Sans" w:cs="Open Sans"/>
        </w:rPr>
        <w:t>. El 46% de los inversores comparte esta idea, un porcentaje algo superior al 42% del estudio anterior.</w:t>
      </w:r>
    </w:p>
    <w:p w14:paraId="710B5003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A098131" w14:textId="77777777" w:rsidR="00FE082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7BB41EB5" wp14:editId="480AF4B9">
            <wp:extent cx="5760720" cy="4502785"/>
            <wp:effectExtent l="0" t="0" r="0" b="0"/>
            <wp:docPr id="2066816616" name="image3.png" descr="Tabl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abla&#10;&#10;El contenido generado por IA puede ser incorrecto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F4CB1" w14:textId="77777777" w:rsidR="00FE0824" w:rsidRDefault="00FE08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2221CB6" w14:textId="77777777" w:rsidR="002C2CC6" w:rsidRDefault="002C2CC6" w:rsidP="002C2CC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33B0DC1" w14:textId="4EBF0B52" w:rsidR="002C2CC6" w:rsidRDefault="002C2CC6" w:rsidP="002C2CC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0B8B6182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7D287B23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1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con el objetivo de aportar conocimiento y análisis en profundidad sobre las </w:t>
      </w:r>
      <w:r>
        <w:rPr>
          <w:rFonts w:ascii="Open Sans" w:eastAsia="Open Sans" w:hAnsi="Open Sans" w:cs="Open Sans"/>
          <w:sz w:val="22"/>
          <w:szCs w:val="22"/>
        </w:rPr>
        <w:lastRenderedPageBreak/>
        <w:t>tendencias del mercado y el comportamiento de los ciudadanos en relación con la vivienda.</w:t>
      </w:r>
    </w:p>
    <w:p w14:paraId="1508E66B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9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117C530B" w14:textId="77777777" w:rsidR="002C2CC6" w:rsidRDefault="002C2CC6" w:rsidP="002C2CC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98A7B00" w14:textId="77777777" w:rsidR="002C2CC6" w:rsidRDefault="002C2CC6" w:rsidP="002C2CC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009D9D13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99F8EDC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2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3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4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5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938672A" w14:textId="77777777" w:rsidR="002C2CC6" w:rsidRDefault="002C2CC6" w:rsidP="002C2CC6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43DA8203" w14:textId="77777777" w:rsidR="002C2CC6" w:rsidRDefault="002C2CC6" w:rsidP="002C2CC6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otocasa Group forma parte de 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, el grupo tecnológico alemán líder en Europa que opera </w:t>
      </w:r>
      <w:r w:rsidRPr="00D46246">
        <w:rPr>
          <w:rFonts w:ascii="Open Sans" w:eastAsia="Open Sans" w:hAnsi="Open Sans" w:cs="Open Sans"/>
          <w:b/>
          <w:bCs/>
          <w:sz w:val="22"/>
          <w:szCs w:val="22"/>
        </w:rPr>
        <w:t>ImmoScout24</w:t>
      </w:r>
      <w:r w:rsidRPr="00D46246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30BA7912" w14:textId="77777777" w:rsidR="002C2CC6" w:rsidRDefault="002C2CC6" w:rsidP="002C2CC6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7CC3620E" w14:textId="77777777" w:rsidR="002C2CC6" w:rsidRPr="000D180B" w:rsidRDefault="002C2CC6" w:rsidP="002C2CC6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 w:rsidRPr="000D180B"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6E95ADF7" w14:textId="77777777" w:rsidR="002C2CC6" w:rsidRDefault="002C2CC6" w:rsidP="002C2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7F3FD8BC" w14:textId="77777777" w:rsidR="002C2CC6" w:rsidRDefault="002C2CC6" w:rsidP="002C2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. Con el </w:t>
      </w:r>
      <w:proofErr w:type="spellStart"/>
      <w:r w:rsidRPr="000D180B">
        <w:rPr>
          <w:rFonts w:ascii="Open Sans" w:eastAsia="Open Sans" w:hAnsi="Open Sans" w:cs="Open Sans"/>
          <w:sz w:val="22"/>
          <w:szCs w:val="22"/>
          <w:lang w:val="es-ES"/>
        </w:rPr>
        <w:t>marketplace</w:t>
      </w:r>
      <w:proofErr w:type="spellEnd"/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 </w:t>
      </w:r>
      <w:hyperlink r:id="rId26" w:history="1">
        <w:r w:rsidRPr="000D180B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4F6A95D0" w14:textId="77777777" w:rsidR="002C2CC6" w:rsidRDefault="002C2CC6" w:rsidP="002C2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47022D98" w14:textId="77777777" w:rsidR="002C2CC6" w:rsidRDefault="002C2CC6" w:rsidP="002C2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Con aproximadamente 19 millones de usuarios al mes en su web o aplicación, </w:t>
      </w: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4B45C5B8" w14:textId="77777777" w:rsidR="002C2CC6" w:rsidRPr="000D180B" w:rsidRDefault="002C2CC6" w:rsidP="002C2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399C02AD" w14:textId="77777777" w:rsidR="002C2CC6" w:rsidRPr="00D46246" w:rsidRDefault="002C2CC6" w:rsidP="002C2CC6">
      <w:pPr>
        <w:spacing w:line="276" w:lineRule="auto"/>
        <w:rPr>
          <w:rFonts w:ascii="Open Sans" w:eastAsia="Open Sans" w:hAnsi="Open Sans" w:cs="Open Sans"/>
          <w:lang w:val="es-ES"/>
        </w:rPr>
      </w:pPr>
    </w:p>
    <w:p w14:paraId="311F7440" w14:textId="77777777" w:rsidR="002C2CC6" w:rsidRDefault="002C2CC6" w:rsidP="002C2CC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1EBB8714" w14:textId="77777777" w:rsidR="002C2CC6" w:rsidRDefault="002C2CC6" w:rsidP="002C2CC6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lastRenderedPageBreak/>
        <w:t>Departamento Comunicación Fotocasa</w:t>
      </w:r>
    </w:p>
    <w:p w14:paraId="1B39DD37" w14:textId="77777777" w:rsidR="002C2CC6" w:rsidRDefault="002C2CC6" w:rsidP="002C2CC6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15E83D62" w14:textId="77777777" w:rsidR="002C2CC6" w:rsidRDefault="002C2CC6" w:rsidP="002C2CC6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09878723" w14:textId="77777777" w:rsidR="002C2CC6" w:rsidRDefault="002C2CC6" w:rsidP="002C2CC6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6FEE9368" w14:textId="132B67D5" w:rsidR="00FE0824" w:rsidRDefault="00FE0824" w:rsidP="002C2CC6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FE0824">
      <w:footerReference w:type="default" r:id="rId28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FF9BD" w14:textId="77777777" w:rsidR="00322F87" w:rsidRDefault="00322F87">
      <w:r>
        <w:separator/>
      </w:r>
    </w:p>
  </w:endnote>
  <w:endnote w:type="continuationSeparator" w:id="0">
    <w:p w14:paraId="35F13581" w14:textId="77777777" w:rsidR="00322F87" w:rsidRDefault="0032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74C7004-AD2A-4A23-8AE6-832D517595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8B9165-92D7-40A7-B394-6F972B8F926C}"/>
    <w:embedBold r:id="rId3" w:fontKey="{9D534836-833F-493B-9C6E-06A0B61BB1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14F4F7-71F9-4D6D-97F9-CA4B97CE7E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22524D1-10EF-433B-8126-5BCC7B091991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02B3734-0ED0-4984-95AD-8C9062A125C2}"/>
    <w:embedBold r:id="rId7" w:fontKey="{D2580E99-0AA7-49B6-AFE5-631C793169DD}"/>
    <w:embedBoldItalic r:id="rId8" w:fontKey="{1B8F1A75-F030-46C0-BA7A-392FD25AE7C5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9" w:fontKey="{5ECF393A-66C8-4810-AE31-C16F033DA0BE}"/>
    <w:embedBoldItalic r:id="rId10" w:fontKey="{0D9C9B1F-F809-439E-8280-C3DF6802B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7E020" w14:textId="77777777" w:rsidR="00FE08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5F7D1A" wp14:editId="6D4F42A8">
          <wp:simplePos x="0" y="0"/>
          <wp:positionH relativeFrom="column">
            <wp:posOffset>-1068043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02FC3" w14:textId="77777777" w:rsidR="00322F87" w:rsidRDefault="00322F87">
      <w:r>
        <w:separator/>
      </w:r>
    </w:p>
  </w:footnote>
  <w:footnote w:type="continuationSeparator" w:id="0">
    <w:p w14:paraId="02CDC7CE" w14:textId="77777777" w:rsidR="00322F87" w:rsidRDefault="00322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675ABA"/>
    <w:multiLevelType w:val="multilevel"/>
    <w:tmpl w:val="9E7468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72518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824"/>
    <w:rsid w:val="002C2CC6"/>
    <w:rsid w:val="00322F87"/>
    <w:rsid w:val="00D37127"/>
    <w:rsid w:val="00FE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1ACDB"/>
  <w15:docId w15:val="{21DFE23A-7E14-47E9-AC4B-D27405C3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earch.fotocasa.es/" TargetMode="External"/><Relationship Id="rId18" Type="http://schemas.openxmlformats.org/officeDocument/2006/relationships/hyperlink" Target="https://www.research.fotocasa.es" TargetMode="External"/><Relationship Id="rId26" Type="http://schemas.openxmlformats.org/officeDocument/2006/relationships/hyperlink" Target="https://www.immobilienscout24.d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abitaclia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36360.pcdn.co/wp-content/uploads/2026/02/Informe-inversion-2025.pdf" TargetMode="External"/><Relationship Id="rId17" Type="http://schemas.openxmlformats.org/officeDocument/2006/relationships/hyperlink" Target="https://www.fotocasa.es/indice/" TargetMode="External"/><Relationship Id="rId25" Type="http://schemas.openxmlformats.org/officeDocument/2006/relationships/hyperlink" Target="https://www.inmoweb.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fotocasa.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36360.pcdn.co/wp-content/uploads/2026/02/Informe-inversion-2025.pdf" TargetMode="External"/><Relationship Id="rId24" Type="http://schemas.openxmlformats.org/officeDocument/2006/relationships/hyperlink" Target="https://get.witei.com/e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datavenues.com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s36360.pcdn.co/wp-content/uploads/2026/02/Informe-inversion-2025.pdf" TargetMode="External"/><Relationship Id="rId19" Type="http://schemas.openxmlformats.org/officeDocument/2006/relationships/hyperlink" Target="http://prensa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36360.pcdn.co/wp-content/uploads/2026/02/Informe-inversion-2025.pdf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hyperlink" Target="https://profesionales.fotocasa.es/" TargetMode="External"/><Relationship Id="rId27" Type="http://schemas.openxmlformats.org/officeDocument/2006/relationships/hyperlink" Target="mailto:comunicacion@fotocasa.es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77JX7heSxo26l+v3wEONxmCCRw==">CgMxLjA4AGokChRzdWdnZXN0LmNpN2hycmd5NzFyahIMTWFyw61hIE1hdG9zaiQKFHN1Z2dlc3QuZG1naTNvemJ2Zm14EgxNYXLDrWEgTWF0b3NqJAoUc3VnZ2VzdC4zZXA1YTg4YTNtNXASDE1hcsOtYSBNYXRvc3IhMUYyeTY5WjFlODZUZkU4SHkxQjlvQWlRcVZaTVlrQkpR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1441</Words>
  <Characters>7929</Characters>
  <Application>Microsoft Office Word</Application>
  <DocSecurity>0</DocSecurity>
  <Lines>66</Lines>
  <Paragraphs>18</Paragraphs>
  <ScaleCrop>false</ScaleCrop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2</cp:revision>
  <dcterms:created xsi:type="dcterms:W3CDTF">2024-02-06T13:46:00Z</dcterms:created>
  <dcterms:modified xsi:type="dcterms:W3CDTF">2026-03-05T08:37:00Z</dcterms:modified>
</cp:coreProperties>
</file>