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6A13" w14:textId="77777777" w:rsidR="00A84CA7" w:rsidRDefault="00A84CA7" w:rsidP="00403601">
      <w:bookmarkStart w:id="0" w:name="_Hlk1467840"/>
      <w:bookmarkEnd w:id="0"/>
      <w:r>
        <w:rPr>
          <w:rFonts w:ascii="National" w:hAnsi="National"/>
          <w:noProof/>
          <w:color w:val="303AB2"/>
          <w:sz w:val="36"/>
          <w:szCs w:val="36"/>
          <w:lang w:val="es-ES" w:eastAsia="es-ES" w:bidi="ks-Deva"/>
        </w:rPr>
        <w:drawing>
          <wp:anchor distT="0" distB="0" distL="114300" distR="114300" simplePos="0" relativeHeight="251653120" behindDoc="0" locked="0" layoutInCell="1" allowOverlap="1" wp14:anchorId="69A99328" wp14:editId="74E89E0B">
            <wp:simplePos x="0" y="0"/>
            <wp:positionH relativeFrom="column">
              <wp:posOffset>-1078865</wp:posOffset>
            </wp:positionH>
            <wp:positionV relativeFrom="paragraph">
              <wp:posOffset>-350453</wp:posOffset>
            </wp:positionV>
            <wp:extent cx="7581265" cy="1019175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era_Nd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C2EAD" w14:textId="77777777" w:rsidR="002E43BB" w:rsidRDefault="002E43BB" w:rsidP="00403601">
      <w:pPr>
        <w:jc w:val="right"/>
        <w:rPr>
          <w:rFonts w:ascii="National" w:hAnsi="National"/>
          <w:color w:val="303AB2"/>
          <w:sz w:val="36"/>
          <w:szCs w:val="36"/>
        </w:rPr>
      </w:pPr>
    </w:p>
    <w:p w14:paraId="0077592D" w14:textId="77777777" w:rsidR="00A84CA7" w:rsidRDefault="00A84CA7" w:rsidP="00403601">
      <w:pPr>
        <w:jc w:val="right"/>
        <w:rPr>
          <w:rFonts w:ascii="National" w:hAnsi="National"/>
          <w:color w:val="303AB2"/>
          <w:sz w:val="36"/>
          <w:szCs w:val="36"/>
        </w:rPr>
      </w:pPr>
    </w:p>
    <w:p w14:paraId="7DA4BAE8" w14:textId="77777777" w:rsidR="00A84CA7" w:rsidRPr="00766069" w:rsidRDefault="00A84CA7" w:rsidP="00403601">
      <w:pPr>
        <w:rPr>
          <w:rFonts w:ascii="National" w:hAnsi="National"/>
          <w:color w:val="303AB2"/>
          <w:sz w:val="16"/>
          <w:szCs w:val="16"/>
        </w:rPr>
      </w:pPr>
    </w:p>
    <w:p w14:paraId="33A352E4" w14:textId="2F57C672" w:rsidR="00753088" w:rsidRPr="000A4242" w:rsidRDefault="008F3954" w:rsidP="00403601">
      <w:pPr>
        <w:spacing w:line="276" w:lineRule="auto"/>
        <w:jc w:val="center"/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</w:pPr>
      <w:bookmarkStart w:id="1" w:name="_Hlk22408489"/>
      <w:r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>202</w:t>
      </w:r>
      <w:r w:rsidR="0073037A"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>5</w:t>
      </w:r>
      <w:r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 xml:space="preserve">: </w:t>
      </w:r>
      <w:r w:rsidR="004F4D46"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 xml:space="preserve">ANÁLISIS RENTABILIDAD </w:t>
      </w:r>
      <w:r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>GARAJES</w:t>
      </w:r>
      <w:r w:rsidR="00A1628B">
        <w:rPr>
          <w:rFonts w:ascii="National" w:hAnsi="National"/>
          <w:b/>
          <w:bCs/>
          <w:iCs/>
          <w:color w:val="1DBDC5"/>
          <w:sz w:val="38"/>
          <w:szCs w:val="40"/>
          <w:lang w:val="es-ES"/>
        </w:rPr>
        <w:t xml:space="preserve"> </w:t>
      </w:r>
    </w:p>
    <w:p w14:paraId="1BAFB68B" w14:textId="582764F8" w:rsidR="00516F9C" w:rsidRPr="004F4D46" w:rsidRDefault="004F4D46" w:rsidP="00403601">
      <w:pPr>
        <w:jc w:val="center"/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</w:pPr>
      <w:r w:rsidRPr="004F4D46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 xml:space="preserve">La rentabilidad </w:t>
      </w:r>
      <w:r w:rsidR="008F3954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>de los garajes</w:t>
      </w:r>
      <w:r w:rsidRPr="004F4D46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 xml:space="preserve"> en España </w:t>
      </w:r>
      <w:r w:rsidR="0073037A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 xml:space="preserve">cierra 2025 </w:t>
      </w:r>
      <w:r w:rsidR="00BD3FF1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>en 6,4%,</w:t>
      </w:r>
      <w:r w:rsidR="0073037A">
        <w:rPr>
          <w:rFonts w:ascii="National" w:hAnsi="National"/>
          <w:b/>
          <w:bCs/>
          <w:iCs/>
          <w:color w:val="303AB2"/>
          <w:sz w:val="46"/>
          <w:szCs w:val="56"/>
          <w:lang w:val="es-ES"/>
        </w:rPr>
        <w:t xml:space="preserve"> tres puntos menos que hace cinco años </w:t>
      </w:r>
    </w:p>
    <w:p w14:paraId="3EFAB170" w14:textId="77777777" w:rsidR="00B85F69" w:rsidRPr="00F640A6" w:rsidRDefault="00B85F69" w:rsidP="00403601">
      <w:pPr>
        <w:rPr>
          <w:rFonts w:ascii="National" w:hAnsi="National"/>
          <w:b/>
          <w:bCs/>
          <w:iCs/>
          <w:color w:val="303AB2"/>
          <w:sz w:val="16"/>
          <w:szCs w:val="16"/>
          <w:lang w:val="es-ES"/>
        </w:rPr>
      </w:pPr>
    </w:p>
    <w:p w14:paraId="3275DF58" w14:textId="3EFF8B25" w:rsidR="004F4D46" w:rsidRPr="008C51E0" w:rsidRDefault="00DD758B" w:rsidP="0040360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Open Sans" w:eastAsia="Times New Roman" w:hAnsi="Open Sans" w:cs="Open Sans"/>
          <w:color w:val="000000"/>
          <w:lang w:val="es-ES" w:eastAsia="es-ES_tradnl"/>
        </w:rPr>
      </w:pPr>
      <w:r w:rsidRPr="008C51E0">
        <w:rPr>
          <w:rFonts w:ascii="Open Sans" w:eastAsia="Times New Roman" w:hAnsi="Open Sans" w:cs="Open Sans"/>
          <w:color w:val="000000"/>
          <w:lang w:val="es-ES" w:eastAsia="es-ES_tradnl"/>
        </w:rPr>
        <w:t>La</w:t>
      </w:r>
      <w:r w:rsidR="004F4D46"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rentabilidad </w:t>
      </w:r>
      <w:r w:rsidR="008F3954">
        <w:rPr>
          <w:rFonts w:ascii="Open Sans" w:eastAsia="Times New Roman" w:hAnsi="Open Sans" w:cs="Open Sans"/>
          <w:color w:val="000000"/>
          <w:lang w:val="es-ES" w:eastAsia="es-ES_tradnl"/>
        </w:rPr>
        <w:t>de los garajes</w:t>
      </w:r>
      <w:r w:rsidR="004F4D46"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en España </w:t>
      </w:r>
      <w:r w:rsidR="0073037A">
        <w:rPr>
          <w:rFonts w:ascii="Open Sans" w:eastAsia="Times New Roman" w:hAnsi="Open Sans" w:cs="Open Sans"/>
          <w:color w:val="000000"/>
          <w:lang w:val="es-ES" w:eastAsia="es-ES_tradnl"/>
        </w:rPr>
        <w:t xml:space="preserve">cae un 0,1 punto </w:t>
      </w:r>
      <w:r w:rsidR="00BD3FF1">
        <w:rPr>
          <w:rFonts w:ascii="Open Sans" w:eastAsia="Times New Roman" w:hAnsi="Open Sans" w:cs="Open Sans"/>
          <w:color w:val="000000"/>
          <w:lang w:val="es-ES" w:eastAsia="es-ES_tradnl"/>
        </w:rPr>
        <w:t>en un año y 2,9 punto en cinco años</w:t>
      </w:r>
    </w:p>
    <w:p w14:paraId="5393F07C" w14:textId="0F2EF443" w:rsidR="004F4D46" w:rsidRPr="008C51E0" w:rsidRDefault="00287080" w:rsidP="0040360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Open Sans" w:eastAsia="Times New Roman" w:hAnsi="Open Sans" w:cs="Open Sans"/>
          <w:color w:val="000000"/>
          <w:lang w:val="es-ES" w:eastAsia="es-ES_tradnl"/>
        </w:rPr>
      </w:pPr>
      <w:r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Hace </w:t>
      </w:r>
      <w:r w:rsidR="008139AC">
        <w:rPr>
          <w:rFonts w:ascii="Open Sans" w:eastAsia="Times New Roman" w:hAnsi="Open Sans" w:cs="Open Sans"/>
          <w:color w:val="000000"/>
          <w:lang w:val="es-ES" w:eastAsia="es-ES_tradnl"/>
        </w:rPr>
        <w:t>5</w:t>
      </w:r>
      <w:r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año</w:t>
      </w:r>
      <w:r w:rsidR="008139AC">
        <w:rPr>
          <w:rFonts w:ascii="Open Sans" w:eastAsia="Times New Roman" w:hAnsi="Open Sans" w:cs="Open Sans"/>
          <w:color w:val="000000"/>
          <w:lang w:val="es-ES" w:eastAsia="es-ES_tradnl"/>
        </w:rPr>
        <w:t>s</w:t>
      </w:r>
      <w:r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la rentabilidad</w:t>
      </w:r>
      <w:r w:rsidR="0014290F"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</w:t>
      </w:r>
      <w:r w:rsidR="008F3954">
        <w:rPr>
          <w:rFonts w:ascii="Open Sans" w:eastAsia="Times New Roman" w:hAnsi="Open Sans" w:cs="Open Sans"/>
          <w:color w:val="000000"/>
          <w:lang w:val="es-ES" w:eastAsia="es-ES_tradnl"/>
        </w:rPr>
        <w:t>de los garajes</w:t>
      </w:r>
      <w:r w:rsidRPr="008C51E0">
        <w:rPr>
          <w:rFonts w:ascii="Open Sans" w:eastAsia="Times New Roman" w:hAnsi="Open Sans" w:cs="Open Sans"/>
          <w:color w:val="000000"/>
          <w:lang w:val="es-ES" w:eastAsia="es-ES_tradnl"/>
        </w:rPr>
        <w:t xml:space="preserve"> </w:t>
      </w:r>
      <w:r w:rsidR="00083527">
        <w:rPr>
          <w:rFonts w:ascii="Open Sans" w:eastAsia="Times New Roman" w:hAnsi="Open Sans" w:cs="Open Sans"/>
          <w:color w:val="000000"/>
          <w:lang w:val="es-ES" w:eastAsia="es-ES_tradnl"/>
        </w:rPr>
        <w:t>en España alcanza</w:t>
      </w:r>
      <w:r w:rsidR="00CB22D7">
        <w:rPr>
          <w:rFonts w:ascii="Open Sans" w:eastAsia="Times New Roman" w:hAnsi="Open Sans" w:cs="Open Sans"/>
          <w:color w:val="000000"/>
          <w:lang w:val="es-ES" w:eastAsia="es-ES_tradnl"/>
        </w:rPr>
        <w:t>ba</w:t>
      </w:r>
      <w:r w:rsidR="00083527">
        <w:rPr>
          <w:rFonts w:ascii="Open Sans" w:eastAsia="Times New Roman" w:hAnsi="Open Sans" w:cs="Open Sans"/>
          <w:color w:val="000000"/>
          <w:lang w:val="es-ES" w:eastAsia="es-ES_tradnl"/>
        </w:rPr>
        <w:t xml:space="preserve"> el </w:t>
      </w:r>
      <w:r w:rsidR="00BD3FF1">
        <w:rPr>
          <w:rFonts w:ascii="Open Sans" w:eastAsia="Times New Roman" w:hAnsi="Open Sans" w:cs="Open Sans"/>
          <w:color w:val="000000"/>
          <w:lang w:val="es-ES" w:eastAsia="es-ES_tradnl"/>
        </w:rPr>
        <w:t>9</w:t>
      </w:r>
      <w:r w:rsidR="001A3B71">
        <w:rPr>
          <w:rFonts w:ascii="Open Sans" w:eastAsia="Times New Roman" w:hAnsi="Open Sans" w:cs="Open Sans"/>
          <w:color w:val="000000"/>
          <w:lang w:val="es-ES" w:eastAsia="es-ES_tradnl"/>
        </w:rPr>
        <w:t>,3</w:t>
      </w:r>
      <w:r w:rsidR="00083527">
        <w:rPr>
          <w:rFonts w:ascii="Open Sans" w:eastAsia="Times New Roman" w:hAnsi="Open Sans" w:cs="Open Sans"/>
          <w:color w:val="000000"/>
          <w:lang w:val="es-ES" w:eastAsia="es-ES_tradnl"/>
        </w:rPr>
        <w:t>%</w:t>
      </w:r>
    </w:p>
    <w:p w14:paraId="6D7DB583" w14:textId="6C3C36B1" w:rsidR="004F4D46" w:rsidRPr="008C51E0" w:rsidRDefault="003D38A2" w:rsidP="0040360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Open Sans" w:eastAsia="Times New Roman" w:hAnsi="Open Sans" w:cs="Open Sans"/>
          <w:color w:val="000000"/>
          <w:lang w:val="es-ES" w:eastAsia="es-ES_tradnl"/>
        </w:rPr>
      </w:pPr>
      <w:r>
        <w:rPr>
          <w:rFonts w:ascii="Open Sans" w:eastAsia="Times New Roman" w:hAnsi="Open Sans" w:cs="Open Sans"/>
          <w:color w:val="000000"/>
          <w:lang w:val="es-ES" w:eastAsia="es-ES_tradnl"/>
        </w:rPr>
        <w:t xml:space="preserve">La </w:t>
      </w:r>
      <w:r w:rsidR="001A3B71">
        <w:rPr>
          <w:rFonts w:ascii="Open Sans" w:eastAsia="Times New Roman" w:hAnsi="Open Sans" w:cs="Open Sans"/>
          <w:color w:val="000000"/>
          <w:lang w:val="es-ES" w:eastAsia="es-ES_tradnl"/>
        </w:rPr>
        <w:t xml:space="preserve">ciudad </w:t>
      </w:r>
      <w:r w:rsidR="00E43BA3">
        <w:rPr>
          <w:rFonts w:ascii="Open Sans" w:eastAsia="Times New Roman" w:hAnsi="Open Sans" w:cs="Open Sans"/>
          <w:color w:val="000000"/>
          <w:lang w:val="es-ES" w:eastAsia="es-ES_tradnl"/>
        </w:rPr>
        <w:t>madrileña</w:t>
      </w:r>
      <w:r>
        <w:rPr>
          <w:rFonts w:ascii="Open Sans" w:eastAsia="Times New Roman" w:hAnsi="Open Sans" w:cs="Open Sans"/>
          <w:color w:val="000000"/>
          <w:lang w:val="es-ES" w:eastAsia="es-ES_tradnl"/>
        </w:rPr>
        <w:t xml:space="preserve"> </w:t>
      </w:r>
      <w:r w:rsidR="001A3B71">
        <w:rPr>
          <w:rFonts w:ascii="Open Sans" w:eastAsia="Times New Roman" w:hAnsi="Open Sans" w:cs="Open Sans"/>
          <w:color w:val="000000"/>
          <w:lang w:val="es-ES" w:eastAsia="es-ES_tradnl"/>
        </w:rPr>
        <w:t xml:space="preserve">de </w:t>
      </w:r>
      <w:r w:rsidR="00E43BA3">
        <w:rPr>
          <w:rFonts w:ascii="Open Sans" w:eastAsia="Times New Roman" w:hAnsi="Open Sans" w:cs="Open Sans"/>
          <w:color w:val="000000"/>
          <w:lang w:val="es-ES" w:eastAsia="es-ES_tradnl"/>
        </w:rPr>
        <w:t>Alcorcón</w:t>
      </w:r>
      <w:r w:rsidR="0082422B">
        <w:rPr>
          <w:rFonts w:ascii="Open Sans" w:eastAsia="Times New Roman" w:hAnsi="Open Sans" w:cs="Open Sans"/>
          <w:color w:val="000000"/>
          <w:lang w:val="es-ES" w:eastAsia="es-ES_tradnl"/>
        </w:rPr>
        <w:t xml:space="preserve"> </w:t>
      </w:r>
      <w:r>
        <w:rPr>
          <w:rFonts w:ascii="Open Sans" w:eastAsia="Times New Roman" w:hAnsi="Open Sans" w:cs="Open Sans"/>
          <w:color w:val="000000"/>
          <w:lang w:val="es-ES" w:eastAsia="es-ES_tradnl"/>
        </w:rPr>
        <w:t>se convierte en la ciudad con la mayor rentabilidad de España para invertir en garajes</w:t>
      </w:r>
      <w:r w:rsidR="000B1C1C">
        <w:rPr>
          <w:rFonts w:ascii="Open Sans" w:eastAsia="Times New Roman" w:hAnsi="Open Sans" w:cs="Open Sans"/>
          <w:color w:val="000000"/>
          <w:lang w:val="es-ES" w:eastAsia="es-ES_tradnl"/>
        </w:rPr>
        <w:t xml:space="preserve"> con</w:t>
      </w:r>
      <w:r>
        <w:rPr>
          <w:rFonts w:ascii="Open Sans" w:eastAsia="Times New Roman" w:hAnsi="Open Sans" w:cs="Open Sans"/>
          <w:color w:val="000000"/>
          <w:lang w:val="es-ES" w:eastAsia="es-ES_tradnl"/>
        </w:rPr>
        <w:t xml:space="preserve"> un </w:t>
      </w:r>
      <w:r w:rsidR="00E43BA3">
        <w:rPr>
          <w:rFonts w:ascii="Open Sans" w:eastAsia="Times New Roman" w:hAnsi="Open Sans" w:cs="Open Sans"/>
          <w:color w:val="000000"/>
          <w:lang w:val="es-ES" w:eastAsia="es-ES_tradnl"/>
        </w:rPr>
        <w:t>9</w:t>
      </w:r>
      <w:r w:rsidR="00102725">
        <w:rPr>
          <w:rFonts w:ascii="Open Sans" w:eastAsia="Times New Roman" w:hAnsi="Open Sans" w:cs="Open Sans"/>
          <w:color w:val="000000"/>
          <w:lang w:val="es-ES" w:eastAsia="es-ES_tradnl"/>
        </w:rPr>
        <w:t>,</w:t>
      </w:r>
      <w:r w:rsidR="0082422B">
        <w:rPr>
          <w:rFonts w:ascii="Open Sans" w:eastAsia="Times New Roman" w:hAnsi="Open Sans" w:cs="Open Sans"/>
          <w:color w:val="000000"/>
          <w:lang w:val="es-ES" w:eastAsia="es-ES_tradnl"/>
        </w:rPr>
        <w:t>2</w:t>
      </w:r>
      <w:r>
        <w:rPr>
          <w:rFonts w:ascii="Open Sans" w:eastAsia="Times New Roman" w:hAnsi="Open Sans" w:cs="Open Sans"/>
          <w:color w:val="000000"/>
          <w:lang w:val="es-ES" w:eastAsia="es-ES_tradnl"/>
        </w:rPr>
        <w:t>%</w:t>
      </w:r>
    </w:p>
    <w:p w14:paraId="0AA95515" w14:textId="77777777" w:rsidR="000A4242" w:rsidRPr="00766069" w:rsidRDefault="000A4242" w:rsidP="00403601">
      <w:pPr>
        <w:spacing w:line="276" w:lineRule="auto"/>
        <w:rPr>
          <w:rFonts w:ascii="Open Sans Light" w:hAnsi="Open Sans Light" w:cs="Open Sans Light"/>
          <w:b/>
          <w:iCs/>
          <w:color w:val="303AB2"/>
          <w:sz w:val="16"/>
          <w:szCs w:val="16"/>
          <w:lang w:val="es-ES"/>
        </w:rPr>
      </w:pPr>
    </w:p>
    <w:p w14:paraId="1D31CF16" w14:textId="700B139A" w:rsidR="002A35C0" w:rsidRPr="009006FC" w:rsidRDefault="00753088" w:rsidP="00403601">
      <w:pPr>
        <w:spacing w:line="276" w:lineRule="auto"/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</w:pPr>
      <w:r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>Madrid,</w:t>
      </w:r>
      <w:r w:rsidR="008F3954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 xml:space="preserve"> </w:t>
      </w:r>
      <w:r w:rsidR="00D8024A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 xml:space="preserve">9 </w:t>
      </w:r>
      <w:r w:rsidR="004A6315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 xml:space="preserve">de </w:t>
      </w:r>
      <w:r w:rsidR="002B2787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>marzo</w:t>
      </w:r>
      <w:r w:rsidR="00FD6A4B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 xml:space="preserve"> de 20</w:t>
      </w:r>
      <w:r w:rsidR="00161485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>2</w:t>
      </w:r>
      <w:r w:rsidR="00BD3FF1" w:rsidRPr="009006FC">
        <w:rPr>
          <w:rFonts w:ascii="Open Sans Light" w:hAnsi="Open Sans Light" w:cs="Open Sans Light"/>
          <w:b/>
          <w:iCs/>
          <w:color w:val="303AB2"/>
          <w:sz w:val="22"/>
          <w:szCs w:val="18"/>
          <w:lang w:val="es-ES"/>
        </w:rPr>
        <w:t>6</w:t>
      </w:r>
    </w:p>
    <w:p w14:paraId="46E89E5B" w14:textId="5AFF2C48" w:rsidR="004D4951" w:rsidRDefault="004F4D46" w:rsidP="00403601">
      <w:pPr>
        <w:pStyle w:val="NormalWeb"/>
        <w:shd w:val="clear" w:color="auto" w:fill="FFFFFF"/>
        <w:spacing w:after="225" w:line="276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F4D46">
        <w:rPr>
          <w:rFonts w:ascii="Open Sans" w:hAnsi="Open Sans" w:cs="Open Sans"/>
          <w:color w:val="000000"/>
          <w:sz w:val="22"/>
          <w:szCs w:val="22"/>
        </w:rPr>
        <w:t xml:space="preserve">La rentabilidad </w:t>
      </w:r>
      <w:r w:rsidR="008F3954">
        <w:rPr>
          <w:rFonts w:ascii="Open Sans" w:hAnsi="Open Sans" w:cs="Open Sans"/>
          <w:color w:val="000000"/>
          <w:sz w:val="22"/>
          <w:szCs w:val="22"/>
        </w:rPr>
        <w:t>de los garajes</w:t>
      </w:r>
      <w:r w:rsidRPr="004F4D46">
        <w:rPr>
          <w:rFonts w:ascii="Open Sans" w:hAnsi="Open Sans" w:cs="Open Sans"/>
          <w:color w:val="000000"/>
          <w:sz w:val="22"/>
          <w:szCs w:val="22"/>
        </w:rPr>
        <w:t xml:space="preserve"> en España </w:t>
      </w:r>
      <w:r w:rsidR="00444549">
        <w:rPr>
          <w:rFonts w:ascii="Open Sans" w:hAnsi="Open Sans" w:cs="Open Sans"/>
          <w:color w:val="000000"/>
          <w:sz w:val="22"/>
          <w:szCs w:val="22"/>
        </w:rPr>
        <w:t xml:space="preserve">cierra el </w:t>
      </w:r>
      <w:r w:rsidR="004A6315">
        <w:rPr>
          <w:rFonts w:ascii="Open Sans" w:hAnsi="Open Sans" w:cs="Open Sans"/>
          <w:color w:val="000000"/>
          <w:sz w:val="22"/>
          <w:szCs w:val="22"/>
        </w:rPr>
        <w:t>202</w:t>
      </w:r>
      <w:r w:rsidR="00BD3FF1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Pr="004F4D46">
        <w:rPr>
          <w:rFonts w:ascii="Open Sans" w:hAnsi="Open Sans" w:cs="Open Sans"/>
          <w:color w:val="000000"/>
          <w:sz w:val="22"/>
          <w:szCs w:val="22"/>
        </w:rPr>
        <w:t xml:space="preserve">en un </w:t>
      </w:r>
      <w:r w:rsidR="000B3DF9">
        <w:rPr>
          <w:rFonts w:ascii="Open Sans" w:hAnsi="Open Sans" w:cs="Open Sans"/>
          <w:color w:val="000000"/>
          <w:sz w:val="22"/>
          <w:szCs w:val="22"/>
        </w:rPr>
        <w:t>6,</w:t>
      </w:r>
      <w:r w:rsidR="00BD3FF1">
        <w:rPr>
          <w:rFonts w:ascii="Open Sans" w:hAnsi="Open Sans" w:cs="Open Sans"/>
          <w:color w:val="000000"/>
          <w:sz w:val="22"/>
          <w:szCs w:val="22"/>
        </w:rPr>
        <w:t>4</w:t>
      </w:r>
      <w:r w:rsidRPr="004F4D46">
        <w:rPr>
          <w:rFonts w:ascii="Open Sans" w:hAnsi="Open Sans" w:cs="Open Sans"/>
          <w:color w:val="000000"/>
          <w:sz w:val="22"/>
          <w:szCs w:val="22"/>
        </w:rPr>
        <w:t>%</w:t>
      </w:r>
      <w:r>
        <w:rPr>
          <w:rFonts w:ascii="Open Sans" w:hAnsi="Open Sans" w:cs="Open Sans"/>
          <w:color w:val="000000"/>
          <w:sz w:val="22"/>
          <w:szCs w:val="22"/>
        </w:rPr>
        <w:t>,</w:t>
      </w:r>
      <w:r w:rsidR="004D495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C4B96">
        <w:rPr>
          <w:rFonts w:ascii="Open Sans" w:hAnsi="Open Sans" w:cs="Open Sans"/>
          <w:color w:val="000000"/>
          <w:sz w:val="22"/>
          <w:szCs w:val="22"/>
        </w:rPr>
        <w:t xml:space="preserve">es decir, </w:t>
      </w:r>
      <w:r w:rsidR="00444549">
        <w:rPr>
          <w:rFonts w:ascii="Open Sans" w:hAnsi="Open Sans" w:cs="Open Sans"/>
          <w:color w:val="000000"/>
          <w:sz w:val="22"/>
          <w:szCs w:val="22"/>
        </w:rPr>
        <w:t>0,</w:t>
      </w:r>
      <w:r w:rsidR="00BD3FF1">
        <w:rPr>
          <w:rFonts w:ascii="Open Sans" w:hAnsi="Open Sans" w:cs="Open Sans"/>
          <w:color w:val="000000"/>
          <w:sz w:val="22"/>
          <w:szCs w:val="22"/>
        </w:rPr>
        <w:t>1</w:t>
      </w:r>
      <w:r w:rsidR="004D4951">
        <w:rPr>
          <w:rFonts w:ascii="Open Sans" w:hAnsi="Open Sans" w:cs="Open Sans"/>
          <w:color w:val="000000"/>
          <w:sz w:val="22"/>
          <w:szCs w:val="22"/>
        </w:rPr>
        <w:t xml:space="preserve"> punto </w:t>
      </w:r>
      <w:r w:rsidR="00D578F9">
        <w:rPr>
          <w:rFonts w:ascii="Open Sans" w:hAnsi="Open Sans" w:cs="Open Sans"/>
          <w:color w:val="000000"/>
          <w:sz w:val="22"/>
          <w:szCs w:val="22"/>
        </w:rPr>
        <w:t>menos</w:t>
      </w:r>
      <w:r w:rsidR="004D4951">
        <w:rPr>
          <w:rFonts w:ascii="Open Sans" w:hAnsi="Open Sans" w:cs="Open Sans"/>
          <w:color w:val="000000"/>
          <w:sz w:val="22"/>
          <w:szCs w:val="22"/>
        </w:rPr>
        <w:t xml:space="preserve"> que en 20</w:t>
      </w:r>
      <w:r w:rsidR="00D578F9">
        <w:rPr>
          <w:rFonts w:ascii="Open Sans" w:hAnsi="Open Sans" w:cs="Open Sans"/>
          <w:color w:val="000000"/>
          <w:sz w:val="22"/>
          <w:szCs w:val="22"/>
        </w:rPr>
        <w:t>2</w:t>
      </w:r>
      <w:r w:rsidR="00BD3FF1">
        <w:rPr>
          <w:rFonts w:ascii="Open Sans" w:hAnsi="Open Sans" w:cs="Open Sans"/>
          <w:color w:val="000000"/>
          <w:sz w:val="22"/>
          <w:szCs w:val="22"/>
        </w:rPr>
        <w:t>4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7701">
        <w:rPr>
          <w:rFonts w:ascii="Open Sans" w:hAnsi="Open Sans" w:cs="Open Sans"/>
          <w:color w:val="000000"/>
          <w:sz w:val="22"/>
          <w:szCs w:val="22"/>
        </w:rPr>
        <w:t>(</w:t>
      </w:r>
      <w:r w:rsidR="00BD3FF1">
        <w:rPr>
          <w:rFonts w:ascii="Open Sans" w:hAnsi="Open Sans" w:cs="Open Sans"/>
          <w:color w:val="000000"/>
          <w:sz w:val="22"/>
          <w:szCs w:val="22"/>
        </w:rPr>
        <w:t>6,5</w:t>
      </w:r>
      <w:r w:rsidR="006E7701">
        <w:rPr>
          <w:rFonts w:ascii="Open Sans" w:hAnsi="Open Sans" w:cs="Open Sans"/>
          <w:color w:val="000000"/>
          <w:sz w:val="22"/>
          <w:szCs w:val="22"/>
        </w:rPr>
        <w:t xml:space="preserve">%) 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y </w:t>
      </w:r>
      <w:r w:rsidR="00E43BA3">
        <w:rPr>
          <w:rFonts w:ascii="Open Sans" w:hAnsi="Open Sans" w:cs="Open Sans"/>
          <w:color w:val="000000"/>
          <w:sz w:val="22"/>
          <w:szCs w:val="22"/>
        </w:rPr>
        <w:t>un 2,9 punto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2787">
        <w:rPr>
          <w:rFonts w:ascii="Open Sans" w:hAnsi="Open Sans" w:cs="Open Sans"/>
          <w:color w:val="000000"/>
          <w:sz w:val="22"/>
          <w:szCs w:val="22"/>
        </w:rPr>
        <w:t>menos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 que hace </w:t>
      </w:r>
      <w:r w:rsidR="000B3DF9">
        <w:rPr>
          <w:rFonts w:ascii="Open Sans" w:hAnsi="Open Sans" w:cs="Open Sans"/>
          <w:color w:val="000000"/>
          <w:sz w:val="22"/>
          <w:szCs w:val="22"/>
        </w:rPr>
        <w:t>5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 años (</w:t>
      </w:r>
      <w:r w:rsidR="00BD3FF1">
        <w:rPr>
          <w:rFonts w:ascii="Open Sans" w:hAnsi="Open Sans" w:cs="Open Sans"/>
          <w:color w:val="000000"/>
          <w:sz w:val="22"/>
          <w:szCs w:val="22"/>
        </w:rPr>
        <w:t>9</w:t>
      </w:r>
      <w:r w:rsidR="000B3DF9">
        <w:rPr>
          <w:rFonts w:ascii="Open Sans" w:hAnsi="Open Sans" w:cs="Open Sans"/>
          <w:color w:val="000000"/>
          <w:sz w:val="22"/>
          <w:szCs w:val="22"/>
        </w:rPr>
        <w:t>,3</w:t>
      </w:r>
      <w:r w:rsidR="002F1B74">
        <w:rPr>
          <w:rFonts w:ascii="Open Sans" w:hAnsi="Open Sans" w:cs="Open Sans"/>
          <w:color w:val="000000"/>
          <w:sz w:val="22"/>
          <w:szCs w:val="22"/>
        </w:rPr>
        <w:t>%</w:t>
      </w:r>
      <w:r w:rsidR="00325FED">
        <w:rPr>
          <w:rFonts w:ascii="Open Sans" w:hAnsi="Open Sans" w:cs="Open Sans"/>
          <w:color w:val="000000"/>
          <w:sz w:val="22"/>
          <w:szCs w:val="22"/>
        </w:rPr>
        <w:t xml:space="preserve"> en 20</w:t>
      </w:r>
      <w:r w:rsidR="00BD3FF1">
        <w:rPr>
          <w:rFonts w:ascii="Open Sans" w:hAnsi="Open Sans" w:cs="Open Sans"/>
          <w:color w:val="000000"/>
          <w:sz w:val="22"/>
          <w:szCs w:val="22"/>
        </w:rPr>
        <w:t>20</w:t>
      </w:r>
      <w:r w:rsidR="00DD758B">
        <w:rPr>
          <w:rFonts w:ascii="Open Sans" w:hAnsi="Open Sans" w:cs="Open Sans"/>
          <w:color w:val="000000"/>
          <w:sz w:val="22"/>
          <w:szCs w:val="22"/>
        </w:rPr>
        <w:t>)</w:t>
      </w:r>
      <w:r w:rsidR="004D4951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F4D46">
        <w:rPr>
          <w:rFonts w:ascii="Open Sans" w:hAnsi="Open Sans" w:cs="Open Sans"/>
          <w:color w:val="000000"/>
          <w:sz w:val="22"/>
          <w:szCs w:val="22"/>
        </w:rPr>
        <w:t xml:space="preserve">según 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el estudio </w:t>
      </w:r>
      <w:r w:rsidR="0023146C">
        <w:rPr>
          <w:rFonts w:ascii="Open Sans" w:hAnsi="Open Sans" w:cs="Open Sans"/>
          <w:color w:val="000000"/>
          <w:sz w:val="22"/>
          <w:szCs w:val="22"/>
        </w:rPr>
        <w:t xml:space="preserve">de </w:t>
      </w:r>
      <w:r w:rsidR="00DD758B" w:rsidRPr="00DD758B">
        <w:rPr>
          <w:rFonts w:ascii="Open Sans" w:hAnsi="Open Sans" w:cs="Open Sans"/>
          <w:b/>
          <w:bCs/>
          <w:color w:val="000000"/>
          <w:sz w:val="22"/>
          <w:szCs w:val="22"/>
        </w:rPr>
        <w:t>“</w:t>
      </w:r>
      <w:r w:rsidR="00DD758B" w:rsidRPr="00DD758B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La rentabilidad </w:t>
      </w:r>
      <w:r w:rsidR="008F3954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de los garajes</w:t>
      </w:r>
      <w:r w:rsidR="00DD758B" w:rsidRPr="00DD758B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 en </w:t>
      </w:r>
      <w:r w:rsidR="00FA3CB8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España en </w:t>
      </w:r>
      <w:r w:rsidR="00DD758B" w:rsidRPr="00DD758B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202</w:t>
      </w:r>
      <w:r w:rsidR="00BD3FF1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5</w:t>
      </w:r>
      <w:r w:rsidR="00DD758B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”</w:t>
      </w:r>
      <w:r w:rsidR="006F0E41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,</w:t>
      </w:r>
      <w:r w:rsidR="00DD758B">
        <w:rPr>
          <w:rFonts w:ascii="Open Sans" w:hAnsi="Open Sans" w:cs="Open Sans"/>
          <w:color w:val="000000"/>
          <w:sz w:val="22"/>
          <w:szCs w:val="22"/>
        </w:rPr>
        <w:t xml:space="preserve"> basado en el</w:t>
      </w:r>
      <w:r w:rsidRPr="004F4D46">
        <w:rPr>
          <w:rFonts w:ascii="Open Sans" w:hAnsi="Open Sans" w:cs="Open Sans"/>
          <w:color w:val="000000"/>
          <w:sz w:val="22"/>
          <w:szCs w:val="22"/>
        </w:rPr>
        <w:t xml:space="preserve"> análisis </w:t>
      </w:r>
      <w:r w:rsidR="00DD758B" w:rsidRPr="004F4D46">
        <w:rPr>
          <w:rFonts w:ascii="Open Sans" w:hAnsi="Open Sans" w:cs="Open Sans"/>
          <w:color w:val="000000"/>
          <w:sz w:val="22"/>
          <w:szCs w:val="22"/>
        </w:rPr>
        <w:t xml:space="preserve">de los precios </w:t>
      </w:r>
      <w:r w:rsidR="008F3954">
        <w:rPr>
          <w:rFonts w:ascii="Open Sans" w:hAnsi="Open Sans" w:cs="Open Sans"/>
          <w:color w:val="000000"/>
          <w:sz w:val="22"/>
          <w:szCs w:val="22"/>
        </w:rPr>
        <w:t>de los garajes</w:t>
      </w:r>
      <w:r w:rsidR="00DD758B" w:rsidRPr="004F4D46">
        <w:rPr>
          <w:rFonts w:ascii="Open Sans" w:hAnsi="Open Sans" w:cs="Open Sans"/>
          <w:color w:val="000000"/>
          <w:sz w:val="22"/>
          <w:szCs w:val="22"/>
        </w:rPr>
        <w:t xml:space="preserve"> en venta y alquiler</w:t>
      </w:r>
      <w:r w:rsidR="004E2F96">
        <w:rPr>
          <w:rFonts w:ascii="Open Sans" w:hAnsi="Open Sans" w:cs="Open Sans"/>
          <w:color w:val="000000"/>
          <w:sz w:val="22"/>
          <w:szCs w:val="22"/>
        </w:rPr>
        <w:t xml:space="preserve"> de </w:t>
      </w:r>
      <w:r w:rsidR="00444549">
        <w:rPr>
          <w:rFonts w:ascii="Open Sans" w:hAnsi="Open Sans" w:cs="Open Sans"/>
          <w:color w:val="000000"/>
          <w:sz w:val="22"/>
          <w:szCs w:val="22"/>
        </w:rPr>
        <w:t>diciembre</w:t>
      </w:r>
      <w:r w:rsidR="004E2F96">
        <w:rPr>
          <w:rFonts w:ascii="Open Sans" w:hAnsi="Open Sans" w:cs="Open Sans"/>
          <w:color w:val="000000"/>
          <w:sz w:val="22"/>
          <w:szCs w:val="22"/>
        </w:rPr>
        <w:t xml:space="preserve"> de 202</w:t>
      </w:r>
      <w:r w:rsidR="00BD3FF1">
        <w:rPr>
          <w:rFonts w:ascii="Open Sans" w:hAnsi="Open Sans" w:cs="Open Sans"/>
          <w:color w:val="000000"/>
          <w:sz w:val="22"/>
          <w:szCs w:val="22"/>
        </w:rPr>
        <w:t>5</w:t>
      </w:r>
      <w:r w:rsidR="00D578F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2F96">
        <w:rPr>
          <w:rFonts w:ascii="Open Sans" w:hAnsi="Open Sans" w:cs="Open Sans"/>
          <w:color w:val="000000"/>
          <w:sz w:val="22"/>
          <w:szCs w:val="22"/>
        </w:rPr>
        <w:t xml:space="preserve">por el </w:t>
      </w:r>
      <w:r w:rsidRPr="004F4D46">
        <w:rPr>
          <w:rFonts w:ascii="Open Sans" w:hAnsi="Open Sans" w:cs="Open Sans"/>
          <w:color w:val="000000"/>
          <w:sz w:val="22"/>
          <w:szCs w:val="22"/>
        </w:rPr>
        <w:t xml:space="preserve">portal inmobiliario </w:t>
      </w:r>
      <w:hyperlink r:id="rId9" w:history="1">
        <w:r w:rsidRPr="000A4242">
          <w:rPr>
            <w:rStyle w:val="Hipervnculo"/>
            <w:rFonts w:ascii="Open Sans" w:hAnsi="Open Sans" w:cs="Open Sans"/>
            <w:sz w:val="22"/>
            <w:szCs w:val="22"/>
          </w:rPr>
          <w:t>Fotocasa</w:t>
        </w:r>
      </w:hyperlink>
      <w:r w:rsidR="004E2F96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1705668F" w14:textId="28DC4149" w:rsidR="00165125" w:rsidRPr="004F4D46" w:rsidRDefault="004F4D46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 Light" w:hAnsi="Open Sans Light" w:cs="Open Sans Light"/>
          <w:b/>
          <w:iCs/>
          <w:color w:val="303AB2"/>
          <w:sz w:val="30"/>
          <w:szCs w:val="20"/>
        </w:rPr>
      </w:pPr>
      <w:r w:rsidRPr="004F4D46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Rentabilidad </w:t>
      </w:r>
      <w:r w:rsidR="008F3954">
        <w:rPr>
          <w:rFonts w:ascii="Open Sans Light" w:hAnsi="Open Sans Light" w:cs="Open Sans Light"/>
          <w:b/>
          <w:iCs/>
          <w:color w:val="303AB2"/>
          <w:sz w:val="30"/>
          <w:szCs w:val="20"/>
        </w:rPr>
        <w:t>de los garajes</w:t>
      </w:r>
      <w:r w:rsidRPr="004F4D46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 en España</w:t>
      </w:r>
      <w:bookmarkEnd w:id="1"/>
      <w:r w:rsidR="008F3954" w:rsidRPr="008F3954">
        <w:rPr>
          <w:noProof/>
        </w:rPr>
        <w:t xml:space="preserve"> </w:t>
      </w:r>
      <w:r w:rsidR="00BD3FF1">
        <w:rPr>
          <w:noProof/>
        </w:rPr>
        <w:drawing>
          <wp:inline distT="0" distB="0" distL="0" distR="0" wp14:anchorId="24C14531" wp14:editId="67344C6D">
            <wp:extent cx="6052782" cy="2908935"/>
            <wp:effectExtent l="0" t="0" r="5715" b="5715"/>
            <wp:docPr id="9606136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3E652-B70D-443F-9A3B-7CE49AD160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FD975A" w14:textId="1AB48E21" w:rsidR="009006FC" w:rsidRPr="009006FC" w:rsidRDefault="009006FC" w:rsidP="00403601">
      <w:pPr>
        <w:pStyle w:val="NormalWeb"/>
        <w:shd w:val="clear" w:color="auto" w:fill="FFFFFF"/>
        <w:spacing w:after="225" w:line="276" w:lineRule="auto"/>
        <w:jc w:val="both"/>
        <w:rPr>
          <w:rFonts w:ascii="Open Sans" w:hAnsi="Open Sans" w:cs="Open Sans"/>
          <w:color w:val="000000"/>
          <w:sz w:val="22"/>
          <w:szCs w:val="22"/>
          <w:lang w:val="es-ES_tradnl"/>
        </w:rPr>
      </w:pPr>
      <w:r w:rsidRPr="009006FC">
        <w:rPr>
          <w:rFonts w:ascii="Open Sans" w:hAnsi="Open Sans" w:cs="Open Sans"/>
          <w:color w:val="000000"/>
          <w:sz w:val="22"/>
          <w:szCs w:val="22"/>
          <w:lang w:val="es-ES_tradnl"/>
        </w:rPr>
        <w:lastRenderedPageBreak/>
        <w:t xml:space="preserve">"La rentabilidad de los garajes en España muestra una tendencia hacia la estabilización, cerrando 2025 en un 6,4%. Aunque estamos lejos del 9,3% de hace cinco años, este activo sigue siendo una de las opciones más atractivas para el pequeño inversor debido a su bajo coste de mantenimiento y un riesgo muy reducido. Es un producto que ofrece una rentabilidad muy superior a otros productos financieros tradicionales, funcionando como un valor refugio excelente en el actual contexto económico", </w:t>
      </w:r>
      <w:r w:rsidRPr="009006FC">
        <w:rPr>
          <w:rFonts w:ascii="Open Sans" w:hAnsi="Open Sans" w:cs="Open Sans"/>
          <w:b/>
          <w:bCs/>
          <w:color w:val="000000"/>
          <w:sz w:val="22"/>
          <w:szCs w:val="22"/>
          <w:lang w:val="es-ES_tradnl"/>
        </w:rPr>
        <w:t xml:space="preserve">explica María Matos, directora de Estudios y portavoz de </w:t>
      </w:r>
      <w:hyperlink r:id="rId11" w:history="1">
        <w:r w:rsidRPr="009006FC">
          <w:rPr>
            <w:rStyle w:val="Hipervnculo"/>
            <w:rFonts w:ascii="Open Sans" w:hAnsi="Open Sans" w:cs="Open Sans"/>
            <w:b/>
            <w:bCs/>
            <w:sz w:val="22"/>
            <w:szCs w:val="22"/>
            <w:lang w:val="es-ES_tradnl"/>
          </w:rPr>
          <w:t>Fotocasa</w:t>
        </w:r>
      </w:hyperlink>
      <w:r w:rsidRPr="009006FC">
        <w:rPr>
          <w:rFonts w:ascii="Open Sans" w:hAnsi="Open Sans" w:cs="Open Sans"/>
          <w:b/>
          <w:bCs/>
          <w:color w:val="000000"/>
          <w:sz w:val="22"/>
          <w:szCs w:val="22"/>
          <w:lang w:val="es-ES_tradnl"/>
        </w:rPr>
        <w:t>.</w:t>
      </w:r>
    </w:p>
    <w:p w14:paraId="724441CD" w14:textId="79CC3AED" w:rsidR="004F4D46" w:rsidRPr="002F1AD6" w:rsidRDefault="004E2F96" w:rsidP="00403601">
      <w:pPr>
        <w:pStyle w:val="NormalWeb"/>
        <w:shd w:val="clear" w:color="auto" w:fill="FFFFFF"/>
        <w:spacing w:after="225" w:line="276" w:lineRule="auto"/>
        <w:jc w:val="both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  <w:r>
        <w:rPr>
          <w:rFonts w:ascii="Open Sans Light" w:hAnsi="Open Sans Light" w:cs="Open Sans Light"/>
          <w:b/>
          <w:iCs/>
          <w:color w:val="303AB2"/>
          <w:sz w:val="28"/>
          <w:szCs w:val="20"/>
        </w:rPr>
        <w:t>Por Comunidad Autónoma</w:t>
      </w:r>
    </w:p>
    <w:p w14:paraId="690507D6" w14:textId="3406646D" w:rsidR="006151D5" w:rsidRDefault="002B2787" w:rsidP="00403601">
      <w:pPr>
        <w:pStyle w:val="NormalWeb"/>
        <w:shd w:val="clear" w:color="auto" w:fill="FFFFFF"/>
        <w:spacing w:line="276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En </w:t>
      </w:r>
      <w:r w:rsidR="006151D5">
        <w:rPr>
          <w:rFonts w:ascii="Open Sans" w:hAnsi="Open Sans" w:cs="Open Sans"/>
          <w:color w:val="000000"/>
          <w:sz w:val="22"/>
          <w:szCs w:val="22"/>
        </w:rPr>
        <w:t>cinco</w:t>
      </w:r>
      <w:r w:rsidR="00801D9A">
        <w:rPr>
          <w:rFonts w:ascii="Open Sans" w:hAnsi="Open Sans" w:cs="Open Sans"/>
          <w:color w:val="000000"/>
          <w:sz w:val="22"/>
          <w:szCs w:val="22"/>
        </w:rPr>
        <w:t xml:space="preserve"> de las </w:t>
      </w:r>
      <w:r>
        <w:rPr>
          <w:rFonts w:ascii="Open Sans" w:hAnsi="Open Sans" w:cs="Open Sans"/>
          <w:color w:val="000000"/>
          <w:sz w:val="22"/>
          <w:szCs w:val="22"/>
        </w:rPr>
        <w:t xml:space="preserve">17 de </w:t>
      </w:r>
      <w:r w:rsidR="00420DED">
        <w:rPr>
          <w:rFonts w:ascii="Open Sans" w:hAnsi="Open Sans" w:cs="Open Sans"/>
          <w:color w:val="000000"/>
          <w:sz w:val="22"/>
          <w:szCs w:val="22"/>
        </w:rPr>
        <w:t>las comunidades</w:t>
      </w:r>
      <w:r>
        <w:rPr>
          <w:rFonts w:ascii="Open Sans" w:hAnsi="Open Sans" w:cs="Open Sans"/>
          <w:color w:val="000000"/>
          <w:sz w:val="22"/>
          <w:szCs w:val="22"/>
        </w:rPr>
        <w:t xml:space="preserve"> se producen </w:t>
      </w:r>
      <w:r w:rsidR="00801D9A">
        <w:rPr>
          <w:rFonts w:ascii="Open Sans" w:hAnsi="Open Sans" w:cs="Open Sans"/>
          <w:color w:val="000000"/>
          <w:sz w:val="22"/>
          <w:szCs w:val="22"/>
        </w:rPr>
        <w:t>incrementos</w:t>
      </w:r>
      <w:r>
        <w:rPr>
          <w:rFonts w:ascii="Open Sans" w:hAnsi="Open Sans" w:cs="Open Sans"/>
          <w:color w:val="000000"/>
          <w:sz w:val="22"/>
          <w:szCs w:val="22"/>
        </w:rPr>
        <w:t xml:space="preserve"> en la rentabilidad </w:t>
      </w:r>
      <w:r w:rsidR="00801D9A">
        <w:rPr>
          <w:rFonts w:ascii="Open Sans" w:hAnsi="Open Sans" w:cs="Open Sans"/>
          <w:color w:val="000000"/>
          <w:sz w:val="22"/>
          <w:szCs w:val="22"/>
        </w:rPr>
        <w:t xml:space="preserve">de los garajes </w:t>
      </w:r>
      <w:r w:rsidR="008C3323">
        <w:rPr>
          <w:rFonts w:ascii="Open Sans" w:hAnsi="Open Sans" w:cs="Open Sans"/>
          <w:color w:val="000000"/>
          <w:sz w:val="22"/>
          <w:szCs w:val="22"/>
        </w:rPr>
        <w:t xml:space="preserve">en 2025 </w:t>
      </w:r>
      <w:r>
        <w:rPr>
          <w:rFonts w:ascii="Open Sans" w:hAnsi="Open Sans" w:cs="Open Sans"/>
          <w:color w:val="000000"/>
          <w:sz w:val="22"/>
          <w:szCs w:val="22"/>
        </w:rPr>
        <w:t>respecto al año anterior</w:t>
      </w:r>
      <w:r w:rsidR="00801D9A">
        <w:rPr>
          <w:rFonts w:ascii="Open Sans" w:hAnsi="Open Sans" w:cs="Open Sans"/>
          <w:color w:val="000000"/>
          <w:sz w:val="22"/>
          <w:szCs w:val="22"/>
        </w:rPr>
        <w:t xml:space="preserve"> y son:</w:t>
      </w:r>
      <w:r w:rsidR="00801D9A" w:rsidRPr="005D1F4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Asturias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5,4%</w:t>
      </w:r>
      <w:r w:rsidR="006151D5" w:rsidRPr="0082422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en 2024 al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6,1%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Aragón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6,2%</w:t>
      </w:r>
      <w:r w:rsidR="006151D5" w:rsidRPr="0082422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en 2024 al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6,5%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Castilla-La Mancha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7,0%</w:t>
      </w:r>
      <w:r w:rsidR="006151D5" w:rsidRPr="0082422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en 2024 al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7,2%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Baleares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6,1%</w:t>
      </w:r>
      <w:r w:rsidR="006151D5" w:rsidRPr="0082422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en 2024 al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6,2%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Cataluña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7,0%</w:t>
      </w:r>
      <w:r w:rsidR="006151D5" w:rsidRPr="0082422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en 2024 al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7,0%</w:t>
      </w:r>
      <w:r w:rsidR="006151D5">
        <w:rPr>
          <w:rFonts w:ascii="Open Sans" w:hAnsi="Open Sans" w:cs="Open Sans"/>
          <w:color w:val="000000"/>
          <w:sz w:val="22"/>
          <w:szCs w:val="22"/>
        </w:rPr>
        <w:t>).</w:t>
      </w:r>
    </w:p>
    <w:p w14:paraId="19CCE34A" w14:textId="5DC3C70A" w:rsidR="006151D5" w:rsidRDefault="00801D9A" w:rsidP="00403601">
      <w:pPr>
        <w:pStyle w:val="NormalWeb"/>
        <w:shd w:val="clear" w:color="auto" w:fill="FFFFFF"/>
        <w:spacing w:line="276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La Comunidad con mayor incremento es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47D36" w:rsidRPr="00347D36">
        <w:rPr>
          <w:rFonts w:ascii="Open Sans" w:hAnsi="Open Sans" w:cs="Open Sans"/>
          <w:color w:val="000000"/>
          <w:sz w:val="22"/>
          <w:szCs w:val="22"/>
        </w:rPr>
        <w:t>Región de Murcia</w:t>
      </w:r>
      <w:r w:rsidR="00347D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>
        <w:rPr>
          <w:rFonts w:ascii="Open Sans" w:hAnsi="Open Sans" w:cs="Open Sans"/>
          <w:color w:val="000000"/>
          <w:sz w:val="22"/>
          <w:szCs w:val="22"/>
        </w:rPr>
        <w:t>7,9</w:t>
      </w:r>
      <w:r w:rsidR="00347D36" w:rsidRPr="00347D36">
        <w:rPr>
          <w:rFonts w:ascii="Open Sans" w:hAnsi="Open Sans" w:cs="Open Sans"/>
          <w:color w:val="000000"/>
          <w:sz w:val="22"/>
          <w:szCs w:val="22"/>
        </w:rPr>
        <w:t>%</w:t>
      </w:r>
      <w:r w:rsidR="00347D36">
        <w:rPr>
          <w:rFonts w:ascii="Open Sans" w:hAnsi="Open Sans" w:cs="Open Sans"/>
          <w:color w:val="000000"/>
          <w:sz w:val="22"/>
          <w:szCs w:val="22"/>
        </w:rPr>
        <w:t xml:space="preserve">), seguido de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Castilla-La Mancha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7,2%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Madrid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7,1%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Cataluña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7,0%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Comunitat Valenciana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6,9%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Aragón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6,5%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Cantabria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6,3%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Baleares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6,2%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Asturias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6,1%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La Rioja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6,0%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Canarias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5,9%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Andalucía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5,6%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Navarra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5,2%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País Vasco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5,1%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Extremadura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4,8%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Castilla y León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4,7%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Galicia</w:t>
      </w:r>
      <w:r w:rsidR="006151D5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151D5" w:rsidRPr="006151D5">
        <w:rPr>
          <w:rFonts w:ascii="Open Sans" w:hAnsi="Open Sans" w:cs="Open Sans"/>
          <w:color w:val="000000"/>
          <w:sz w:val="22"/>
          <w:szCs w:val="22"/>
        </w:rPr>
        <w:t>4,5%</w:t>
      </w:r>
      <w:r w:rsidR="006151D5">
        <w:rPr>
          <w:rFonts w:ascii="Open Sans" w:hAnsi="Open Sans" w:cs="Open Sans"/>
          <w:color w:val="000000"/>
          <w:sz w:val="22"/>
          <w:szCs w:val="22"/>
        </w:rPr>
        <w:t>).</w:t>
      </w:r>
    </w:p>
    <w:p w14:paraId="3834A603" w14:textId="71EFD2DE" w:rsidR="008B1219" w:rsidRPr="004F4D46" w:rsidRDefault="00BA7C15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 Light" w:hAnsi="Open Sans Light" w:cs="Open Sans Light"/>
          <w:b/>
          <w:iCs/>
          <w:color w:val="303AB2"/>
          <w:sz w:val="30"/>
          <w:szCs w:val="20"/>
        </w:rPr>
      </w:pPr>
      <w:r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Gráfica - </w:t>
      </w:r>
      <w:r w:rsidR="008B1219" w:rsidRPr="004F4D46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Rentabilidad </w:t>
      </w:r>
      <w:r w:rsid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de los </w:t>
      </w:r>
      <w:r w:rsidR="00BD22AB">
        <w:rPr>
          <w:rFonts w:ascii="Open Sans Light" w:hAnsi="Open Sans Light" w:cs="Open Sans Light"/>
          <w:b/>
          <w:iCs/>
          <w:color w:val="303AB2"/>
          <w:sz w:val="30"/>
          <w:szCs w:val="20"/>
        </w:rPr>
        <w:t>garajes</w:t>
      </w:r>
      <w:r w:rsid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 por CCAA</w:t>
      </w:r>
      <w:r w:rsidR="00C202B7" w:rsidRP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 </w:t>
      </w:r>
      <w:r w:rsid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>en 202</w:t>
      </w:r>
      <w:r w:rsidR="009164AA">
        <w:rPr>
          <w:rFonts w:ascii="Open Sans Light" w:hAnsi="Open Sans Light" w:cs="Open Sans Light"/>
          <w:b/>
          <w:iCs/>
          <w:color w:val="303AB2"/>
          <w:sz w:val="30"/>
          <w:szCs w:val="20"/>
        </w:rPr>
        <w:t>5</w:t>
      </w:r>
      <w:r w:rsid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 </w:t>
      </w:r>
      <w:r w:rsidR="009164AA">
        <w:rPr>
          <w:noProof/>
        </w:rPr>
        <w:drawing>
          <wp:inline distT="0" distB="0" distL="0" distR="0" wp14:anchorId="18798663" wp14:editId="199F605B">
            <wp:extent cx="5793475" cy="2726690"/>
            <wp:effectExtent l="0" t="0" r="0" b="0"/>
            <wp:docPr id="21276603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3AC145-FF7D-4E45-B530-05E11172E4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8CF712C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 Light" w:hAnsi="Open Sans Light" w:cs="Open Sans Light"/>
          <w:b/>
          <w:iCs/>
          <w:color w:val="303AB2"/>
          <w:sz w:val="30"/>
          <w:szCs w:val="20"/>
        </w:rPr>
      </w:pPr>
    </w:p>
    <w:p w14:paraId="77125682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 Light" w:hAnsi="Open Sans Light" w:cs="Open Sans Light"/>
          <w:b/>
          <w:iCs/>
          <w:color w:val="303AB2"/>
          <w:sz w:val="30"/>
          <w:szCs w:val="20"/>
        </w:rPr>
      </w:pPr>
    </w:p>
    <w:p w14:paraId="1142981E" w14:textId="59359141" w:rsidR="009F4539" w:rsidRDefault="00347D68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 Light" w:hAnsi="Open Sans Light" w:cs="Open Sans Light"/>
          <w:b/>
          <w:iCs/>
          <w:color w:val="303AB2"/>
          <w:sz w:val="30"/>
          <w:szCs w:val="20"/>
        </w:rPr>
        <w:lastRenderedPageBreak/>
        <w:t xml:space="preserve">Mapa - </w:t>
      </w:r>
      <w:r w:rsidR="00BA7C15" w:rsidRPr="004F4D46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Rentabilidad </w:t>
      </w:r>
      <w:r w:rsidR="00BA7C15">
        <w:rPr>
          <w:rFonts w:ascii="Open Sans Light" w:hAnsi="Open Sans Light" w:cs="Open Sans Light"/>
          <w:b/>
          <w:iCs/>
          <w:color w:val="303AB2"/>
          <w:sz w:val="30"/>
          <w:szCs w:val="20"/>
        </w:rPr>
        <w:t>de los garajes por CCAA</w:t>
      </w:r>
      <w:r w:rsidR="00BA7C15" w:rsidRPr="00C202B7">
        <w:rPr>
          <w:rFonts w:ascii="Open Sans Light" w:hAnsi="Open Sans Light" w:cs="Open Sans Light"/>
          <w:b/>
          <w:iCs/>
          <w:color w:val="303AB2"/>
          <w:sz w:val="30"/>
          <w:szCs w:val="20"/>
        </w:rPr>
        <w:t xml:space="preserve"> </w:t>
      </w:r>
      <w:r w:rsidR="00BA7C15">
        <w:rPr>
          <w:rFonts w:ascii="Open Sans Light" w:hAnsi="Open Sans Light" w:cs="Open Sans Light"/>
          <w:b/>
          <w:iCs/>
          <w:color w:val="303AB2"/>
          <w:sz w:val="30"/>
          <w:szCs w:val="20"/>
        </w:rPr>
        <w:t>en 202</w:t>
      </w:r>
      <w:r w:rsidR="0053538C">
        <w:rPr>
          <w:rFonts w:ascii="Open Sans Light" w:hAnsi="Open Sans Light" w:cs="Open Sans Light"/>
          <w:b/>
          <w:iCs/>
          <w:color w:val="303AB2"/>
          <w:sz w:val="30"/>
          <w:szCs w:val="20"/>
        </w:rPr>
        <w:t>5</w:t>
      </w:r>
    </w:p>
    <w:p w14:paraId="74D137F1" w14:textId="420CEF27" w:rsidR="00347D68" w:rsidRDefault="000614B9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0614B9">
        <w:rPr>
          <w:noProof/>
        </w:rPr>
        <w:t xml:space="preserve"> </w:t>
      </w:r>
      <w:r w:rsidR="0053538C" w:rsidRPr="0053538C">
        <w:rPr>
          <w:noProof/>
        </w:rPr>
        <w:drawing>
          <wp:inline distT="0" distB="0" distL="0" distR="0" wp14:anchorId="053F86A9" wp14:editId="6F43B9B0">
            <wp:extent cx="5671185" cy="3999865"/>
            <wp:effectExtent l="0" t="0" r="5715" b="635"/>
            <wp:docPr id="290248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488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4A0DC" w14:textId="625E5076" w:rsidR="00C9525B" w:rsidRDefault="00491509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  <w:sz w:val="28"/>
          <w:szCs w:val="28"/>
        </w:rPr>
      </w:pPr>
      <w:r>
        <w:rPr>
          <w:rFonts w:ascii="Open Sans Light" w:hAnsi="Open Sans Light" w:cs="Open Sans Light"/>
          <w:b/>
          <w:iCs/>
          <w:color w:val="303AB2"/>
          <w:sz w:val="28"/>
          <w:szCs w:val="20"/>
        </w:rPr>
        <w:t xml:space="preserve">Mapa comparativo de la rentabilidad en España por CCAA </w:t>
      </w:r>
      <w:r w:rsidRPr="00C9525B">
        <w:rPr>
          <w:rFonts w:ascii="Open Sans Light" w:hAnsi="Open Sans Light" w:cs="Open Sans Light"/>
          <w:b/>
          <w:iCs/>
          <w:color w:val="303AB2"/>
          <w:sz w:val="28"/>
          <w:szCs w:val="28"/>
        </w:rPr>
        <w:t>(</w:t>
      </w:r>
      <w:r w:rsidR="00C9525B" w:rsidRPr="00C9525B">
        <w:rPr>
          <w:rFonts w:ascii="Open Sans Light" w:hAnsi="Open Sans Light" w:cs="Open Sans Light"/>
          <w:b/>
          <w:iCs/>
          <w:color w:val="303AB2"/>
          <w:sz w:val="28"/>
          <w:szCs w:val="28"/>
        </w:rPr>
        <w:t>201</w:t>
      </w:r>
      <w:r w:rsidR="00B9536C">
        <w:rPr>
          <w:rFonts w:ascii="Open Sans Light" w:hAnsi="Open Sans Light" w:cs="Open Sans Light"/>
          <w:b/>
          <w:iCs/>
          <w:color w:val="303AB2"/>
          <w:sz w:val="28"/>
          <w:szCs w:val="28"/>
        </w:rPr>
        <w:t>5</w:t>
      </w:r>
      <w:r w:rsidR="00C9525B" w:rsidRPr="00C9525B">
        <w:rPr>
          <w:rFonts w:ascii="Open Sans Light" w:hAnsi="Open Sans Light" w:cs="Open Sans Light"/>
          <w:b/>
          <w:iCs/>
          <w:color w:val="303AB2"/>
          <w:sz w:val="28"/>
          <w:szCs w:val="28"/>
        </w:rPr>
        <w:t>, 20</w:t>
      </w:r>
      <w:r w:rsidR="00B9536C">
        <w:rPr>
          <w:rFonts w:ascii="Open Sans Light" w:hAnsi="Open Sans Light" w:cs="Open Sans Light"/>
          <w:b/>
          <w:iCs/>
          <w:color w:val="303AB2"/>
          <w:sz w:val="28"/>
          <w:szCs w:val="28"/>
        </w:rPr>
        <w:t>20</w:t>
      </w:r>
      <w:r w:rsidR="00C9525B" w:rsidRPr="00C9525B">
        <w:rPr>
          <w:rFonts w:ascii="Open Sans Light" w:hAnsi="Open Sans Light" w:cs="Open Sans Light"/>
          <w:b/>
          <w:iCs/>
          <w:color w:val="303AB2"/>
          <w:sz w:val="28"/>
          <w:szCs w:val="28"/>
        </w:rPr>
        <w:t xml:space="preserve"> y 202</w:t>
      </w:r>
      <w:r w:rsidR="00B9536C">
        <w:rPr>
          <w:rFonts w:ascii="Open Sans Light" w:hAnsi="Open Sans Light" w:cs="Open Sans Light"/>
          <w:b/>
          <w:iCs/>
          <w:color w:val="303AB2"/>
          <w:sz w:val="28"/>
          <w:szCs w:val="28"/>
        </w:rPr>
        <w:t>5</w:t>
      </w:r>
      <w:r w:rsidR="00C9525B" w:rsidRPr="00C9525B">
        <w:rPr>
          <w:rFonts w:ascii="Open Sans Light" w:hAnsi="Open Sans Light" w:cs="Open Sans Light"/>
          <w:b/>
          <w:iCs/>
          <w:color w:val="303AB2"/>
          <w:sz w:val="28"/>
          <w:szCs w:val="28"/>
        </w:rPr>
        <w:t>)</w:t>
      </w:r>
    </w:p>
    <w:p w14:paraId="1DE4E811" w14:textId="1BF53C60" w:rsidR="001A715C" w:rsidRDefault="00B9536C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  <w:sz w:val="28"/>
          <w:szCs w:val="28"/>
        </w:rPr>
      </w:pPr>
      <w:r w:rsidRPr="00B9536C">
        <w:rPr>
          <w:rFonts w:ascii="Open Sans Light" w:hAnsi="Open Sans Light" w:cs="Open Sans Light"/>
          <w:b/>
          <w:iCs/>
          <w:noProof/>
          <w:color w:val="303AB2"/>
          <w:sz w:val="28"/>
          <w:szCs w:val="28"/>
        </w:rPr>
        <w:drawing>
          <wp:inline distT="0" distB="0" distL="0" distR="0" wp14:anchorId="2A19FF0D" wp14:editId="5DB6B37E">
            <wp:extent cx="5671185" cy="2289175"/>
            <wp:effectExtent l="0" t="0" r="5715" b="0"/>
            <wp:docPr id="1771152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52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A4F07" w14:textId="21691E3E" w:rsidR="00491509" w:rsidRDefault="00737CC4" w:rsidP="00403601">
      <w:pPr>
        <w:pStyle w:val="NormalWeb"/>
        <w:shd w:val="clear" w:color="auto" w:fill="FFFFFF"/>
        <w:spacing w:after="225" w:line="276" w:lineRule="auto"/>
        <w:jc w:val="center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  <w:r>
        <w:rPr>
          <w:noProof/>
        </w:rPr>
        <w:drawing>
          <wp:inline distT="0" distB="0" distL="0" distR="0" wp14:anchorId="0EFD72A2" wp14:editId="5C9F8250">
            <wp:extent cx="4623207" cy="204470"/>
            <wp:effectExtent l="0" t="0" r="635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6071" cy="21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9FAC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</w:p>
    <w:p w14:paraId="364B6DFE" w14:textId="158DA8A6" w:rsidR="00E33B18" w:rsidRDefault="00420DED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  <w:r>
        <w:rPr>
          <w:rFonts w:ascii="Open Sans Light" w:hAnsi="Open Sans Light" w:cs="Open Sans Light"/>
          <w:b/>
          <w:iCs/>
          <w:color w:val="303AB2"/>
          <w:sz w:val="28"/>
          <w:szCs w:val="20"/>
        </w:rPr>
        <w:lastRenderedPageBreak/>
        <w:t xml:space="preserve">Por provincias </w:t>
      </w:r>
    </w:p>
    <w:p w14:paraId="548584E1" w14:textId="22DF487E" w:rsidR="00603A36" w:rsidRDefault="00347D36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La</w:t>
      </w:r>
      <w:r w:rsidR="002C4B96">
        <w:rPr>
          <w:rFonts w:ascii="Open Sans" w:hAnsi="Open Sans" w:cs="Open Sans"/>
          <w:color w:val="000000"/>
          <w:sz w:val="22"/>
          <w:szCs w:val="22"/>
        </w:rPr>
        <w:t>s</w:t>
      </w:r>
      <w:r w:rsidR="007B57E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4D15">
        <w:rPr>
          <w:rFonts w:ascii="Open Sans" w:hAnsi="Open Sans" w:cs="Open Sans"/>
          <w:color w:val="000000"/>
          <w:sz w:val="22"/>
          <w:szCs w:val="22"/>
        </w:rPr>
        <w:t>provincia</w:t>
      </w:r>
      <w:r w:rsidR="002C4B96">
        <w:rPr>
          <w:rFonts w:ascii="Open Sans" w:hAnsi="Open Sans" w:cs="Open Sans"/>
          <w:color w:val="000000"/>
          <w:sz w:val="22"/>
          <w:szCs w:val="22"/>
        </w:rPr>
        <w:t>s</w:t>
      </w:r>
      <w:r w:rsidR="007B57E2">
        <w:rPr>
          <w:rFonts w:ascii="Open Sans" w:hAnsi="Open Sans" w:cs="Open Sans"/>
          <w:color w:val="000000"/>
          <w:sz w:val="22"/>
          <w:szCs w:val="22"/>
        </w:rPr>
        <w:t xml:space="preserve"> con mayor </w:t>
      </w:r>
      <w:r w:rsidR="00822140">
        <w:rPr>
          <w:rFonts w:ascii="Open Sans" w:hAnsi="Open Sans" w:cs="Open Sans"/>
          <w:color w:val="000000"/>
          <w:sz w:val="22"/>
          <w:szCs w:val="22"/>
        </w:rPr>
        <w:t>rentabilidad</w:t>
      </w:r>
      <w:r w:rsidR="002C4B96">
        <w:rPr>
          <w:rFonts w:ascii="Open Sans" w:hAnsi="Open Sans" w:cs="Open Sans"/>
          <w:color w:val="000000"/>
          <w:sz w:val="22"/>
          <w:szCs w:val="22"/>
        </w:rPr>
        <w:t xml:space="preserve"> para invertir en garajes son: 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Toledo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11,8%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Castellón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9,3%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Guadalajara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9,1%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Ávila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8,1%</w:t>
      </w:r>
      <w:r w:rsidR="009164AA">
        <w:rPr>
          <w:rFonts w:ascii="Open Sans" w:hAnsi="Open Sans" w:cs="Open Sans"/>
          <w:color w:val="000000"/>
          <w:sz w:val="22"/>
          <w:szCs w:val="22"/>
        </w:rPr>
        <w:t>)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Almería</w:t>
      </w:r>
      <w:r w:rsidR="009164A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9164AA" w:rsidRPr="009164AA">
        <w:rPr>
          <w:rFonts w:ascii="Open Sans" w:hAnsi="Open Sans" w:cs="Open Sans"/>
          <w:color w:val="000000"/>
          <w:sz w:val="22"/>
          <w:szCs w:val="22"/>
        </w:rPr>
        <w:t>8,0%</w:t>
      </w:r>
      <w:r w:rsidR="009164AA">
        <w:rPr>
          <w:rFonts w:ascii="Open Sans" w:hAnsi="Open Sans" w:cs="Open Sans"/>
          <w:color w:val="000000"/>
          <w:sz w:val="22"/>
          <w:szCs w:val="22"/>
        </w:rPr>
        <w:t>)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Murcia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7,9%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Tarragona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7,8%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Sevilla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7,6%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Lleida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7,4%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Madrid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7,1%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). </w:t>
      </w:r>
      <w:r w:rsidR="00234CA7">
        <w:rPr>
          <w:rFonts w:ascii="Open Sans" w:hAnsi="Open Sans" w:cs="Open Sans"/>
          <w:color w:val="000000"/>
          <w:sz w:val="22"/>
          <w:szCs w:val="22"/>
        </w:rPr>
        <w:t>Por otro lado, las provincias con las rentabilidades de los garajes por debajo del 5% son:</w:t>
      </w:r>
      <w:r w:rsidR="00234CA7" w:rsidRPr="00EB372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Ourense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3,7%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Araba - Álava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3,8%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Palencia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3,8%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Jaén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3,9%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Salamanca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4,0%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Granada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4,2%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Valladolid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4,3%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Burgos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4,6%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Pontevedra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4,6%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Badajoz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4,7%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Córdoba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4,7%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Lugo</w:t>
      </w:r>
      <w:r w:rsidR="00603A36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03A36" w:rsidRPr="00603A36">
        <w:rPr>
          <w:rFonts w:ascii="Open Sans" w:hAnsi="Open Sans" w:cs="Open Sans"/>
          <w:color w:val="000000"/>
          <w:sz w:val="22"/>
          <w:szCs w:val="22"/>
        </w:rPr>
        <w:t>4,9%</w:t>
      </w:r>
      <w:r w:rsidR="00603A36">
        <w:rPr>
          <w:rFonts w:ascii="Open Sans" w:hAnsi="Open Sans" w:cs="Open Sans"/>
          <w:color w:val="000000"/>
          <w:sz w:val="22"/>
          <w:szCs w:val="22"/>
        </w:rPr>
        <w:t>).</w:t>
      </w:r>
    </w:p>
    <w:p w14:paraId="5FE1C7EA" w14:textId="0A4B7EC8" w:rsidR="0014415E" w:rsidRPr="00A56319" w:rsidRDefault="00A300F0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  <w:r>
        <w:rPr>
          <w:rFonts w:ascii="Open Sans Light" w:hAnsi="Open Sans Light" w:cs="Open Sans Light"/>
          <w:b/>
          <w:iCs/>
          <w:color w:val="303AB2"/>
          <w:sz w:val="28"/>
          <w:szCs w:val="20"/>
        </w:rPr>
        <w:t>Por municipios</w:t>
      </w:r>
      <w:r w:rsidR="00130736" w:rsidRPr="0013073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83F3125" w14:textId="48ABAE25" w:rsidR="005D4E1D" w:rsidRPr="005D4E1D" w:rsidRDefault="00EB3728" w:rsidP="00403601">
      <w:pPr>
        <w:pStyle w:val="NormalWeb"/>
        <w:shd w:val="clear" w:color="auto" w:fill="FFFFFF"/>
        <w:spacing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Las</w:t>
      </w:r>
      <w:r w:rsidR="00EE2C37">
        <w:rPr>
          <w:rFonts w:ascii="Open Sans" w:hAnsi="Open Sans" w:cs="Open Sans"/>
          <w:color w:val="000000"/>
          <w:sz w:val="22"/>
          <w:szCs w:val="22"/>
        </w:rPr>
        <w:t xml:space="preserve"> ciudades con la rentabilidad </w:t>
      </w:r>
      <w:r w:rsidR="005D4E1D">
        <w:rPr>
          <w:rFonts w:ascii="Open Sans" w:hAnsi="Open Sans" w:cs="Open Sans"/>
          <w:color w:val="000000"/>
          <w:sz w:val="22"/>
          <w:szCs w:val="22"/>
        </w:rPr>
        <w:t xml:space="preserve">igual o </w:t>
      </w:r>
      <w:r>
        <w:rPr>
          <w:rFonts w:ascii="Open Sans" w:hAnsi="Open Sans" w:cs="Open Sans"/>
          <w:color w:val="000000"/>
          <w:sz w:val="22"/>
          <w:szCs w:val="22"/>
        </w:rPr>
        <w:t>por encima de la media de España (6,</w:t>
      </w:r>
      <w:r w:rsidR="005D4E1D">
        <w:rPr>
          <w:rFonts w:ascii="Open Sans" w:hAnsi="Open Sans" w:cs="Open Sans"/>
          <w:color w:val="000000"/>
          <w:sz w:val="22"/>
          <w:szCs w:val="22"/>
        </w:rPr>
        <w:t>4</w:t>
      </w:r>
      <w:r>
        <w:rPr>
          <w:rFonts w:ascii="Open Sans" w:hAnsi="Open Sans" w:cs="Open Sans"/>
          <w:color w:val="000000"/>
          <w:sz w:val="22"/>
          <w:szCs w:val="22"/>
        </w:rPr>
        <w:t xml:space="preserve">%) </w:t>
      </w:r>
      <w:r w:rsidR="00EE2C37">
        <w:rPr>
          <w:rFonts w:ascii="Open Sans" w:hAnsi="Open Sans" w:cs="Open Sans"/>
          <w:color w:val="000000"/>
          <w:sz w:val="22"/>
          <w:szCs w:val="22"/>
        </w:rPr>
        <w:t>para invertir en garajes son:</w:t>
      </w:r>
      <w:r w:rsidRPr="005D4E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Alcorcón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9,2%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Roquetas de Mar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9,0%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Alcobendas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8,7%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Ávila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8,7%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Castellón de la Plana / Castelló de la Plana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8,5%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Murcia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8,5%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El Campello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8,3%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Leganés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8,1%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El Ejido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7,8%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Talavera de la Reina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7,8%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Torrevieja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7,4%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Terrassa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7,0%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Benalmádena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6,7%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L'Hospitalet de Llobregat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6,7%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San Sebastián de los Reyes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6,6%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Lleida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6,6%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Sevilla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6,5%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Manresa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6,5%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Guadalajara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6,4%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Santander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6,4%</w:t>
      </w:r>
      <w:r w:rsidR="005D4E1D">
        <w:rPr>
          <w:rFonts w:ascii="Open Sans" w:hAnsi="Open Sans" w:cs="Open Sans"/>
          <w:color w:val="000000"/>
          <w:sz w:val="22"/>
          <w:szCs w:val="22"/>
        </w:rPr>
        <w:t>),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 xml:space="preserve">Toledo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6,4%</w:t>
      </w:r>
      <w:r w:rsidR="005D4E1D">
        <w:rPr>
          <w:rFonts w:ascii="Open Sans" w:hAnsi="Open Sans" w:cs="Open Sans"/>
          <w:color w:val="000000"/>
          <w:sz w:val="22"/>
          <w:szCs w:val="22"/>
        </w:rPr>
        <w:t>)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y 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Getafe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5D4E1D" w:rsidRPr="005D4E1D">
        <w:rPr>
          <w:rFonts w:ascii="Open Sans" w:hAnsi="Open Sans" w:cs="Open Sans"/>
          <w:color w:val="000000"/>
          <w:sz w:val="22"/>
          <w:szCs w:val="22"/>
        </w:rPr>
        <w:t>6,4%</w:t>
      </w:r>
      <w:r w:rsidR="005D4E1D">
        <w:rPr>
          <w:rFonts w:ascii="Open Sans" w:hAnsi="Open Sans" w:cs="Open Sans"/>
          <w:color w:val="000000"/>
          <w:sz w:val="22"/>
          <w:szCs w:val="22"/>
        </w:rPr>
        <w:t>)</w:t>
      </w:r>
      <w:r w:rsidR="006D1C0A">
        <w:rPr>
          <w:rFonts w:ascii="Open Sans" w:hAnsi="Open Sans" w:cs="Open Sans"/>
          <w:color w:val="000000"/>
          <w:sz w:val="22"/>
          <w:szCs w:val="22"/>
        </w:rPr>
        <w:t>.</w:t>
      </w:r>
    </w:p>
    <w:p w14:paraId="46FC3651" w14:textId="48536E55" w:rsidR="006D1C0A" w:rsidRDefault="00EE2C37" w:rsidP="00403601">
      <w:pPr>
        <w:pStyle w:val="NormalWeb"/>
        <w:shd w:val="clear" w:color="auto" w:fill="FFFFFF"/>
        <w:spacing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Por otro lado, las ciudades menos rentables para invertir en garajes son:</w:t>
      </w:r>
      <w:r w:rsidRPr="00EB372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Santiago de Compostela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3,3%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Jaén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3,4%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Salamanca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3,5%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Palencia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3,5%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Ourense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3,5%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Granada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3,7%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Vitoria - Gasteiz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3,8%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 xml:space="preserve">Badajoz </w:t>
      </w:r>
      <w:r w:rsidR="006D1C0A">
        <w:rPr>
          <w:rFonts w:ascii="Open Sans" w:hAnsi="Open Sans" w:cs="Open Sans"/>
          <w:color w:val="000000"/>
          <w:sz w:val="22"/>
          <w:szCs w:val="22"/>
        </w:rPr>
        <w:t>c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apital</w:t>
      </w:r>
      <w:r w:rsidR="006D1C0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D1C0A" w:rsidRPr="006D1C0A">
        <w:rPr>
          <w:rFonts w:ascii="Open Sans" w:hAnsi="Open Sans" w:cs="Open Sans"/>
          <w:color w:val="000000"/>
          <w:sz w:val="22"/>
          <w:szCs w:val="22"/>
        </w:rPr>
        <w:t>3,9%</w:t>
      </w:r>
      <w:r w:rsidR="006D1C0A">
        <w:rPr>
          <w:rFonts w:ascii="Open Sans" w:hAnsi="Open Sans" w:cs="Open Sans"/>
          <w:color w:val="000000"/>
          <w:sz w:val="22"/>
          <w:szCs w:val="22"/>
        </w:rPr>
        <w:t>).</w:t>
      </w:r>
    </w:p>
    <w:p w14:paraId="7EDCA2BA" w14:textId="6223F01F" w:rsidR="0014415E" w:rsidRPr="00E17B06" w:rsidRDefault="00D625D8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 Light" w:hAnsi="Open Sans Light" w:cs="Open Sans Light"/>
          <w:b/>
          <w:iCs/>
          <w:color w:val="303AB2"/>
          <w:sz w:val="28"/>
          <w:szCs w:val="20"/>
        </w:rPr>
      </w:pPr>
      <w:r>
        <w:rPr>
          <w:rFonts w:ascii="Open Sans Light" w:hAnsi="Open Sans Light" w:cs="Open Sans Light"/>
          <w:b/>
          <w:iCs/>
          <w:color w:val="303AB2"/>
          <w:sz w:val="28"/>
          <w:szCs w:val="20"/>
        </w:rPr>
        <w:t>Por distritos</w:t>
      </w:r>
    </w:p>
    <w:p w14:paraId="73879527" w14:textId="57D1613D" w:rsidR="00293E5A" w:rsidRPr="00293E5A" w:rsidRDefault="00BD0E86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17ACE">
        <w:rPr>
          <w:rFonts w:ascii="Open Sans" w:hAnsi="Open Sans" w:cs="Open Sans"/>
          <w:b/>
          <w:bCs/>
          <w:color w:val="000000"/>
          <w:sz w:val="22"/>
          <w:szCs w:val="22"/>
        </w:rPr>
        <w:t>E</w:t>
      </w:r>
      <w:r w:rsidR="005E2D99" w:rsidRPr="00C17AC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n cuanto a Madrid </w:t>
      </w:r>
      <w:r w:rsidR="00DC461E">
        <w:rPr>
          <w:rFonts w:ascii="Open Sans" w:hAnsi="Open Sans" w:cs="Open Sans"/>
          <w:b/>
          <w:bCs/>
          <w:color w:val="000000"/>
          <w:sz w:val="22"/>
          <w:szCs w:val="22"/>
        </w:rPr>
        <w:t>capital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>,</w:t>
      </w:r>
      <w:r w:rsidRPr="00C17AC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B5523">
        <w:rPr>
          <w:rFonts w:ascii="Open Sans" w:hAnsi="Open Sans" w:cs="Open Sans"/>
          <w:color w:val="000000"/>
          <w:sz w:val="22"/>
          <w:szCs w:val="22"/>
        </w:rPr>
        <w:t>los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 xml:space="preserve"> distrito</w:t>
      </w:r>
      <w:r w:rsidR="001B5523">
        <w:rPr>
          <w:rFonts w:ascii="Open Sans" w:hAnsi="Open Sans" w:cs="Open Sans"/>
          <w:color w:val="000000"/>
          <w:sz w:val="22"/>
          <w:szCs w:val="22"/>
        </w:rPr>
        <w:t>s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F6409">
        <w:rPr>
          <w:rFonts w:ascii="Open Sans" w:hAnsi="Open Sans" w:cs="Open Sans"/>
          <w:color w:val="000000"/>
          <w:sz w:val="22"/>
          <w:szCs w:val="22"/>
        </w:rPr>
        <w:t xml:space="preserve">con los garajes 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>rentable</w:t>
      </w:r>
      <w:r w:rsidR="009873C3">
        <w:rPr>
          <w:rFonts w:ascii="Open Sans" w:hAnsi="Open Sans" w:cs="Open Sans"/>
          <w:color w:val="000000"/>
          <w:sz w:val="22"/>
          <w:szCs w:val="22"/>
        </w:rPr>
        <w:t>s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A26AB">
        <w:rPr>
          <w:rFonts w:ascii="Open Sans" w:hAnsi="Open Sans" w:cs="Open Sans"/>
          <w:color w:val="000000"/>
          <w:sz w:val="22"/>
          <w:szCs w:val="22"/>
        </w:rPr>
        <w:t xml:space="preserve">en </w:t>
      </w:r>
      <w:r w:rsidR="005E2D99" w:rsidRPr="00C17ACE">
        <w:rPr>
          <w:rFonts w:ascii="Open Sans" w:hAnsi="Open Sans" w:cs="Open Sans"/>
          <w:color w:val="000000"/>
          <w:sz w:val="22"/>
          <w:szCs w:val="22"/>
        </w:rPr>
        <w:t>202</w:t>
      </w:r>
      <w:r w:rsidR="00293E5A">
        <w:rPr>
          <w:rFonts w:ascii="Open Sans" w:hAnsi="Open Sans" w:cs="Open Sans"/>
          <w:color w:val="000000"/>
          <w:sz w:val="22"/>
          <w:szCs w:val="22"/>
        </w:rPr>
        <w:t>5</w:t>
      </w:r>
      <w:r w:rsidR="001B5523">
        <w:rPr>
          <w:rFonts w:ascii="Open Sans" w:hAnsi="Open Sans" w:cs="Open Sans"/>
          <w:color w:val="000000"/>
          <w:sz w:val="22"/>
          <w:szCs w:val="22"/>
        </w:rPr>
        <w:t xml:space="preserve"> son</w:t>
      </w:r>
      <w:r w:rsidR="003C38C8">
        <w:rPr>
          <w:rFonts w:ascii="Open Sans" w:hAnsi="Open Sans" w:cs="Open Sans"/>
          <w:color w:val="000000"/>
          <w:sz w:val="22"/>
          <w:szCs w:val="22"/>
        </w:rPr>
        <w:t>:</w:t>
      </w:r>
      <w:r w:rsidR="003C38C8" w:rsidRPr="00293E5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Villa de Vallecas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6,9%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Latina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6,6%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Carabanchel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6,2%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San Blas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6,1%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Villaverde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6,0%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Retiro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5,9%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Barrio de Salamanca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5,8%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Moncloa - Aravaca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5,7%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Fuencarral - El Pardo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5,5%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Vicálvaro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5,4%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Tetuán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5,4%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Chamberí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5,3%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Ciudad Lineal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5,1%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Chamartín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5,1%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Centro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5,0%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Puente de Vallecas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5,0%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Hortaleza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4,6%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Arganzuela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4,5%</w:t>
      </w:r>
      <w:r w:rsidR="00293E5A">
        <w:rPr>
          <w:rFonts w:ascii="Open Sans" w:hAnsi="Open Sans" w:cs="Open Sans"/>
          <w:color w:val="000000"/>
          <w:sz w:val="22"/>
          <w:szCs w:val="22"/>
        </w:rPr>
        <w:t>).</w:t>
      </w:r>
    </w:p>
    <w:p w14:paraId="62EE201E" w14:textId="68562873" w:rsidR="00293E5A" w:rsidRDefault="005E2D99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E2D9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En cuanto a 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Barcelona </w:t>
      </w:r>
      <w:r w:rsidR="00DC461E">
        <w:rPr>
          <w:rFonts w:ascii="Open Sans" w:hAnsi="Open Sans" w:cs="Open Sans"/>
          <w:b/>
          <w:bCs/>
          <w:color w:val="000000"/>
          <w:sz w:val="22"/>
          <w:szCs w:val="22"/>
        </w:rPr>
        <w:t>capital</w:t>
      </w:r>
      <w:r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35621E">
        <w:rPr>
          <w:rFonts w:ascii="Open Sans" w:hAnsi="Open Sans" w:cs="Open Sans"/>
          <w:color w:val="000000"/>
          <w:sz w:val="22"/>
          <w:szCs w:val="22"/>
        </w:rPr>
        <w:t>los</w:t>
      </w:r>
      <w:r>
        <w:rPr>
          <w:rFonts w:ascii="Open Sans" w:hAnsi="Open Sans" w:cs="Open Sans"/>
          <w:color w:val="000000"/>
          <w:sz w:val="22"/>
          <w:szCs w:val="22"/>
        </w:rPr>
        <w:t xml:space="preserve"> distrito</w:t>
      </w:r>
      <w:r w:rsidR="0035621E">
        <w:rPr>
          <w:rFonts w:ascii="Open Sans" w:hAnsi="Open Sans" w:cs="Open Sans"/>
          <w:color w:val="000000"/>
          <w:sz w:val="22"/>
          <w:szCs w:val="22"/>
        </w:rPr>
        <w:t>s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F6409">
        <w:rPr>
          <w:rFonts w:ascii="Open Sans" w:hAnsi="Open Sans" w:cs="Open Sans"/>
          <w:color w:val="000000"/>
          <w:sz w:val="22"/>
          <w:szCs w:val="22"/>
        </w:rPr>
        <w:t xml:space="preserve">con los garajes </w:t>
      </w:r>
      <w:r>
        <w:rPr>
          <w:rFonts w:ascii="Open Sans" w:hAnsi="Open Sans" w:cs="Open Sans"/>
          <w:color w:val="000000"/>
          <w:sz w:val="22"/>
          <w:szCs w:val="22"/>
        </w:rPr>
        <w:t>rentable en 202</w:t>
      </w:r>
      <w:r w:rsidR="00293E5A">
        <w:rPr>
          <w:rFonts w:ascii="Open Sans" w:hAnsi="Open Sans" w:cs="Open Sans"/>
          <w:color w:val="000000"/>
          <w:sz w:val="22"/>
          <w:szCs w:val="22"/>
        </w:rPr>
        <w:t>5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621E">
        <w:rPr>
          <w:rFonts w:ascii="Open Sans" w:hAnsi="Open Sans" w:cs="Open Sans"/>
          <w:color w:val="000000"/>
          <w:sz w:val="22"/>
          <w:szCs w:val="22"/>
        </w:rPr>
        <w:t>son</w:t>
      </w:r>
      <w:r w:rsidR="005F640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Gràcia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6,6%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Les Corts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6,5%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Ciutat Vella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6,3%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Eixample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6,2%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Sarrià - Sant Gervasi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6,2%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Sant Andreu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6,2%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Sants - Montjuïc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5,9%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Sant Martí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5,7%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Horta - Guinardó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5,7%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Nou Barris</w:t>
      </w:r>
      <w:r w:rsidR="00293E5A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293E5A" w:rsidRPr="00293E5A">
        <w:rPr>
          <w:rFonts w:ascii="Open Sans" w:hAnsi="Open Sans" w:cs="Open Sans"/>
          <w:color w:val="000000"/>
          <w:sz w:val="22"/>
          <w:szCs w:val="22"/>
        </w:rPr>
        <w:t>4,6%</w:t>
      </w:r>
      <w:r w:rsidR="00293E5A">
        <w:rPr>
          <w:rFonts w:ascii="Open Sans" w:hAnsi="Open Sans" w:cs="Open Sans"/>
          <w:color w:val="000000"/>
          <w:sz w:val="22"/>
          <w:szCs w:val="22"/>
        </w:rPr>
        <w:t>).</w:t>
      </w:r>
    </w:p>
    <w:p w14:paraId="03FA0760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63487F2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ind w:left="-142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B335F22" w14:textId="415D6582" w:rsidR="007E5768" w:rsidRPr="007E5768" w:rsidRDefault="007E5768" w:rsidP="00403601">
      <w:pPr>
        <w:pStyle w:val="NormalWeb"/>
        <w:shd w:val="clear" w:color="auto" w:fill="FFFFFF"/>
        <w:spacing w:line="276" w:lineRule="auto"/>
        <w:ind w:hanging="142"/>
        <w:rPr>
          <w:rFonts w:ascii="Open Sans Light" w:hAnsi="Open Sans Light" w:cs="Open Sans Light"/>
          <w:b/>
          <w:iCs/>
          <w:color w:val="303AB2"/>
        </w:rPr>
      </w:pPr>
      <w:bookmarkStart w:id="2" w:name="_Hlk1469128"/>
      <w:r w:rsidRPr="007E5768">
        <w:rPr>
          <w:rFonts w:ascii="Open Sans Light" w:hAnsi="Open Sans Light" w:cs="Open Sans Light"/>
          <w:b/>
          <w:iCs/>
          <w:color w:val="303AB2"/>
        </w:rPr>
        <w:lastRenderedPageBreak/>
        <w:t>Tablas:</w:t>
      </w:r>
    </w:p>
    <w:p w14:paraId="33EC24F9" w14:textId="5FBA9F8F" w:rsidR="00717982" w:rsidRPr="007E5768" w:rsidRDefault="007E5768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  <w:r w:rsidRPr="007E5768">
        <w:rPr>
          <w:rFonts w:ascii="Open Sans Light" w:hAnsi="Open Sans Light" w:cs="Open Sans Light"/>
          <w:b/>
          <w:iCs/>
          <w:color w:val="303AB2"/>
        </w:rPr>
        <w:t xml:space="preserve">Tabla 1. </w:t>
      </w:r>
      <w:r>
        <w:rPr>
          <w:rFonts w:ascii="Open Sans Light" w:hAnsi="Open Sans Light" w:cs="Open Sans Light"/>
          <w:b/>
          <w:iCs/>
          <w:color w:val="303AB2"/>
        </w:rPr>
        <w:t xml:space="preserve">Rentabilidad </w:t>
      </w:r>
      <w:r w:rsidR="008F3954">
        <w:rPr>
          <w:rFonts w:ascii="Open Sans Light" w:hAnsi="Open Sans Light" w:cs="Open Sans Light"/>
          <w:b/>
          <w:iCs/>
          <w:color w:val="303AB2"/>
        </w:rPr>
        <w:t>de los garajes</w:t>
      </w:r>
      <w:r w:rsidR="000B6B0A">
        <w:rPr>
          <w:rFonts w:ascii="Open Sans Light" w:hAnsi="Open Sans Light" w:cs="Open Sans Light"/>
          <w:b/>
          <w:iCs/>
          <w:color w:val="303AB2"/>
        </w:rPr>
        <w:t xml:space="preserve"> </w:t>
      </w:r>
      <w:r>
        <w:rPr>
          <w:rFonts w:ascii="Open Sans Light" w:hAnsi="Open Sans Light" w:cs="Open Sans Light"/>
          <w:b/>
          <w:iCs/>
          <w:color w:val="303AB2"/>
        </w:rPr>
        <w:t>por CCAA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 (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 xml:space="preserve">comparativa </w:t>
      </w:r>
      <w:r w:rsidR="000A7858">
        <w:rPr>
          <w:rFonts w:ascii="Open Sans Light" w:hAnsi="Open Sans Light" w:cs="Open Sans Light"/>
          <w:b/>
          <w:iCs/>
          <w:color w:val="303AB2"/>
        </w:rPr>
        <w:t>20</w:t>
      </w:r>
      <w:r w:rsidR="00C77891">
        <w:rPr>
          <w:rFonts w:ascii="Open Sans Light" w:hAnsi="Open Sans Light" w:cs="Open Sans Light"/>
          <w:b/>
          <w:iCs/>
          <w:color w:val="303AB2"/>
        </w:rPr>
        <w:t>20</w:t>
      </w:r>
      <w:r w:rsidR="000A7858">
        <w:rPr>
          <w:rFonts w:ascii="Open Sans Light" w:hAnsi="Open Sans Light" w:cs="Open Sans Light"/>
          <w:b/>
          <w:iCs/>
          <w:color w:val="303AB2"/>
        </w:rPr>
        <w:t xml:space="preserve">, 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0A7858">
        <w:rPr>
          <w:rFonts w:ascii="Open Sans Light" w:hAnsi="Open Sans Light" w:cs="Open Sans Light"/>
          <w:b/>
          <w:iCs/>
          <w:color w:val="303AB2"/>
        </w:rPr>
        <w:t>2</w:t>
      </w:r>
      <w:r w:rsidR="00C77891">
        <w:rPr>
          <w:rFonts w:ascii="Open Sans Light" w:hAnsi="Open Sans Light" w:cs="Open Sans Light"/>
          <w:b/>
          <w:iCs/>
          <w:color w:val="303AB2"/>
        </w:rPr>
        <w:t>4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0A7858">
        <w:rPr>
          <w:rFonts w:ascii="Open Sans Light" w:hAnsi="Open Sans Light" w:cs="Open Sans Light"/>
          <w:b/>
          <w:iCs/>
          <w:color w:val="303AB2"/>
        </w:rPr>
        <w:t xml:space="preserve">y 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0A7858">
        <w:rPr>
          <w:rFonts w:ascii="Open Sans Light" w:hAnsi="Open Sans Light" w:cs="Open Sans Light"/>
          <w:b/>
          <w:iCs/>
          <w:color w:val="303AB2"/>
        </w:rPr>
        <w:t>2</w:t>
      </w:r>
      <w:r w:rsidR="00C77891">
        <w:rPr>
          <w:rFonts w:ascii="Open Sans Light" w:hAnsi="Open Sans Light" w:cs="Open Sans Light"/>
          <w:b/>
          <w:iCs/>
          <w:color w:val="303AB2"/>
        </w:rPr>
        <w:t>5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>)</w:t>
      </w:r>
    </w:p>
    <w:tbl>
      <w:tblPr>
        <w:tblW w:w="89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560"/>
        <w:gridCol w:w="1701"/>
      </w:tblGrid>
      <w:tr w:rsidR="00630DF7" w:rsidRPr="00414115" w14:paraId="35CC8BD4" w14:textId="45D52ABF" w:rsidTr="00026126">
        <w:trPr>
          <w:trHeight w:val="440"/>
        </w:trPr>
        <w:tc>
          <w:tcPr>
            <w:tcW w:w="226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472C4"/>
            <w:vAlign w:val="center"/>
          </w:tcPr>
          <w:p w14:paraId="08AC548C" w14:textId="77777777" w:rsidR="00630DF7" w:rsidRPr="00630DF7" w:rsidRDefault="00630DF7" w:rsidP="00403601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630DF7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Comunidades Autónomas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vAlign w:val="center"/>
          </w:tcPr>
          <w:p w14:paraId="798A4F4B" w14:textId="1305A661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  <w:r w:rsidRPr="00630DF7">
              <w:rPr>
                <w:rStyle w:val="nfasis"/>
                <w:rFonts w:ascii="Open Sans" w:hAnsi="Open Sans" w:cs="Open San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20</w:t>
            </w:r>
            <w:r w:rsidR="00C77891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20</w:t>
            </w:r>
          </w:p>
          <w:p w14:paraId="17EA6B5B" w14:textId="2404D97C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i w:val="0"/>
                <w:iCs w:val="0"/>
                <w:color w:val="FFFFFF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(5 años)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vAlign w:val="center"/>
          </w:tcPr>
          <w:p w14:paraId="3DE1C251" w14:textId="73D5A171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  <w:r w:rsidRPr="00630DF7">
              <w:rPr>
                <w:rStyle w:val="nfasis"/>
                <w:rFonts w:ascii="Open Sans" w:hAnsi="Open Sans" w:cs="Open San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202</w:t>
            </w:r>
            <w:r w:rsidR="00C77891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4</w:t>
            </w:r>
          </w:p>
          <w:p w14:paraId="00E55B75" w14:textId="18E86150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(1 año)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vAlign w:val="center"/>
          </w:tcPr>
          <w:p w14:paraId="1D8C334D" w14:textId="77777777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</w:p>
          <w:p w14:paraId="0CA8763C" w14:textId="3064C739" w:rsidR="00630DF7" w:rsidRPr="00630DF7" w:rsidRDefault="00630DF7" w:rsidP="00403601">
            <w:pPr>
              <w:pStyle w:val="Texto"/>
              <w:jc w:val="center"/>
              <w:rPr>
                <w:rStyle w:val="nfasis"/>
                <w:rFonts w:ascii="Open Sans" w:hAnsi="Open Sans" w:cs="Open Sans"/>
                <w:color w:val="FFFFFF" w:themeColor="background1"/>
                <w:sz w:val="20"/>
                <w:szCs w:val="20"/>
                <w:lang w:val="es-ES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202</w:t>
            </w:r>
            <w:r w:rsidR="00C77891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5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vAlign w:val="center"/>
          </w:tcPr>
          <w:p w14:paraId="1B55BB60" w14:textId="77777777" w:rsidR="00630DF7" w:rsidRPr="00630DF7" w:rsidRDefault="00630DF7" w:rsidP="00403601">
            <w:pPr>
              <w:pStyle w:val="Texto"/>
              <w:jc w:val="center"/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Diferencia de puntos</w:t>
            </w:r>
          </w:p>
          <w:p w14:paraId="7017D914" w14:textId="5F4E0007" w:rsidR="00630DF7" w:rsidRPr="00630DF7" w:rsidRDefault="00630DF7" w:rsidP="00403601">
            <w:pPr>
              <w:pStyle w:val="Listavistosa-nfasis11"/>
              <w:ind w:left="0"/>
              <w:jc w:val="center"/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202</w:t>
            </w:r>
            <w:r w:rsidR="00C77891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5</w:t>
            </w: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 xml:space="preserve"> vs</w:t>
            </w:r>
            <w:r w:rsidRPr="00630DF7">
              <w:rPr>
                <w:rStyle w:val="nfasis"/>
                <w:rFonts w:ascii="Open Sans" w:hAnsi="Open Sans" w:cs="Open San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630DF7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202</w:t>
            </w:r>
            <w:r w:rsidR="00C77891">
              <w:rPr>
                <w:rStyle w:val="nfasis"/>
                <w:rFonts w:ascii="Open Sans" w:hAnsi="Open Sans" w:cs="Open Sans"/>
                <w:i w:val="0"/>
                <w:iCs w:val="0"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C77891" w:rsidRPr="00414115" w14:paraId="0D9A178D" w14:textId="2BDE2D59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031D080E" w14:textId="70042114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Región de Murcia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7A164EA4" w14:textId="4FAEC22F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10,2%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618C15D3" w14:textId="38394E1D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44D3D4DE" w14:textId="207ABDA8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530A84AF" w14:textId="3A96D5D5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- 0,4 </w:t>
            </w:r>
          </w:p>
        </w:tc>
      </w:tr>
      <w:tr w:rsidR="00C77891" w:rsidRPr="00414115" w14:paraId="784BF06D" w14:textId="5E8FDAA0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6B8639F6" w14:textId="6F466F32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Castilla-La Mancha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6CA2D283" w14:textId="3AD8B191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4668D0D6" w14:textId="573BCDD4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3D72CDBF" w14:textId="351210F8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39E44784" w14:textId="678415A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C77891" w:rsidRPr="00414115" w14:paraId="1BFC275A" w14:textId="0AB9C486" w:rsidTr="00026126">
        <w:trPr>
          <w:trHeight w:val="229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14536FD9" w14:textId="2ABA7DE5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1392819C" w14:textId="564B71D8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7E06E23F" w14:textId="76645801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7,6%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768308F9" w14:textId="10212289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3FB885C7" w14:textId="18368134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- 0,5 </w:t>
            </w:r>
          </w:p>
        </w:tc>
      </w:tr>
      <w:tr w:rsidR="00C77891" w:rsidRPr="00414115" w14:paraId="17102614" w14:textId="2054668D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337E7AF1" w14:textId="77EED818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Cataluña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13CD0011" w14:textId="63C911E5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6E2A787F" w14:textId="782E57D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3A88396F" w14:textId="34F62D6B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4B377E04" w14:textId="7DD57976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C77891" w:rsidRPr="00414115" w14:paraId="54E1A2BC" w14:textId="4AD45829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61917D11" w14:textId="0E14C781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Comunitat Valenciana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0566A36A" w14:textId="243BF7BC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9,5%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15310592" w14:textId="0BE68B9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4D97D560" w14:textId="0091A7C2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77541C07" w14:textId="2EDB726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- 0,2 </w:t>
            </w:r>
          </w:p>
        </w:tc>
      </w:tr>
      <w:tr w:rsidR="00C77891" w:rsidRPr="00414115" w14:paraId="3E32DE28" w14:textId="7051DD85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6F2CDE7C" w14:textId="142DED88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Aragón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309A45C3" w14:textId="3F09C06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2882C2DE" w14:textId="241A763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29730FD3" w14:textId="04D88944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2F830E96" w14:textId="7B833978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</w:t>
            </w:r>
            <w:r w:rsidR="004B5250">
              <w:rPr>
                <w:rFonts w:ascii="Open Sans" w:hAnsi="Open Sans" w:cs="Open Sans"/>
                <w:color w:val="000000"/>
                <w:sz w:val="22"/>
                <w:szCs w:val="22"/>
              </w:rPr>
              <w:t>3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7891" w:rsidRPr="00414115" w14:paraId="0DF9FB4F" w14:textId="58B32AEA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40816977" w14:textId="741E92A8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Cantabria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0AF080F9" w14:textId="3CCC3FB5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66982358" w14:textId="6F7F9BE4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479082E2" w14:textId="5FC55E14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332DB862" w14:textId="2FE29C28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C77891" w:rsidRPr="00414115" w14:paraId="582A986C" w14:textId="5883B810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4A2ACC0E" w14:textId="4C3C43B0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Baleares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32F966A7" w14:textId="57B57A54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8,9%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4DF98E98" w14:textId="1A3EBAF2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24E3F494" w14:textId="744F0E66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429F38CF" w14:textId="02FBA1B7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C77891" w:rsidRPr="00414115" w14:paraId="59402957" w14:textId="3CCE0AFE" w:rsidTr="00026126">
        <w:trPr>
          <w:trHeight w:val="229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75264C16" w14:textId="2049183C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4D8479CB" w14:textId="463F93E2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2A59845D" w14:textId="2D354733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6E4146A5" w14:textId="490A921F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1FE95284" w14:textId="299AE6F1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0,8 </w:t>
            </w:r>
          </w:p>
        </w:tc>
      </w:tr>
      <w:tr w:rsidR="00C77891" w:rsidRPr="00414115" w14:paraId="56675121" w14:textId="596BE920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0D7EE31F" w14:textId="656B30CB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La Rioja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29555976" w14:textId="20A121FF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8,5%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3DD792CD" w14:textId="3FD58211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4A55BE03" w14:textId="76EAC52C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46C1D4CE" w14:textId="60CC5528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- 0,6 </w:t>
            </w:r>
          </w:p>
        </w:tc>
      </w:tr>
      <w:tr w:rsidR="00C77891" w:rsidRPr="00414115" w14:paraId="3E183DA9" w14:textId="46B9096B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54A0493C" w14:textId="7D808152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Canarias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71FE4561" w14:textId="06CCE516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142040B0" w14:textId="4460784B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42B89426" w14:textId="791A536F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4A095629" w14:textId="07C80E6C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- 1,0 </w:t>
            </w:r>
          </w:p>
        </w:tc>
      </w:tr>
      <w:tr w:rsidR="00C77891" w:rsidRPr="00414115" w14:paraId="5BA22336" w14:textId="1A86671E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43025DA7" w14:textId="59E52C44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Andalucía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54538128" w14:textId="4B39A4EE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214B5FD6" w14:textId="2A0AC61F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228ECED9" w14:textId="39DDD0A3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709BE0BA" w14:textId="7F86E52E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C77891" w:rsidRPr="00414115" w14:paraId="650A2309" w14:textId="64583D8C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762DBA49" w14:textId="7B5BD227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Navarra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52CDA3B7" w14:textId="5E892C09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8,4%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4ED2655F" w14:textId="627EA2DA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360E7E25" w14:textId="71FCF8A8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284527A9" w14:textId="7944F7DA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- </w:t>
            </w:r>
          </w:p>
        </w:tc>
      </w:tr>
      <w:tr w:rsidR="00C77891" w:rsidRPr="00414115" w14:paraId="7693E6B1" w14:textId="6D294E79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50EF090E" w14:textId="0EA159A5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País Vasco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62BDDDB3" w14:textId="6BCC3263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0B9B9D82" w14:textId="4828A3AE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28EF120B" w14:textId="0668E3D6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678DA968" w14:textId="2E3F95AA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- </w:t>
            </w:r>
          </w:p>
        </w:tc>
      </w:tr>
      <w:tr w:rsidR="00C77891" w:rsidRPr="00414115" w14:paraId="4109F534" w14:textId="785626F4" w:rsidTr="00026126">
        <w:trPr>
          <w:trHeight w:val="229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23060512" w14:textId="0B18D416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Extremadura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67568D8D" w14:textId="7400E817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623C299C" w14:textId="393C7AB4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7E814A3D" w14:textId="7DF73F68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2B642F5E" w14:textId="101EB37F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- </w:t>
            </w:r>
          </w:p>
        </w:tc>
      </w:tr>
      <w:tr w:rsidR="00C77891" w:rsidRPr="00414115" w14:paraId="2A4DFA44" w14:textId="439A2052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3610AD39" w14:textId="06F04297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Castilla y León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744818C3" w14:textId="20D83571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7C779E76" w14:textId="511B0976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0CEAE488" w14:textId="5959BE66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0D36110F" w14:textId="0B022EF6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C77891" w:rsidRPr="00414115" w14:paraId="06CB2887" w14:textId="6D9FD7B3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  <w:vAlign w:val="bottom"/>
          </w:tcPr>
          <w:p w14:paraId="0C86D9C6" w14:textId="446C1F94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Galicia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0F12070F" w14:textId="4C2CCAFE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7007D68A" w14:textId="22259FDF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560" w:type="dxa"/>
            <w:shd w:val="clear" w:color="auto" w:fill="B4C6E7"/>
            <w:vAlign w:val="bottom"/>
          </w:tcPr>
          <w:p w14:paraId="41A58AD0" w14:textId="0E6E99FA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1701" w:type="dxa"/>
            <w:shd w:val="clear" w:color="auto" w:fill="B4C6E7"/>
            <w:vAlign w:val="bottom"/>
          </w:tcPr>
          <w:p w14:paraId="21DAE9A4" w14:textId="697FC68B" w:rsidR="00C77891" w:rsidRPr="008256C4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C77891" w:rsidRPr="00414115" w14:paraId="055EFEF6" w14:textId="5C26211E" w:rsidTr="00026126">
        <w:trPr>
          <w:trHeight w:val="217"/>
        </w:trPr>
        <w:tc>
          <w:tcPr>
            <w:tcW w:w="226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  <w:vAlign w:val="bottom"/>
          </w:tcPr>
          <w:p w14:paraId="3ADE8A27" w14:textId="5935B0E2" w:rsidR="00C77891" w:rsidRPr="00C77891" w:rsidRDefault="00C77891" w:rsidP="00403601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7789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España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2E4B2BA8" w14:textId="1180D679" w:rsidR="00C77891" w:rsidRPr="008F4960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9,3%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5EDED5F5" w14:textId="11DDBAED" w:rsidR="00C77891" w:rsidRPr="008F4960" w:rsidRDefault="00C77891" w:rsidP="00403601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560" w:type="dxa"/>
            <w:shd w:val="clear" w:color="auto" w:fill="D9E2F3"/>
            <w:vAlign w:val="bottom"/>
          </w:tcPr>
          <w:p w14:paraId="14D68953" w14:textId="2539870E" w:rsidR="00C77891" w:rsidRPr="008F4960" w:rsidRDefault="00C77891" w:rsidP="00403601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701" w:type="dxa"/>
            <w:shd w:val="clear" w:color="auto" w:fill="D9E2F3"/>
            <w:vAlign w:val="bottom"/>
          </w:tcPr>
          <w:p w14:paraId="0C768AD4" w14:textId="6041E082" w:rsidR="00C77891" w:rsidRPr="0026727E" w:rsidRDefault="00C77891" w:rsidP="00403601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</w:tbl>
    <w:bookmarkEnd w:id="2"/>
    <w:p w14:paraId="4F29A7C9" w14:textId="74E0AC67" w:rsidR="00717982" w:rsidRPr="007E5768" w:rsidRDefault="0074620F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  <w:r w:rsidRPr="007E5768">
        <w:rPr>
          <w:rFonts w:ascii="Open Sans Light" w:hAnsi="Open Sans Light" w:cs="Open Sans Light"/>
          <w:b/>
          <w:iCs/>
          <w:color w:val="303AB2"/>
        </w:rPr>
        <w:t xml:space="preserve">Tabla </w:t>
      </w:r>
      <w:r>
        <w:rPr>
          <w:rFonts w:ascii="Open Sans Light" w:hAnsi="Open Sans Light" w:cs="Open Sans Light"/>
          <w:b/>
          <w:iCs/>
          <w:color w:val="303AB2"/>
        </w:rPr>
        <w:t>2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. </w:t>
      </w:r>
      <w:r>
        <w:rPr>
          <w:rFonts w:ascii="Open Sans Light" w:hAnsi="Open Sans Light" w:cs="Open Sans Light"/>
          <w:b/>
          <w:iCs/>
          <w:color w:val="303AB2"/>
        </w:rPr>
        <w:t>Rentabilidad</w:t>
      </w:r>
      <w:r w:rsidR="000B6B0A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8F3954">
        <w:rPr>
          <w:rFonts w:ascii="Open Sans Light" w:hAnsi="Open Sans Light" w:cs="Open Sans Light"/>
          <w:b/>
          <w:iCs/>
          <w:color w:val="303AB2"/>
        </w:rPr>
        <w:t>de los garajes</w:t>
      </w:r>
      <w:r>
        <w:rPr>
          <w:rFonts w:ascii="Open Sans Light" w:hAnsi="Open Sans Light" w:cs="Open Sans Light"/>
          <w:b/>
          <w:iCs/>
          <w:color w:val="303AB2"/>
        </w:rPr>
        <w:t xml:space="preserve"> por provincia</w:t>
      </w:r>
      <w:r w:rsidR="000B6B0A">
        <w:rPr>
          <w:rFonts w:ascii="Open Sans Light" w:hAnsi="Open Sans Light" w:cs="Open Sans Light"/>
          <w:b/>
          <w:iCs/>
          <w:color w:val="303AB2"/>
        </w:rPr>
        <w:t>s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 (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 xml:space="preserve">comparativa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2020,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24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y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25</w:t>
      </w:r>
      <w:r w:rsidR="000A7858" w:rsidRPr="007E5768">
        <w:rPr>
          <w:rFonts w:ascii="Open Sans Light" w:hAnsi="Open Sans Light" w:cs="Open Sans Light"/>
          <w:b/>
          <w:iCs/>
          <w:color w:val="303AB2"/>
        </w:rPr>
        <w:t>)</w:t>
      </w:r>
    </w:p>
    <w:tbl>
      <w:tblPr>
        <w:tblStyle w:val="Tabladecuadrcula5oscura-nfasis11"/>
        <w:tblW w:w="9082" w:type="dxa"/>
        <w:tblLayout w:type="fixed"/>
        <w:tblLook w:val="04A0" w:firstRow="1" w:lastRow="0" w:firstColumn="1" w:lastColumn="0" w:noHBand="0" w:noVBand="1"/>
      </w:tblPr>
      <w:tblGrid>
        <w:gridCol w:w="1764"/>
        <w:gridCol w:w="2059"/>
        <w:gridCol w:w="1842"/>
        <w:gridCol w:w="1520"/>
        <w:gridCol w:w="1897"/>
      </w:tblGrid>
      <w:tr w:rsidR="003349B3" w:rsidRPr="0073774C" w14:paraId="01AA5F1F" w14:textId="77777777" w:rsidTr="000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center"/>
          </w:tcPr>
          <w:p w14:paraId="2DE89C32" w14:textId="2C7DB184" w:rsidR="003349B3" w:rsidRPr="00426D3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426D33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  <w:t>Provincia</w:t>
            </w:r>
          </w:p>
        </w:tc>
        <w:tc>
          <w:tcPr>
            <w:tcW w:w="2059" w:type="dxa"/>
            <w:vAlign w:val="center"/>
          </w:tcPr>
          <w:p w14:paraId="3331F71C" w14:textId="77777777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2020</w:t>
            </w:r>
          </w:p>
          <w:p w14:paraId="564D0B59" w14:textId="1EE1ADFD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(5 años)</w:t>
            </w:r>
          </w:p>
        </w:tc>
        <w:tc>
          <w:tcPr>
            <w:tcW w:w="1842" w:type="dxa"/>
            <w:vAlign w:val="center"/>
          </w:tcPr>
          <w:p w14:paraId="6F65DDBF" w14:textId="77777777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2024</w:t>
            </w:r>
          </w:p>
          <w:p w14:paraId="75D65372" w14:textId="31F8D2F0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(1 año)</w:t>
            </w:r>
          </w:p>
        </w:tc>
        <w:tc>
          <w:tcPr>
            <w:tcW w:w="1520" w:type="dxa"/>
            <w:vAlign w:val="center"/>
          </w:tcPr>
          <w:p w14:paraId="542BDBC5" w14:textId="77777777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</w:p>
          <w:p w14:paraId="4ECD08D3" w14:textId="319B07BB" w:rsidR="003349B3" w:rsidRPr="003349B3" w:rsidRDefault="003349B3" w:rsidP="00403601">
            <w:pPr>
              <w:pStyle w:val="Tex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sz w:val="20"/>
                <w:szCs w:val="20"/>
                <w:lang w:val="es-ES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97" w:type="dxa"/>
            <w:vAlign w:val="center"/>
          </w:tcPr>
          <w:p w14:paraId="2B0C5393" w14:textId="77777777" w:rsidR="003349B3" w:rsidRPr="003349B3" w:rsidRDefault="003349B3" w:rsidP="00403601">
            <w:pPr>
              <w:pStyle w:val="Tex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Diferencia de puntos</w:t>
            </w:r>
          </w:p>
          <w:p w14:paraId="49D814FF" w14:textId="12EF082B" w:rsidR="003349B3" w:rsidRPr="003349B3" w:rsidRDefault="003349B3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2025 vs 2024</w:t>
            </w:r>
          </w:p>
        </w:tc>
      </w:tr>
      <w:tr w:rsidR="003349B3" w:rsidRPr="0073774C" w14:paraId="16CA5313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00FCBA2" w14:textId="27C670C6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Toledo</w:t>
            </w:r>
          </w:p>
        </w:tc>
        <w:tc>
          <w:tcPr>
            <w:tcW w:w="2059" w:type="dxa"/>
            <w:vAlign w:val="bottom"/>
          </w:tcPr>
          <w:p w14:paraId="334D0EE0" w14:textId="6F26CC74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842" w:type="dxa"/>
            <w:vAlign w:val="bottom"/>
          </w:tcPr>
          <w:p w14:paraId="172EE8A2" w14:textId="127A6D7B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11,6%</w:t>
            </w:r>
          </w:p>
        </w:tc>
        <w:tc>
          <w:tcPr>
            <w:tcW w:w="1520" w:type="dxa"/>
            <w:vAlign w:val="bottom"/>
          </w:tcPr>
          <w:p w14:paraId="714A13C5" w14:textId="4F1D6200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11,8%</w:t>
            </w:r>
          </w:p>
        </w:tc>
        <w:tc>
          <w:tcPr>
            <w:tcW w:w="1897" w:type="dxa"/>
            <w:vAlign w:val="bottom"/>
          </w:tcPr>
          <w:p w14:paraId="41E55A69" w14:textId="470EF30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0F8EA0D0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6AE1CD14" w14:textId="12DBCF22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Castellón</w:t>
            </w:r>
          </w:p>
        </w:tc>
        <w:tc>
          <w:tcPr>
            <w:tcW w:w="2059" w:type="dxa"/>
            <w:vAlign w:val="bottom"/>
          </w:tcPr>
          <w:p w14:paraId="7B706F3C" w14:textId="27CD8570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1842" w:type="dxa"/>
            <w:vAlign w:val="bottom"/>
          </w:tcPr>
          <w:p w14:paraId="658ED658" w14:textId="0EBC3388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9,3%</w:t>
            </w:r>
          </w:p>
        </w:tc>
        <w:tc>
          <w:tcPr>
            <w:tcW w:w="1520" w:type="dxa"/>
            <w:vAlign w:val="bottom"/>
          </w:tcPr>
          <w:p w14:paraId="10EED9FE" w14:textId="71F7635B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9,3%</w:t>
            </w:r>
          </w:p>
        </w:tc>
        <w:tc>
          <w:tcPr>
            <w:tcW w:w="1897" w:type="dxa"/>
            <w:vAlign w:val="bottom"/>
          </w:tcPr>
          <w:p w14:paraId="362DA138" w14:textId="5FC64213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0,0 </w:t>
            </w:r>
          </w:p>
        </w:tc>
      </w:tr>
      <w:tr w:rsidR="003349B3" w:rsidRPr="0073774C" w14:paraId="230899AC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6DBBF944" w14:textId="1C30D390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Guadalajara</w:t>
            </w:r>
          </w:p>
        </w:tc>
        <w:tc>
          <w:tcPr>
            <w:tcW w:w="2059" w:type="dxa"/>
            <w:vAlign w:val="bottom"/>
          </w:tcPr>
          <w:p w14:paraId="74C175B1" w14:textId="15B50F4A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842" w:type="dxa"/>
            <w:vAlign w:val="bottom"/>
          </w:tcPr>
          <w:p w14:paraId="2F683BDA" w14:textId="6618C003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9,0%</w:t>
            </w:r>
          </w:p>
        </w:tc>
        <w:tc>
          <w:tcPr>
            <w:tcW w:w="1520" w:type="dxa"/>
            <w:vAlign w:val="bottom"/>
          </w:tcPr>
          <w:p w14:paraId="0965C70F" w14:textId="1795B6F9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897" w:type="dxa"/>
            <w:vAlign w:val="bottom"/>
          </w:tcPr>
          <w:p w14:paraId="20922E58" w14:textId="3ED73E13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15CEE4D8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1BFC1BB3" w14:textId="2BFA2261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Ávila</w:t>
            </w:r>
          </w:p>
        </w:tc>
        <w:tc>
          <w:tcPr>
            <w:tcW w:w="2059" w:type="dxa"/>
            <w:vAlign w:val="bottom"/>
          </w:tcPr>
          <w:p w14:paraId="1EA328B0" w14:textId="62753152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6A50F641" w14:textId="15496CE1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1520" w:type="dxa"/>
            <w:vAlign w:val="bottom"/>
          </w:tcPr>
          <w:p w14:paraId="5B38F8E0" w14:textId="6268CA48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1897" w:type="dxa"/>
            <w:vAlign w:val="bottom"/>
          </w:tcPr>
          <w:p w14:paraId="33B08444" w14:textId="510FA382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- 1,3 </w:t>
            </w:r>
          </w:p>
        </w:tc>
      </w:tr>
      <w:tr w:rsidR="003349B3" w:rsidRPr="0073774C" w14:paraId="15445EEB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D2DF887" w14:textId="128D1876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059" w:type="dxa"/>
            <w:vAlign w:val="bottom"/>
          </w:tcPr>
          <w:p w14:paraId="210214D4" w14:textId="11C4E5EF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11,7%</w:t>
            </w:r>
          </w:p>
        </w:tc>
        <w:tc>
          <w:tcPr>
            <w:tcW w:w="1842" w:type="dxa"/>
            <w:vAlign w:val="bottom"/>
          </w:tcPr>
          <w:p w14:paraId="19A0CA23" w14:textId="5D887F28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8,5%</w:t>
            </w:r>
          </w:p>
        </w:tc>
        <w:tc>
          <w:tcPr>
            <w:tcW w:w="1520" w:type="dxa"/>
            <w:vAlign w:val="bottom"/>
          </w:tcPr>
          <w:p w14:paraId="741B7B9C" w14:textId="36CC5C56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1897" w:type="dxa"/>
            <w:vAlign w:val="bottom"/>
          </w:tcPr>
          <w:p w14:paraId="5D620AC7" w14:textId="4E22EFF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- 0,5 </w:t>
            </w:r>
          </w:p>
        </w:tc>
      </w:tr>
      <w:tr w:rsidR="003349B3" w:rsidRPr="0073774C" w14:paraId="2418BC5E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AFA230D" w14:textId="1D239D24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Murcia</w:t>
            </w:r>
          </w:p>
        </w:tc>
        <w:tc>
          <w:tcPr>
            <w:tcW w:w="2059" w:type="dxa"/>
            <w:vAlign w:val="bottom"/>
          </w:tcPr>
          <w:p w14:paraId="73DEBB0C" w14:textId="4E40D230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10,2%</w:t>
            </w:r>
          </w:p>
        </w:tc>
        <w:tc>
          <w:tcPr>
            <w:tcW w:w="1842" w:type="dxa"/>
            <w:vAlign w:val="bottom"/>
          </w:tcPr>
          <w:p w14:paraId="27FF09C8" w14:textId="27CC6BC2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Align w:val="bottom"/>
          </w:tcPr>
          <w:p w14:paraId="4A8718FB" w14:textId="2DB603D2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1897" w:type="dxa"/>
            <w:vAlign w:val="bottom"/>
          </w:tcPr>
          <w:p w14:paraId="3BD6376A" w14:textId="0D51E15D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7,9 </w:t>
            </w:r>
          </w:p>
        </w:tc>
      </w:tr>
      <w:tr w:rsidR="003349B3" w:rsidRPr="0073774C" w14:paraId="2AE095C0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63FF3A56" w14:textId="70D90299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059" w:type="dxa"/>
            <w:vAlign w:val="bottom"/>
          </w:tcPr>
          <w:p w14:paraId="0CE90109" w14:textId="32453A84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1842" w:type="dxa"/>
            <w:vAlign w:val="bottom"/>
          </w:tcPr>
          <w:p w14:paraId="38F1A085" w14:textId="290C996D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20" w:type="dxa"/>
            <w:vAlign w:val="bottom"/>
          </w:tcPr>
          <w:p w14:paraId="35FF2B15" w14:textId="77B8F7CC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1897" w:type="dxa"/>
            <w:vAlign w:val="bottom"/>
          </w:tcPr>
          <w:p w14:paraId="19249122" w14:textId="4833B2FC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0,8 </w:t>
            </w:r>
          </w:p>
        </w:tc>
      </w:tr>
      <w:tr w:rsidR="003349B3" w:rsidRPr="0073774C" w14:paraId="0958D093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4DDBCC6" w14:textId="19543203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Sevilla</w:t>
            </w:r>
          </w:p>
        </w:tc>
        <w:tc>
          <w:tcPr>
            <w:tcW w:w="2059" w:type="dxa"/>
            <w:vAlign w:val="bottom"/>
          </w:tcPr>
          <w:p w14:paraId="6AF74A5C" w14:textId="2AB8FC8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11,0%</w:t>
            </w:r>
          </w:p>
        </w:tc>
        <w:tc>
          <w:tcPr>
            <w:tcW w:w="1842" w:type="dxa"/>
            <w:vAlign w:val="bottom"/>
          </w:tcPr>
          <w:p w14:paraId="4E37048C" w14:textId="7884A235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9,0%</w:t>
            </w:r>
          </w:p>
        </w:tc>
        <w:tc>
          <w:tcPr>
            <w:tcW w:w="1520" w:type="dxa"/>
            <w:vAlign w:val="bottom"/>
          </w:tcPr>
          <w:p w14:paraId="5538FC35" w14:textId="75826D2A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7,6%</w:t>
            </w:r>
          </w:p>
        </w:tc>
        <w:tc>
          <w:tcPr>
            <w:tcW w:w="1897" w:type="dxa"/>
            <w:vAlign w:val="bottom"/>
          </w:tcPr>
          <w:p w14:paraId="06306329" w14:textId="2D7CC78D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- 1,4 </w:t>
            </w:r>
          </w:p>
        </w:tc>
      </w:tr>
      <w:tr w:rsidR="003349B3" w:rsidRPr="0073774C" w14:paraId="5FA65ADD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2F463F1E" w14:textId="404A118B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Lleida</w:t>
            </w:r>
          </w:p>
        </w:tc>
        <w:tc>
          <w:tcPr>
            <w:tcW w:w="2059" w:type="dxa"/>
            <w:vAlign w:val="bottom"/>
          </w:tcPr>
          <w:p w14:paraId="30A9547F" w14:textId="4F47D419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1842" w:type="dxa"/>
            <w:vAlign w:val="bottom"/>
          </w:tcPr>
          <w:p w14:paraId="7D1BA333" w14:textId="5A6BB300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1520" w:type="dxa"/>
            <w:vAlign w:val="bottom"/>
          </w:tcPr>
          <w:p w14:paraId="6AB24A28" w14:textId="65CD0963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7,4%</w:t>
            </w:r>
          </w:p>
        </w:tc>
        <w:tc>
          <w:tcPr>
            <w:tcW w:w="1897" w:type="dxa"/>
            <w:vAlign w:val="bottom"/>
          </w:tcPr>
          <w:p w14:paraId="54D3E288" w14:textId="18AC684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3523D6FC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BF8B9DD" w14:textId="4A99C98C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059" w:type="dxa"/>
            <w:vAlign w:val="bottom"/>
          </w:tcPr>
          <w:p w14:paraId="15661685" w14:textId="30D118F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1842" w:type="dxa"/>
            <w:vAlign w:val="bottom"/>
          </w:tcPr>
          <w:p w14:paraId="3F32FBE4" w14:textId="051041B9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7,6%</w:t>
            </w:r>
          </w:p>
        </w:tc>
        <w:tc>
          <w:tcPr>
            <w:tcW w:w="1520" w:type="dxa"/>
            <w:vAlign w:val="bottom"/>
          </w:tcPr>
          <w:p w14:paraId="43EB58CE" w14:textId="70F1D801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897" w:type="dxa"/>
            <w:vAlign w:val="bottom"/>
          </w:tcPr>
          <w:p w14:paraId="36BABE50" w14:textId="41A657ED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- 0,5 </w:t>
            </w:r>
          </w:p>
        </w:tc>
      </w:tr>
      <w:tr w:rsidR="003349B3" w:rsidRPr="0073774C" w14:paraId="5C6AFE9A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AFB45CF" w14:textId="107D6926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059" w:type="dxa"/>
            <w:vAlign w:val="bottom"/>
          </w:tcPr>
          <w:p w14:paraId="664D9E04" w14:textId="6E402B8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1842" w:type="dxa"/>
            <w:vAlign w:val="bottom"/>
          </w:tcPr>
          <w:p w14:paraId="7BEFA6E3" w14:textId="5A5049E5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520" w:type="dxa"/>
            <w:vAlign w:val="bottom"/>
          </w:tcPr>
          <w:p w14:paraId="1D3A2224" w14:textId="20A39E8A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897" w:type="dxa"/>
            <w:vAlign w:val="bottom"/>
          </w:tcPr>
          <w:p w14:paraId="5A3C7540" w14:textId="3A45CC2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3349B3" w:rsidRPr="0073774C" w14:paraId="7B797606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FB6386F" w14:textId="0D1F6E0E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Huelva</w:t>
            </w:r>
          </w:p>
        </w:tc>
        <w:tc>
          <w:tcPr>
            <w:tcW w:w="2059" w:type="dxa"/>
            <w:vAlign w:val="bottom"/>
          </w:tcPr>
          <w:p w14:paraId="73054880" w14:textId="22B575D2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0ACCAFD8" w14:textId="0B6BED23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1520" w:type="dxa"/>
            <w:vAlign w:val="bottom"/>
          </w:tcPr>
          <w:p w14:paraId="6457B318" w14:textId="14661B07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897" w:type="dxa"/>
            <w:vAlign w:val="bottom"/>
          </w:tcPr>
          <w:p w14:paraId="137E9DD3" w14:textId="039850A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- 0,8 </w:t>
            </w:r>
          </w:p>
        </w:tc>
      </w:tr>
      <w:tr w:rsidR="003349B3" w:rsidRPr="0073774C" w14:paraId="1CE35D7E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DB1C43B" w14:textId="350167BF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lastRenderedPageBreak/>
              <w:t>Valencia</w:t>
            </w:r>
          </w:p>
        </w:tc>
        <w:tc>
          <w:tcPr>
            <w:tcW w:w="2059" w:type="dxa"/>
            <w:vAlign w:val="bottom"/>
          </w:tcPr>
          <w:p w14:paraId="25767D21" w14:textId="01C87BA4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8,9%</w:t>
            </w:r>
          </w:p>
        </w:tc>
        <w:tc>
          <w:tcPr>
            <w:tcW w:w="1842" w:type="dxa"/>
            <w:vAlign w:val="bottom"/>
          </w:tcPr>
          <w:p w14:paraId="51EAE183" w14:textId="2FDC776F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520" w:type="dxa"/>
            <w:vAlign w:val="bottom"/>
          </w:tcPr>
          <w:p w14:paraId="08894AE0" w14:textId="71823F55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897" w:type="dxa"/>
            <w:vAlign w:val="bottom"/>
          </w:tcPr>
          <w:p w14:paraId="160A1C10" w14:textId="0D3E42F7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- 0,2 </w:t>
            </w:r>
          </w:p>
        </w:tc>
      </w:tr>
      <w:tr w:rsidR="003349B3" w:rsidRPr="0073774C" w14:paraId="68F15E5C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9866FC8" w14:textId="1DFFBC40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059" w:type="dxa"/>
            <w:vAlign w:val="bottom"/>
          </w:tcPr>
          <w:p w14:paraId="385F057F" w14:textId="7768B5BE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1842" w:type="dxa"/>
            <w:vAlign w:val="bottom"/>
          </w:tcPr>
          <w:p w14:paraId="5FE78ED0" w14:textId="39EE0083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6,8%</w:t>
            </w:r>
          </w:p>
        </w:tc>
        <w:tc>
          <w:tcPr>
            <w:tcW w:w="1520" w:type="dxa"/>
            <w:vAlign w:val="bottom"/>
          </w:tcPr>
          <w:p w14:paraId="41F0624C" w14:textId="78AE2C47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897" w:type="dxa"/>
            <w:vAlign w:val="bottom"/>
          </w:tcPr>
          <w:p w14:paraId="3DF7DD4B" w14:textId="20268C2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- 0,2 </w:t>
            </w:r>
          </w:p>
        </w:tc>
      </w:tr>
      <w:tr w:rsidR="003349B3" w:rsidRPr="0073774C" w14:paraId="6E0806EA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EBDE0A4" w14:textId="61A325EE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León</w:t>
            </w:r>
          </w:p>
        </w:tc>
        <w:tc>
          <w:tcPr>
            <w:tcW w:w="2059" w:type="dxa"/>
            <w:vAlign w:val="bottom"/>
          </w:tcPr>
          <w:p w14:paraId="52DB30A0" w14:textId="01DBD39F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3906075A" w14:textId="0E12CAE0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520" w:type="dxa"/>
            <w:vAlign w:val="bottom"/>
          </w:tcPr>
          <w:p w14:paraId="7059412B" w14:textId="7D16126C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897" w:type="dxa"/>
            <w:vAlign w:val="bottom"/>
          </w:tcPr>
          <w:p w14:paraId="2B260E86" w14:textId="37811B42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1,0 </w:t>
            </w:r>
          </w:p>
        </w:tc>
      </w:tr>
      <w:tr w:rsidR="003349B3" w:rsidRPr="0073774C" w14:paraId="333A3CEA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44FE2FDA" w14:textId="6734CB92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Zaragoza</w:t>
            </w:r>
          </w:p>
        </w:tc>
        <w:tc>
          <w:tcPr>
            <w:tcW w:w="2059" w:type="dxa"/>
            <w:vAlign w:val="bottom"/>
          </w:tcPr>
          <w:p w14:paraId="1F870B3E" w14:textId="5E1A5077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7,4%</w:t>
            </w:r>
          </w:p>
        </w:tc>
        <w:tc>
          <w:tcPr>
            <w:tcW w:w="1842" w:type="dxa"/>
            <w:vAlign w:val="bottom"/>
          </w:tcPr>
          <w:p w14:paraId="4F3A6C7C" w14:textId="0554CB48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20" w:type="dxa"/>
            <w:vAlign w:val="bottom"/>
          </w:tcPr>
          <w:p w14:paraId="2A7941DF" w14:textId="2C71B2C0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897" w:type="dxa"/>
            <w:vAlign w:val="bottom"/>
          </w:tcPr>
          <w:p w14:paraId="08E0CD8D" w14:textId="496B847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5B7FCC12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C3FBAAB" w14:textId="1A6088DF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Cantabria</w:t>
            </w:r>
          </w:p>
        </w:tc>
        <w:tc>
          <w:tcPr>
            <w:tcW w:w="2059" w:type="dxa"/>
            <w:vAlign w:val="bottom"/>
          </w:tcPr>
          <w:p w14:paraId="5F04593F" w14:textId="7DC14F4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1842" w:type="dxa"/>
            <w:vAlign w:val="bottom"/>
          </w:tcPr>
          <w:p w14:paraId="08E7CAE5" w14:textId="4D81D73A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20" w:type="dxa"/>
            <w:vAlign w:val="bottom"/>
          </w:tcPr>
          <w:p w14:paraId="7354502D" w14:textId="46F48D3E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897" w:type="dxa"/>
            <w:vAlign w:val="bottom"/>
          </w:tcPr>
          <w:p w14:paraId="0494CCC1" w14:textId="32993370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- 0,0 </w:t>
            </w:r>
          </w:p>
        </w:tc>
      </w:tr>
      <w:tr w:rsidR="003349B3" w:rsidRPr="0073774C" w14:paraId="73020BD7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0C4C513" w14:textId="487E18F1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Santa Cruz de Tenerife</w:t>
            </w:r>
          </w:p>
        </w:tc>
        <w:tc>
          <w:tcPr>
            <w:tcW w:w="2059" w:type="dxa"/>
            <w:vAlign w:val="bottom"/>
          </w:tcPr>
          <w:p w14:paraId="7CFF9ED4" w14:textId="3C1D7A82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9,7%</w:t>
            </w:r>
          </w:p>
        </w:tc>
        <w:tc>
          <w:tcPr>
            <w:tcW w:w="1842" w:type="dxa"/>
            <w:vAlign w:val="bottom"/>
          </w:tcPr>
          <w:p w14:paraId="47717CA2" w14:textId="40523573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520" w:type="dxa"/>
            <w:vAlign w:val="bottom"/>
          </w:tcPr>
          <w:p w14:paraId="50AF4B27" w14:textId="2824C559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897" w:type="dxa"/>
            <w:vAlign w:val="bottom"/>
          </w:tcPr>
          <w:p w14:paraId="6FE30349" w14:textId="7B3D4FB5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0,0 </w:t>
            </w:r>
          </w:p>
        </w:tc>
      </w:tr>
      <w:tr w:rsidR="003349B3" w:rsidRPr="0073774C" w14:paraId="054BBEFE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08D2EEB" w14:textId="29263993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Illes Balears</w:t>
            </w:r>
          </w:p>
        </w:tc>
        <w:tc>
          <w:tcPr>
            <w:tcW w:w="2059" w:type="dxa"/>
            <w:vAlign w:val="bottom"/>
          </w:tcPr>
          <w:p w14:paraId="5BC50E20" w14:textId="62007357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8,9%</w:t>
            </w:r>
          </w:p>
        </w:tc>
        <w:tc>
          <w:tcPr>
            <w:tcW w:w="1842" w:type="dxa"/>
            <w:vAlign w:val="bottom"/>
          </w:tcPr>
          <w:p w14:paraId="5EB6F7B9" w14:textId="60DD190C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520" w:type="dxa"/>
            <w:vAlign w:val="bottom"/>
          </w:tcPr>
          <w:p w14:paraId="63255B52" w14:textId="0FEF78F9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897" w:type="dxa"/>
            <w:vAlign w:val="bottom"/>
          </w:tcPr>
          <w:p w14:paraId="2B2D5612" w14:textId="40DAE0F1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20BB843E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45EAD091" w14:textId="2ECA4207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059" w:type="dxa"/>
            <w:vAlign w:val="bottom"/>
          </w:tcPr>
          <w:p w14:paraId="0A921037" w14:textId="652DD8F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842" w:type="dxa"/>
            <w:vAlign w:val="bottom"/>
          </w:tcPr>
          <w:p w14:paraId="3A394D2D" w14:textId="529BE9B2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520" w:type="dxa"/>
            <w:vAlign w:val="bottom"/>
          </w:tcPr>
          <w:p w14:paraId="16C1AECE" w14:textId="263EB4FC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897" w:type="dxa"/>
            <w:vAlign w:val="bottom"/>
          </w:tcPr>
          <w:p w14:paraId="1F5BD307" w14:textId="198AF714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0,8 </w:t>
            </w:r>
          </w:p>
        </w:tc>
      </w:tr>
      <w:tr w:rsidR="003349B3" w:rsidRPr="0073774C" w14:paraId="2509E3F9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4CD0A0D" w14:textId="4D411C5C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Cuenca</w:t>
            </w:r>
          </w:p>
        </w:tc>
        <w:tc>
          <w:tcPr>
            <w:tcW w:w="2059" w:type="dxa"/>
            <w:vAlign w:val="bottom"/>
          </w:tcPr>
          <w:p w14:paraId="217FA5D9" w14:textId="03356940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534ABC95" w14:textId="0B0E2B9F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520" w:type="dxa"/>
            <w:vAlign w:val="bottom"/>
          </w:tcPr>
          <w:p w14:paraId="33EE86B0" w14:textId="1A9A56FA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897" w:type="dxa"/>
            <w:vAlign w:val="bottom"/>
          </w:tcPr>
          <w:p w14:paraId="60B1EE25" w14:textId="6C9244C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0,3 </w:t>
            </w:r>
          </w:p>
        </w:tc>
      </w:tr>
      <w:tr w:rsidR="003349B3" w:rsidRPr="0073774C" w14:paraId="5DC30431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077B9BD4" w14:textId="05371539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Huesca</w:t>
            </w:r>
          </w:p>
        </w:tc>
        <w:tc>
          <w:tcPr>
            <w:tcW w:w="2059" w:type="dxa"/>
            <w:vAlign w:val="bottom"/>
          </w:tcPr>
          <w:p w14:paraId="5949660E" w14:textId="42658EE3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04CAE029" w14:textId="7E691D36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520" w:type="dxa"/>
            <w:vAlign w:val="bottom"/>
          </w:tcPr>
          <w:p w14:paraId="227BE349" w14:textId="0F5EBEFD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97" w:type="dxa"/>
            <w:vAlign w:val="bottom"/>
          </w:tcPr>
          <w:p w14:paraId="05CB27D0" w14:textId="48C018BE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0,5 </w:t>
            </w:r>
          </w:p>
        </w:tc>
      </w:tr>
      <w:tr w:rsidR="003349B3" w:rsidRPr="0073774C" w14:paraId="62AB1861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1C81FADF" w14:textId="0794962E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 Rioja</w:t>
            </w:r>
          </w:p>
        </w:tc>
        <w:tc>
          <w:tcPr>
            <w:tcW w:w="2059" w:type="dxa"/>
            <w:vAlign w:val="bottom"/>
          </w:tcPr>
          <w:p w14:paraId="4181F06A" w14:textId="76DB8FF1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8,5%</w:t>
            </w:r>
          </w:p>
        </w:tc>
        <w:tc>
          <w:tcPr>
            <w:tcW w:w="1842" w:type="dxa"/>
            <w:vAlign w:val="bottom"/>
          </w:tcPr>
          <w:p w14:paraId="665FF52F" w14:textId="60C17F3E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520" w:type="dxa"/>
            <w:vAlign w:val="bottom"/>
          </w:tcPr>
          <w:p w14:paraId="23633E21" w14:textId="51FF0BFF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97" w:type="dxa"/>
            <w:vAlign w:val="bottom"/>
          </w:tcPr>
          <w:p w14:paraId="315345D7" w14:textId="7292CB2E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- 0,6 </w:t>
            </w:r>
          </w:p>
        </w:tc>
      </w:tr>
      <w:tr w:rsidR="003349B3" w:rsidRPr="0073774C" w14:paraId="103A3C1A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8D321D2" w14:textId="6A637E85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Girona</w:t>
            </w:r>
          </w:p>
        </w:tc>
        <w:tc>
          <w:tcPr>
            <w:tcW w:w="2059" w:type="dxa"/>
            <w:vAlign w:val="bottom"/>
          </w:tcPr>
          <w:p w14:paraId="36C5544D" w14:textId="2C6B3BE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1842" w:type="dxa"/>
            <w:vAlign w:val="bottom"/>
          </w:tcPr>
          <w:p w14:paraId="6C14F5AC" w14:textId="0E5DF389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20" w:type="dxa"/>
            <w:vAlign w:val="bottom"/>
          </w:tcPr>
          <w:p w14:paraId="69C4953D" w14:textId="556064B5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897" w:type="dxa"/>
            <w:vAlign w:val="bottom"/>
          </w:tcPr>
          <w:p w14:paraId="359E2D3D" w14:textId="34BA420F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3349B3" w:rsidRPr="0073774C" w14:paraId="411C0FDF" w14:textId="77777777" w:rsidTr="00C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25207B1A" w14:textId="56A36E98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Las Palmas</w:t>
            </w:r>
          </w:p>
        </w:tc>
        <w:tc>
          <w:tcPr>
            <w:tcW w:w="2059" w:type="dxa"/>
            <w:vAlign w:val="bottom"/>
          </w:tcPr>
          <w:p w14:paraId="6A1F5D20" w14:textId="50E9361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8,6%</w:t>
            </w:r>
          </w:p>
        </w:tc>
        <w:tc>
          <w:tcPr>
            <w:tcW w:w="1842" w:type="dxa"/>
            <w:vAlign w:val="bottom"/>
          </w:tcPr>
          <w:p w14:paraId="5A583849" w14:textId="5F010F9F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1520" w:type="dxa"/>
            <w:vAlign w:val="bottom"/>
          </w:tcPr>
          <w:p w14:paraId="6D68503A" w14:textId="79FB4664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97" w:type="dxa"/>
            <w:vAlign w:val="bottom"/>
          </w:tcPr>
          <w:p w14:paraId="55DAAC97" w14:textId="1C8F4D7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- 1,7 </w:t>
            </w:r>
          </w:p>
        </w:tc>
      </w:tr>
      <w:tr w:rsidR="003349B3" w:rsidRPr="0073774C" w14:paraId="510143BA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6C99B0E1" w14:textId="0042F993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Cádiz</w:t>
            </w:r>
          </w:p>
        </w:tc>
        <w:tc>
          <w:tcPr>
            <w:tcW w:w="2059" w:type="dxa"/>
            <w:vAlign w:val="bottom"/>
          </w:tcPr>
          <w:p w14:paraId="5F23A3E5" w14:textId="30A51407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842" w:type="dxa"/>
            <w:vAlign w:val="bottom"/>
          </w:tcPr>
          <w:p w14:paraId="565392B1" w14:textId="7C1A29DE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20" w:type="dxa"/>
            <w:vAlign w:val="bottom"/>
          </w:tcPr>
          <w:p w14:paraId="1AC7DFE0" w14:textId="2DD2A553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97" w:type="dxa"/>
            <w:vAlign w:val="bottom"/>
          </w:tcPr>
          <w:p w14:paraId="00E44A41" w14:textId="4B92A94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- 0,3 </w:t>
            </w:r>
          </w:p>
        </w:tc>
      </w:tr>
      <w:tr w:rsidR="003349B3" w:rsidRPr="0073774C" w14:paraId="0DECAD70" w14:textId="77777777" w:rsidTr="00C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890258B" w14:textId="0CBE51CF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Gipuzkoa</w:t>
            </w:r>
          </w:p>
        </w:tc>
        <w:tc>
          <w:tcPr>
            <w:tcW w:w="2059" w:type="dxa"/>
            <w:vAlign w:val="bottom"/>
          </w:tcPr>
          <w:p w14:paraId="0CFD04D0" w14:textId="2D00211B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842" w:type="dxa"/>
            <w:vAlign w:val="bottom"/>
          </w:tcPr>
          <w:p w14:paraId="3B691D55" w14:textId="7902DA2D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Align w:val="bottom"/>
          </w:tcPr>
          <w:p w14:paraId="7A803819" w14:textId="253251A4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97" w:type="dxa"/>
            <w:vAlign w:val="bottom"/>
          </w:tcPr>
          <w:p w14:paraId="23F52081" w14:textId="4DEA5B49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5,7 </w:t>
            </w:r>
          </w:p>
        </w:tc>
      </w:tr>
      <w:tr w:rsidR="003349B3" w:rsidRPr="0073774C" w14:paraId="4B6C333F" w14:textId="77777777" w:rsidTr="00C154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4BC65A7C" w14:textId="6CC38ACA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059" w:type="dxa"/>
            <w:vAlign w:val="bottom"/>
          </w:tcPr>
          <w:p w14:paraId="138A14C0" w14:textId="13446094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9,0%</w:t>
            </w:r>
          </w:p>
        </w:tc>
        <w:tc>
          <w:tcPr>
            <w:tcW w:w="1842" w:type="dxa"/>
            <w:vAlign w:val="bottom"/>
          </w:tcPr>
          <w:p w14:paraId="23E4D94B" w14:textId="6046F2BA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520" w:type="dxa"/>
            <w:vAlign w:val="bottom"/>
          </w:tcPr>
          <w:p w14:paraId="575DF3D1" w14:textId="0E481BF4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97" w:type="dxa"/>
            <w:vAlign w:val="bottom"/>
          </w:tcPr>
          <w:p w14:paraId="4A5F772F" w14:textId="63DA74B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- 0,3 </w:t>
            </w:r>
          </w:p>
        </w:tc>
      </w:tr>
      <w:tr w:rsidR="003349B3" w:rsidRPr="0073774C" w14:paraId="7ACBEDF2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10F6C451" w14:textId="1B8BD962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Ciudad Real</w:t>
            </w:r>
          </w:p>
        </w:tc>
        <w:tc>
          <w:tcPr>
            <w:tcW w:w="2059" w:type="dxa"/>
            <w:vAlign w:val="bottom"/>
          </w:tcPr>
          <w:p w14:paraId="65D61564" w14:textId="3C5EEFA6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842" w:type="dxa"/>
            <w:vAlign w:val="bottom"/>
          </w:tcPr>
          <w:p w14:paraId="0B5B1080" w14:textId="5D266FB8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520" w:type="dxa"/>
            <w:vAlign w:val="bottom"/>
          </w:tcPr>
          <w:p w14:paraId="44CA8FF0" w14:textId="4E79DD2D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897" w:type="dxa"/>
            <w:vAlign w:val="bottom"/>
          </w:tcPr>
          <w:p w14:paraId="2A00C680" w14:textId="51800CC8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- 0,4 </w:t>
            </w:r>
          </w:p>
        </w:tc>
      </w:tr>
      <w:tr w:rsidR="003349B3" w:rsidRPr="0073774C" w14:paraId="6891B462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C7447C2" w14:textId="4EC225E4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Segovia</w:t>
            </w:r>
          </w:p>
        </w:tc>
        <w:tc>
          <w:tcPr>
            <w:tcW w:w="2059" w:type="dxa"/>
            <w:vAlign w:val="bottom"/>
          </w:tcPr>
          <w:p w14:paraId="13F1DE95" w14:textId="38774247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4990320E" w14:textId="0D1A04BA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520" w:type="dxa"/>
            <w:vAlign w:val="bottom"/>
          </w:tcPr>
          <w:p w14:paraId="0586E70E" w14:textId="7A9476CB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897" w:type="dxa"/>
            <w:vAlign w:val="bottom"/>
          </w:tcPr>
          <w:p w14:paraId="235AAC53" w14:textId="4E9EEB93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- 0,9 </w:t>
            </w:r>
          </w:p>
        </w:tc>
      </w:tr>
      <w:tr w:rsidR="003349B3" w:rsidRPr="0073774C" w14:paraId="1F49D20D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8C1F156" w14:textId="3BDDDAF1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Albacete</w:t>
            </w:r>
          </w:p>
        </w:tc>
        <w:tc>
          <w:tcPr>
            <w:tcW w:w="2059" w:type="dxa"/>
            <w:vAlign w:val="bottom"/>
          </w:tcPr>
          <w:p w14:paraId="03545300" w14:textId="07BAF8B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42" w:type="dxa"/>
            <w:vAlign w:val="bottom"/>
          </w:tcPr>
          <w:p w14:paraId="2FDBDD0B" w14:textId="0545624A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20" w:type="dxa"/>
            <w:vAlign w:val="bottom"/>
          </w:tcPr>
          <w:p w14:paraId="1F1A715B" w14:textId="767204E0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897" w:type="dxa"/>
            <w:vAlign w:val="bottom"/>
          </w:tcPr>
          <w:p w14:paraId="547B7524" w14:textId="0A2FD16B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7BF6ABC6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6E0C0CBE" w14:textId="304A632B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Navarra</w:t>
            </w:r>
          </w:p>
        </w:tc>
        <w:tc>
          <w:tcPr>
            <w:tcW w:w="2059" w:type="dxa"/>
            <w:vAlign w:val="bottom"/>
          </w:tcPr>
          <w:p w14:paraId="5F51D4ED" w14:textId="767B13C8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8,4%</w:t>
            </w:r>
          </w:p>
        </w:tc>
        <w:tc>
          <w:tcPr>
            <w:tcW w:w="1842" w:type="dxa"/>
            <w:vAlign w:val="bottom"/>
          </w:tcPr>
          <w:p w14:paraId="5C17EDD0" w14:textId="6B7F29E0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20" w:type="dxa"/>
            <w:vAlign w:val="bottom"/>
          </w:tcPr>
          <w:p w14:paraId="16B001B9" w14:textId="42260F4E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897" w:type="dxa"/>
            <w:vAlign w:val="bottom"/>
          </w:tcPr>
          <w:p w14:paraId="793EDECF" w14:textId="51D3147E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- 0,0 </w:t>
            </w:r>
          </w:p>
        </w:tc>
      </w:tr>
      <w:tr w:rsidR="003349B3" w:rsidRPr="0073774C" w14:paraId="40B90D72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4128BF72" w14:textId="7D660134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Cáceres</w:t>
            </w:r>
          </w:p>
        </w:tc>
        <w:tc>
          <w:tcPr>
            <w:tcW w:w="2059" w:type="dxa"/>
            <w:vAlign w:val="bottom"/>
          </w:tcPr>
          <w:p w14:paraId="53453D46" w14:textId="29C60861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51D601D8" w14:textId="7D528D59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20" w:type="dxa"/>
            <w:vAlign w:val="bottom"/>
          </w:tcPr>
          <w:p w14:paraId="6B774D85" w14:textId="6674971E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897" w:type="dxa"/>
            <w:vAlign w:val="bottom"/>
          </w:tcPr>
          <w:p w14:paraId="5AE5E618" w14:textId="372BCA8A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- 0,1 </w:t>
            </w:r>
          </w:p>
        </w:tc>
      </w:tr>
      <w:tr w:rsidR="003349B3" w:rsidRPr="0073774C" w14:paraId="3E9460C7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1645A961" w14:textId="0B320B6E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059" w:type="dxa"/>
            <w:vAlign w:val="bottom"/>
          </w:tcPr>
          <w:p w14:paraId="097FB559" w14:textId="4CE7DBE1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42" w:type="dxa"/>
            <w:vAlign w:val="bottom"/>
          </w:tcPr>
          <w:p w14:paraId="2FE48603" w14:textId="75EB12DD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Align w:val="bottom"/>
          </w:tcPr>
          <w:p w14:paraId="1C07FFEA" w14:textId="6094B329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897" w:type="dxa"/>
            <w:vAlign w:val="bottom"/>
          </w:tcPr>
          <w:p w14:paraId="79F1714C" w14:textId="6D31E8E3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5,0 </w:t>
            </w:r>
          </w:p>
        </w:tc>
      </w:tr>
      <w:tr w:rsidR="003349B3" w:rsidRPr="0073774C" w14:paraId="251E6E3B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D5188FC" w14:textId="3DA7D301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 Coruña</w:t>
            </w:r>
          </w:p>
        </w:tc>
        <w:tc>
          <w:tcPr>
            <w:tcW w:w="2059" w:type="dxa"/>
            <w:vAlign w:val="bottom"/>
          </w:tcPr>
          <w:p w14:paraId="1C010B75" w14:textId="21F0F1CE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1842" w:type="dxa"/>
            <w:vAlign w:val="bottom"/>
          </w:tcPr>
          <w:p w14:paraId="2F08036B" w14:textId="4A879CA7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20" w:type="dxa"/>
            <w:vAlign w:val="bottom"/>
          </w:tcPr>
          <w:p w14:paraId="6BC05FBF" w14:textId="20886937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897" w:type="dxa"/>
            <w:vAlign w:val="bottom"/>
          </w:tcPr>
          <w:p w14:paraId="4E260F1B" w14:textId="28F94BD2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- 0,2 </w:t>
            </w:r>
          </w:p>
        </w:tc>
      </w:tr>
      <w:tr w:rsidR="003349B3" w:rsidRPr="0073774C" w14:paraId="7AE6972C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1D84BD65" w14:textId="1711C1D2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Lugo</w:t>
            </w:r>
          </w:p>
        </w:tc>
        <w:tc>
          <w:tcPr>
            <w:tcW w:w="2059" w:type="dxa"/>
            <w:vAlign w:val="bottom"/>
          </w:tcPr>
          <w:p w14:paraId="0E61FFCA" w14:textId="7EDE703B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4E63BE73" w14:textId="159946DC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520" w:type="dxa"/>
            <w:vAlign w:val="bottom"/>
          </w:tcPr>
          <w:p w14:paraId="56D7E814" w14:textId="1D82288B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897" w:type="dxa"/>
            <w:vAlign w:val="bottom"/>
          </w:tcPr>
          <w:p w14:paraId="33EF3590" w14:textId="0DAA580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- 0,6 </w:t>
            </w:r>
          </w:p>
        </w:tc>
      </w:tr>
      <w:tr w:rsidR="003349B3" w:rsidRPr="0073774C" w14:paraId="648AA0A4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B426639" w14:textId="3ED78674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Córdoba</w:t>
            </w:r>
          </w:p>
        </w:tc>
        <w:tc>
          <w:tcPr>
            <w:tcW w:w="2059" w:type="dxa"/>
            <w:vAlign w:val="bottom"/>
          </w:tcPr>
          <w:p w14:paraId="3E3BAAB3" w14:textId="29B79116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842" w:type="dxa"/>
            <w:vAlign w:val="bottom"/>
          </w:tcPr>
          <w:p w14:paraId="5F24FE4A" w14:textId="4B966879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1520" w:type="dxa"/>
            <w:vAlign w:val="bottom"/>
          </w:tcPr>
          <w:p w14:paraId="7B047C1C" w14:textId="0B886689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897" w:type="dxa"/>
            <w:vAlign w:val="bottom"/>
          </w:tcPr>
          <w:p w14:paraId="761A2858" w14:textId="42A6ACA9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42D716B1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541AA57" w14:textId="629FE223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Badajoz</w:t>
            </w:r>
          </w:p>
        </w:tc>
        <w:tc>
          <w:tcPr>
            <w:tcW w:w="2059" w:type="dxa"/>
            <w:vAlign w:val="bottom"/>
          </w:tcPr>
          <w:p w14:paraId="1BA24A83" w14:textId="56700C01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42" w:type="dxa"/>
            <w:vAlign w:val="bottom"/>
          </w:tcPr>
          <w:p w14:paraId="0B1F6E6D" w14:textId="6ABC64DE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520" w:type="dxa"/>
            <w:vAlign w:val="bottom"/>
          </w:tcPr>
          <w:p w14:paraId="233284F6" w14:textId="55072094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897" w:type="dxa"/>
            <w:vAlign w:val="bottom"/>
          </w:tcPr>
          <w:p w14:paraId="64238CA2" w14:textId="10D4A353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777D6504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08E5719" w14:textId="3939B127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Pontevedra</w:t>
            </w:r>
          </w:p>
        </w:tc>
        <w:tc>
          <w:tcPr>
            <w:tcW w:w="2059" w:type="dxa"/>
            <w:vAlign w:val="bottom"/>
          </w:tcPr>
          <w:p w14:paraId="7E4338C5" w14:textId="028F3874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842" w:type="dxa"/>
            <w:vAlign w:val="bottom"/>
          </w:tcPr>
          <w:p w14:paraId="485370DD" w14:textId="7123AD48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520" w:type="dxa"/>
            <w:vAlign w:val="bottom"/>
          </w:tcPr>
          <w:p w14:paraId="3427BF52" w14:textId="34E4E6BB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897" w:type="dxa"/>
            <w:vAlign w:val="bottom"/>
          </w:tcPr>
          <w:p w14:paraId="73E37145" w14:textId="27F7D560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6A397EF4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20993B86" w14:textId="4BF204C3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Burgos</w:t>
            </w:r>
          </w:p>
        </w:tc>
        <w:tc>
          <w:tcPr>
            <w:tcW w:w="2059" w:type="dxa"/>
            <w:vAlign w:val="bottom"/>
          </w:tcPr>
          <w:p w14:paraId="5679494B" w14:textId="40375068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842" w:type="dxa"/>
            <w:vAlign w:val="bottom"/>
          </w:tcPr>
          <w:p w14:paraId="41969BFC" w14:textId="1FE9577F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520" w:type="dxa"/>
            <w:vAlign w:val="bottom"/>
          </w:tcPr>
          <w:p w14:paraId="780611CF" w14:textId="6761FC44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897" w:type="dxa"/>
            <w:vAlign w:val="bottom"/>
          </w:tcPr>
          <w:p w14:paraId="1BE63986" w14:textId="68751BF2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0,3 </w:t>
            </w:r>
          </w:p>
        </w:tc>
      </w:tr>
      <w:tr w:rsidR="003349B3" w:rsidRPr="0073774C" w14:paraId="30DAC4DC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3AC8361A" w14:textId="00D2A15F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Valladolid</w:t>
            </w:r>
          </w:p>
        </w:tc>
        <w:tc>
          <w:tcPr>
            <w:tcW w:w="2059" w:type="dxa"/>
            <w:vAlign w:val="bottom"/>
          </w:tcPr>
          <w:p w14:paraId="6DA4864D" w14:textId="67863360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842" w:type="dxa"/>
            <w:vAlign w:val="bottom"/>
          </w:tcPr>
          <w:p w14:paraId="55F112D3" w14:textId="68788F76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520" w:type="dxa"/>
            <w:vAlign w:val="bottom"/>
          </w:tcPr>
          <w:p w14:paraId="12B2C537" w14:textId="382BCF19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897" w:type="dxa"/>
            <w:vAlign w:val="bottom"/>
          </w:tcPr>
          <w:p w14:paraId="6F4478CA" w14:textId="47AA094E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0,0 </w:t>
            </w:r>
          </w:p>
        </w:tc>
      </w:tr>
      <w:tr w:rsidR="003349B3" w:rsidRPr="0073774C" w14:paraId="0BD11BD5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3BEFFEA" w14:textId="38CFB64A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Granada</w:t>
            </w:r>
          </w:p>
        </w:tc>
        <w:tc>
          <w:tcPr>
            <w:tcW w:w="2059" w:type="dxa"/>
            <w:vAlign w:val="bottom"/>
          </w:tcPr>
          <w:p w14:paraId="19F49D61" w14:textId="1D886D09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842" w:type="dxa"/>
            <w:vAlign w:val="bottom"/>
          </w:tcPr>
          <w:p w14:paraId="76CAEBE4" w14:textId="44CFB1F3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1520" w:type="dxa"/>
            <w:vAlign w:val="bottom"/>
          </w:tcPr>
          <w:p w14:paraId="17E14099" w14:textId="37F63BC3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897" w:type="dxa"/>
            <w:vAlign w:val="bottom"/>
          </w:tcPr>
          <w:p w14:paraId="3777D91E" w14:textId="7407E40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  <w:tr w:rsidR="003349B3" w:rsidRPr="0073774C" w14:paraId="45DA0AEF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0257C3D" w14:textId="402962C1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Salamanca</w:t>
            </w:r>
          </w:p>
        </w:tc>
        <w:tc>
          <w:tcPr>
            <w:tcW w:w="2059" w:type="dxa"/>
            <w:vAlign w:val="bottom"/>
          </w:tcPr>
          <w:p w14:paraId="1D62D2D5" w14:textId="0517BE4A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842" w:type="dxa"/>
            <w:vAlign w:val="bottom"/>
          </w:tcPr>
          <w:p w14:paraId="63A97A91" w14:textId="42B3B5F5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20" w:type="dxa"/>
            <w:vAlign w:val="bottom"/>
          </w:tcPr>
          <w:p w14:paraId="0D7E5F8E" w14:textId="6E5F9C1A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4,0%</w:t>
            </w:r>
          </w:p>
        </w:tc>
        <w:tc>
          <w:tcPr>
            <w:tcW w:w="1897" w:type="dxa"/>
            <w:vAlign w:val="bottom"/>
          </w:tcPr>
          <w:p w14:paraId="44247645" w14:textId="16421685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 xml:space="preserve">- 1,1 </w:t>
            </w:r>
          </w:p>
        </w:tc>
      </w:tr>
      <w:tr w:rsidR="003349B3" w:rsidRPr="0073774C" w14:paraId="3BBD9E9B" w14:textId="77777777" w:rsidTr="000B026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8E252CE" w14:textId="3A45905D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Jaén</w:t>
            </w:r>
          </w:p>
        </w:tc>
        <w:tc>
          <w:tcPr>
            <w:tcW w:w="2059" w:type="dxa"/>
            <w:vAlign w:val="bottom"/>
          </w:tcPr>
          <w:p w14:paraId="52212C94" w14:textId="0066A2DE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01E4586D" w14:textId="431CD7C8" w:rsidR="003349B3" w:rsidRPr="00B5723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1520" w:type="dxa"/>
            <w:vAlign w:val="bottom"/>
          </w:tcPr>
          <w:p w14:paraId="150D3BA0" w14:textId="3731D5BA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3,9%</w:t>
            </w:r>
          </w:p>
        </w:tc>
        <w:tc>
          <w:tcPr>
            <w:tcW w:w="1897" w:type="dxa"/>
            <w:vAlign w:val="bottom"/>
          </w:tcPr>
          <w:p w14:paraId="37B5279E" w14:textId="0FB38056" w:rsidR="003349B3" w:rsidRPr="002310BE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63EBA7F0" w14:textId="77777777" w:rsidTr="00C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747A81B6" w14:textId="77427C36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Palencia</w:t>
            </w:r>
          </w:p>
        </w:tc>
        <w:tc>
          <w:tcPr>
            <w:tcW w:w="2059" w:type="dxa"/>
            <w:vAlign w:val="bottom"/>
          </w:tcPr>
          <w:p w14:paraId="7A7CFFCD" w14:textId="744F26C0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7BF1160F" w14:textId="45D7BFF2" w:rsidR="003349B3" w:rsidRPr="00B5723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3,5%</w:t>
            </w:r>
          </w:p>
        </w:tc>
        <w:tc>
          <w:tcPr>
            <w:tcW w:w="1520" w:type="dxa"/>
            <w:vAlign w:val="bottom"/>
          </w:tcPr>
          <w:p w14:paraId="0E6FD2B2" w14:textId="647DEBE1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1897" w:type="dxa"/>
            <w:vAlign w:val="bottom"/>
          </w:tcPr>
          <w:p w14:paraId="72F2B3E1" w14:textId="1AF26CBC" w:rsidR="003349B3" w:rsidRPr="002310BE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0,4 </w:t>
            </w:r>
          </w:p>
        </w:tc>
      </w:tr>
      <w:tr w:rsidR="003349B3" w:rsidRPr="0073774C" w14:paraId="6894AA00" w14:textId="77777777" w:rsidTr="00C154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55DE6173" w14:textId="4EA050D0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Araba - Álava</w:t>
            </w:r>
          </w:p>
        </w:tc>
        <w:tc>
          <w:tcPr>
            <w:tcW w:w="2059" w:type="dxa"/>
            <w:vAlign w:val="bottom"/>
          </w:tcPr>
          <w:p w14:paraId="4F4D63ED" w14:textId="42A8B026" w:rsid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842" w:type="dxa"/>
            <w:vAlign w:val="bottom"/>
          </w:tcPr>
          <w:p w14:paraId="66FF4B32" w14:textId="63F16313" w:rsid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1520" w:type="dxa"/>
            <w:vAlign w:val="bottom"/>
          </w:tcPr>
          <w:p w14:paraId="6AF49DAB" w14:textId="526A92BA" w:rsidR="003349B3" w:rsidRP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1897" w:type="dxa"/>
            <w:vAlign w:val="bottom"/>
          </w:tcPr>
          <w:p w14:paraId="4551A786" w14:textId="556729BB" w:rsidR="003349B3" w:rsidRDefault="003349B3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0,1 </w:t>
            </w:r>
          </w:p>
        </w:tc>
      </w:tr>
      <w:tr w:rsidR="003349B3" w:rsidRPr="0073774C" w14:paraId="23003837" w14:textId="77777777" w:rsidTr="00C15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vAlign w:val="bottom"/>
          </w:tcPr>
          <w:p w14:paraId="2A4AB88A" w14:textId="4B5C2FDB" w:rsidR="003349B3" w:rsidRPr="003349B3" w:rsidRDefault="003349B3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Ourense</w:t>
            </w:r>
          </w:p>
        </w:tc>
        <w:tc>
          <w:tcPr>
            <w:tcW w:w="2059" w:type="dxa"/>
            <w:vAlign w:val="bottom"/>
          </w:tcPr>
          <w:p w14:paraId="0F964740" w14:textId="58C92CF2" w:rsid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3,6%</w:t>
            </w:r>
          </w:p>
        </w:tc>
        <w:tc>
          <w:tcPr>
            <w:tcW w:w="1842" w:type="dxa"/>
            <w:vAlign w:val="bottom"/>
          </w:tcPr>
          <w:p w14:paraId="13380FCF" w14:textId="5676CA82" w:rsid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3,5%</w:t>
            </w:r>
          </w:p>
        </w:tc>
        <w:tc>
          <w:tcPr>
            <w:tcW w:w="1520" w:type="dxa"/>
            <w:vAlign w:val="bottom"/>
          </w:tcPr>
          <w:p w14:paraId="68C33C75" w14:textId="0F79915A" w:rsidR="003349B3" w:rsidRP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3349B3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1897" w:type="dxa"/>
            <w:vAlign w:val="bottom"/>
          </w:tcPr>
          <w:p w14:paraId="24F3408D" w14:textId="6AD242B1" w:rsidR="003349B3" w:rsidRDefault="003349B3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0,2 </w:t>
            </w:r>
          </w:p>
        </w:tc>
      </w:tr>
    </w:tbl>
    <w:p w14:paraId="6C6E088E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</w:p>
    <w:p w14:paraId="5EC0C03E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</w:p>
    <w:p w14:paraId="2E91B596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</w:p>
    <w:p w14:paraId="63FC0936" w14:textId="77777777" w:rsidR="009006FC" w:rsidRDefault="009006FC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</w:p>
    <w:p w14:paraId="259A216C" w14:textId="26F01901" w:rsidR="00717982" w:rsidRPr="007E5768" w:rsidRDefault="00B629FA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  <w:r w:rsidRPr="007E5768">
        <w:rPr>
          <w:rFonts w:ascii="Open Sans Light" w:hAnsi="Open Sans Light" w:cs="Open Sans Light"/>
          <w:b/>
          <w:iCs/>
          <w:color w:val="303AB2"/>
        </w:rPr>
        <w:lastRenderedPageBreak/>
        <w:t xml:space="preserve">Tabla </w:t>
      </w:r>
      <w:r w:rsidR="0074620F">
        <w:rPr>
          <w:rFonts w:ascii="Open Sans Light" w:hAnsi="Open Sans Light" w:cs="Open Sans Light"/>
          <w:b/>
          <w:iCs/>
          <w:color w:val="303AB2"/>
        </w:rPr>
        <w:t>3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. Rentabilidad </w:t>
      </w:r>
      <w:r w:rsidR="008F3954">
        <w:rPr>
          <w:rFonts w:ascii="Open Sans Light" w:hAnsi="Open Sans Light" w:cs="Open Sans Light"/>
          <w:b/>
          <w:iCs/>
          <w:color w:val="303AB2"/>
        </w:rPr>
        <w:t>de los garajes</w:t>
      </w:r>
      <w:r w:rsidR="000B6B0A">
        <w:rPr>
          <w:rFonts w:ascii="Open Sans Light" w:hAnsi="Open Sans Light" w:cs="Open Sans Light"/>
          <w:b/>
          <w:iCs/>
          <w:color w:val="303AB2"/>
        </w:rPr>
        <w:t xml:space="preserve"> por</w:t>
      </w:r>
      <w:r>
        <w:rPr>
          <w:rFonts w:ascii="Open Sans Light" w:hAnsi="Open Sans Light" w:cs="Open Sans Light"/>
          <w:b/>
          <w:iCs/>
          <w:color w:val="303AB2"/>
        </w:rPr>
        <w:t xml:space="preserve"> ciudades </w:t>
      </w:r>
      <w:r w:rsidRPr="007E5768">
        <w:rPr>
          <w:rFonts w:ascii="Open Sans Light" w:hAnsi="Open Sans Light" w:cs="Open Sans Light"/>
          <w:b/>
          <w:iCs/>
          <w:color w:val="303AB2"/>
        </w:rPr>
        <w:t>(</w:t>
      </w:r>
      <w:r w:rsidR="002531A0" w:rsidRPr="007E5768">
        <w:rPr>
          <w:rFonts w:ascii="Open Sans Light" w:hAnsi="Open Sans Light" w:cs="Open Sans Light"/>
          <w:b/>
          <w:iCs/>
          <w:color w:val="303AB2"/>
        </w:rPr>
        <w:t xml:space="preserve">comparativa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2020,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24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y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25</w:t>
      </w:r>
      <w:r w:rsidR="00717982" w:rsidRPr="007E5768">
        <w:rPr>
          <w:rFonts w:ascii="Open Sans Light" w:hAnsi="Open Sans Light" w:cs="Open Sans Light"/>
          <w:b/>
          <w:iCs/>
          <w:color w:val="303AB2"/>
        </w:rPr>
        <w:t>)</w:t>
      </w:r>
    </w:p>
    <w:tbl>
      <w:tblPr>
        <w:tblStyle w:val="Tabladecuadrcula5oscura-nfasis11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592"/>
        <w:gridCol w:w="1557"/>
        <w:gridCol w:w="1804"/>
        <w:gridCol w:w="1559"/>
      </w:tblGrid>
      <w:tr w:rsidR="00BB7C77" w:rsidRPr="00C03147" w14:paraId="7044B733" w14:textId="77777777" w:rsidTr="00BB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66CC9C0" w14:textId="0C24C15D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  <w:t>Provincia</w:t>
            </w:r>
          </w:p>
        </w:tc>
        <w:tc>
          <w:tcPr>
            <w:tcW w:w="2592" w:type="dxa"/>
            <w:vAlign w:val="center"/>
          </w:tcPr>
          <w:p w14:paraId="2098B6AE" w14:textId="13DF99F9" w:rsidR="00BB7C77" w:rsidRPr="00426D33" w:rsidRDefault="00BB7C77" w:rsidP="00403601">
            <w:pPr>
              <w:pStyle w:val="Listavistosa-nfasis1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26D33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  <w:t>Municipio</w:t>
            </w:r>
          </w:p>
        </w:tc>
        <w:tc>
          <w:tcPr>
            <w:tcW w:w="1557" w:type="dxa"/>
            <w:vAlign w:val="center"/>
          </w:tcPr>
          <w:p w14:paraId="15D5257F" w14:textId="77777777" w:rsidR="00BB7C77" w:rsidRPr="003349B3" w:rsidRDefault="00BB7C7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2020</w:t>
            </w:r>
          </w:p>
          <w:p w14:paraId="4462B7FA" w14:textId="2D0C3BD3" w:rsidR="00BB7C77" w:rsidRPr="00426D33" w:rsidRDefault="00BB7C7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(5 años)</w:t>
            </w:r>
          </w:p>
        </w:tc>
        <w:tc>
          <w:tcPr>
            <w:tcW w:w="1804" w:type="dxa"/>
            <w:vAlign w:val="center"/>
          </w:tcPr>
          <w:p w14:paraId="7D4C74F2" w14:textId="77777777" w:rsidR="00BB7C77" w:rsidRPr="003349B3" w:rsidRDefault="00BB7C7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2024</w:t>
            </w:r>
          </w:p>
          <w:p w14:paraId="5D839BF7" w14:textId="792F5BD3" w:rsidR="00BB7C77" w:rsidRPr="00426D33" w:rsidRDefault="00BB7C77" w:rsidP="00403601">
            <w:pPr>
              <w:pStyle w:val="Tex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(1 año)</w:t>
            </w:r>
          </w:p>
        </w:tc>
        <w:tc>
          <w:tcPr>
            <w:tcW w:w="1559" w:type="dxa"/>
            <w:vAlign w:val="center"/>
          </w:tcPr>
          <w:p w14:paraId="1B347C4F" w14:textId="77777777" w:rsidR="00BB7C77" w:rsidRPr="00BB7C77" w:rsidRDefault="00BB7C7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</w:p>
          <w:p w14:paraId="201C1455" w14:textId="47919CB2" w:rsidR="00BB7C77" w:rsidRPr="00BB7C77" w:rsidRDefault="00BB7C7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2025</w:t>
            </w:r>
          </w:p>
        </w:tc>
      </w:tr>
      <w:tr w:rsidR="00BB7C77" w:rsidRPr="00C03147" w14:paraId="3026052E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C609FE2" w14:textId="7E03D63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41E26BA8" w14:textId="743EFC36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Alcorcón</w:t>
            </w:r>
          </w:p>
        </w:tc>
        <w:tc>
          <w:tcPr>
            <w:tcW w:w="1557" w:type="dxa"/>
            <w:vAlign w:val="bottom"/>
          </w:tcPr>
          <w:p w14:paraId="2648DB9B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41D9F66" w14:textId="0AD4B3B2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559" w:type="dxa"/>
            <w:vAlign w:val="bottom"/>
          </w:tcPr>
          <w:p w14:paraId="0F7900F2" w14:textId="1CFE7D52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9,2%</w:t>
            </w:r>
          </w:p>
        </w:tc>
      </w:tr>
      <w:tr w:rsidR="00BB7C77" w:rsidRPr="00C03147" w14:paraId="66678D9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DA17134" w14:textId="2F5E8ED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92" w:type="dxa"/>
            <w:vAlign w:val="bottom"/>
          </w:tcPr>
          <w:p w14:paraId="7580BA45" w14:textId="599AA53F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Roquetas de Mar</w:t>
            </w:r>
          </w:p>
        </w:tc>
        <w:tc>
          <w:tcPr>
            <w:tcW w:w="1557" w:type="dxa"/>
            <w:vAlign w:val="bottom"/>
          </w:tcPr>
          <w:p w14:paraId="6676D5DC" w14:textId="77777777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7F74F3B" w14:textId="6A1A7B7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11,2%</w:t>
            </w:r>
          </w:p>
        </w:tc>
        <w:tc>
          <w:tcPr>
            <w:tcW w:w="1559" w:type="dxa"/>
            <w:vAlign w:val="bottom"/>
          </w:tcPr>
          <w:p w14:paraId="65A7835E" w14:textId="14FF8BC7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9,0%</w:t>
            </w:r>
          </w:p>
        </w:tc>
      </w:tr>
      <w:tr w:rsidR="00BB7C77" w:rsidRPr="00C03147" w14:paraId="5632B46A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DAF5E34" w14:textId="1CC2453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3BBDB8E6" w14:textId="63E72FD1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Alcobendas</w:t>
            </w:r>
          </w:p>
        </w:tc>
        <w:tc>
          <w:tcPr>
            <w:tcW w:w="1557" w:type="dxa"/>
            <w:vAlign w:val="bottom"/>
          </w:tcPr>
          <w:p w14:paraId="786B1862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F9356B8" w14:textId="2AA21B53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1559" w:type="dxa"/>
            <w:vAlign w:val="bottom"/>
          </w:tcPr>
          <w:p w14:paraId="1272B912" w14:textId="27FF0450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8,7%</w:t>
            </w:r>
          </w:p>
        </w:tc>
      </w:tr>
      <w:tr w:rsidR="00BB7C77" w:rsidRPr="00C03147" w14:paraId="6A45DFFF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2402E48" w14:textId="37224C0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Ávila</w:t>
            </w:r>
          </w:p>
        </w:tc>
        <w:tc>
          <w:tcPr>
            <w:tcW w:w="2592" w:type="dxa"/>
            <w:vAlign w:val="bottom"/>
          </w:tcPr>
          <w:p w14:paraId="233C6FF4" w14:textId="39CB7FFC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Ávila Capital</w:t>
            </w:r>
          </w:p>
        </w:tc>
        <w:tc>
          <w:tcPr>
            <w:tcW w:w="1557" w:type="dxa"/>
            <w:vAlign w:val="bottom"/>
          </w:tcPr>
          <w:p w14:paraId="609F976A" w14:textId="77777777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6580AB0D" w14:textId="7D553DA3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1559" w:type="dxa"/>
            <w:vAlign w:val="bottom"/>
          </w:tcPr>
          <w:p w14:paraId="142F00FF" w14:textId="4A2A887B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8,7%</w:t>
            </w:r>
          </w:p>
        </w:tc>
      </w:tr>
      <w:tr w:rsidR="00BB7C77" w:rsidRPr="00C03147" w14:paraId="1E448A1E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5AF1DAB" w14:textId="4EF9BF69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Castellón</w:t>
            </w:r>
          </w:p>
        </w:tc>
        <w:tc>
          <w:tcPr>
            <w:tcW w:w="2592" w:type="dxa"/>
            <w:vAlign w:val="bottom"/>
          </w:tcPr>
          <w:p w14:paraId="7A11EF67" w14:textId="5E310951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Castellón de la Plana / Castelló de la Plana</w:t>
            </w:r>
          </w:p>
        </w:tc>
        <w:tc>
          <w:tcPr>
            <w:tcW w:w="1557" w:type="dxa"/>
            <w:vAlign w:val="bottom"/>
          </w:tcPr>
          <w:p w14:paraId="1D1A2ACC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FE888A3" w14:textId="5CC2B0A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1559" w:type="dxa"/>
            <w:vAlign w:val="bottom"/>
          </w:tcPr>
          <w:p w14:paraId="66CE955A" w14:textId="34009618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8,5%</w:t>
            </w:r>
          </w:p>
        </w:tc>
      </w:tr>
      <w:tr w:rsidR="00BB7C77" w:rsidRPr="00C03147" w14:paraId="43E92AEE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673745E" w14:textId="1A3F510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Murcia</w:t>
            </w:r>
          </w:p>
        </w:tc>
        <w:tc>
          <w:tcPr>
            <w:tcW w:w="2592" w:type="dxa"/>
            <w:vAlign w:val="bottom"/>
          </w:tcPr>
          <w:p w14:paraId="56442153" w14:textId="0A1442E7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Murcia Capital</w:t>
            </w:r>
          </w:p>
        </w:tc>
        <w:tc>
          <w:tcPr>
            <w:tcW w:w="1557" w:type="dxa"/>
            <w:vAlign w:val="bottom"/>
          </w:tcPr>
          <w:p w14:paraId="0EBF4B91" w14:textId="158AE7DE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9,7%</w:t>
            </w:r>
          </w:p>
        </w:tc>
        <w:tc>
          <w:tcPr>
            <w:tcW w:w="1804" w:type="dxa"/>
            <w:vAlign w:val="bottom"/>
          </w:tcPr>
          <w:p w14:paraId="5BC2A80E" w14:textId="0CEDFEA0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1559" w:type="dxa"/>
            <w:vAlign w:val="bottom"/>
          </w:tcPr>
          <w:p w14:paraId="55B60BA2" w14:textId="214E04D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8,5%</w:t>
            </w:r>
          </w:p>
        </w:tc>
      </w:tr>
      <w:tr w:rsidR="00BB7C77" w:rsidRPr="00C03147" w14:paraId="35015B7B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320C792" w14:textId="465744BA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7B952771" w14:textId="1CF45EE0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El Campello</w:t>
            </w:r>
          </w:p>
        </w:tc>
        <w:tc>
          <w:tcPr>
            <w:tcW w:w="1557" w:type="dxa"/>
            <w:vAlign w:val="bottom"/>
          </w:tcPr>
          <w:p w14:paraId="24172079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64596B4" w14:textId="491C4EDF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1559" w:type="dxa"/>
            <w:vAlign w:val="bottom"/>
          </w:tcPr>
          <w:p w14:paraId="56B33B93" w14:textId="5E0AA5A4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8,3%</w:t>
            </w:r>
          </w:p>
        </w:tc>
      </w:tr>
      <w:tr w:rsidR="00BB7C77" w:rsidRPr="00C03147" w14:paraId="2084D579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01F58CD" w14:textId="65E87FE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1D9E5F28" w14:textId="237FBA87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Leganés</w:t>
            </w:r>
          </w:p>
        </w:tc>
        <w:tc>
          <w:tcPr>
            <w:tcW w:w="1557" w:type="dxa"/>
            <w:vAlign w:val="bottom"/>
          </w:tcPr>
          <w:p w14:paraId="5FB53B39" w14:textId="59815C3E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804" w:type="dxa"/>
            <w:vAlign w:val="bottom"/>
          </w:tcPr>
          <w:p w14:paraId="46ADF4AA" w14:textId="52BCA44B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1559" w:type="dxa"/>
            <w:vAlign w:val="bottom"/>
          </w:tcPr>
          <w:p w14:paraId="1A8FFA5F" w14:textId="29F7AF0F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8,1%</w:t>
            </w:r>
          </w:p>
        </w:tc>
      </w:tr>
      <w:tr w:rsidR="00BB7C77" w:rsidRPr="00C03147" w14:paraId="1BEBB21D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2FE36F6" w14:textId="76239F5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92" w:type="dxa"/>
            <w:vAlign w:val="bottom"/>
          </w:tcPr>
          <w:p w14:paraId="0D8F3118" w14:textId="4FA3AAD6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El Ejido</w:t>
            </w:r>
          </w:p>
        </w:tc>
        <w:tc>
          <w:tcPr>
            <w:tcW w:w="1557" w:type="dxa"/>
            <w:vAlign w:val="bottom"/>
          </w:tcPr>
          <w:p w14:paraId="495B2243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83E3530" w14:textId="1E0395D0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1559" w:type="dxa"/>
            <w:vAlign w:val="bottom"/>
          </w:tcPr>
          <w:p w14:paraId="158B4BE8" w14:textId="0A970B5B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7,8%</w:t>
            </w:r>
          </w:p>
        </w:tc>
      </w:tr>
      <w:tr w:rsidR="00BB7C77" w:rsidRPr="00C03147" w14:paraId="261BD77D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C1CCA2B" w14:textId="54DDA77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Toledo</w:t>
            </w:r>
          </w:p>
        </w:tc>
        <w:tc>
          <w:tcPr>
            <w:tcW w:w="2592" w:type="dxa"/>
            <w:vAlign w:val="bottom"/>
          </w:tcPr>
          <w:p w14:paraId="37849FF9" w14:textId="566D4968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Talavera de la Reina</w:t>
            </w:r>
          </w:p>
        </w:tc>
        <w:tc>
          <w:tcPr>
            <w:tcW w:w="1557" w:type="dxa"/>
            <w:vAlign w:val="bottom"/>
          </w:tcPr>
          <w:p w14:paraId="75F9F0D1" w14:textId="77777777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0986835" w14:textId="5F9B5DC6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1559" w:type="dxa"/>
            <w:vAlign w:val="bottom"/>
          </w:tcPr>
          <w:p w14:paraId="41E26A7B" w14:textId="66696C37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7,8%</w:t>
            </w:r>
          </w:p>
        </w:tc>
      </w:tr>
      <w:tr w:rsidR="00BB7C77" w:rsidRPr="00C03147" w14:paraId="25BA8A0E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52691FB" w14:textId="39A5ECD4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03BB0D2C" w14:textId="2D7B56E3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Torrevieja</w:t>
            </w:r>
          </w:p>
        </w:tc>
        <w:tc>
          <w:tcPr>
            <w:tcW w:w="1557" w:type="dxa"/>
            <w:vAlign w:val="bottom"/>
          </w:tcPr>
          <w:p w14:paraId="39F5134C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9F21AF0" w14:textId="75695A69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1559" w:type="dxa"/>
            <w:vAlign w:val="bottom"/>
          </w:tcPr>
          <w:p w14:paraId="280011E0" w14:textId="65BE6594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7,4%</w:t>
            </w:r>
          </w:p>
        </w:tc>
      </w:tr>
      <w:tr w:rsidR="00BB7C77" w:rsidRPr="00C03147" w14:paraId="24126D32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04F0019" w14:textId="6FC0FC1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71C37DB8" w14:textId="5993A59E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Terrassa</w:t>
            </w:r>
          </w:p>
        </w:tc>
        <w:tc>
          <w:tcPr>
            <w:tcW w:w="1557" w:type="dxa"/>
            <w:vAlign w:val="bottom"/>
          </w:tcPr>
          <w:p w14:paraId="73BAF65A" w14:textId="77777777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6689C252" w14:textId="544BCD49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559" w:type="dxa"/>
            <w:vAlign w:val="bottom"/>
          </w:tcPr>
          <w:p w14:paraId="4DF0A5B8" w14:textId="7B0F4049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7,0%</w:t>
            </w:r>
          </w:p>
        </w:tc>
      </w:tr>
      <w:tr w:rsidR="00BB7C77" w:rsidRPr="00C03147" w14:paraId="43747E0D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1F3D979" w14:textId="10457F2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92" w:type="dxa"/>
            <w:vAlign w:val="bottom"/>
          </w:tcPr>
          <w:p w14:paraId="32EAEDA5" w14:textId="552B01EF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Benalmádena</w:t>
            </w:r>
          </w:p>
        </w:tc>
        <w:tc>
          <w:tcPr>
            <w:tcW w:w="1557" w:type="dxa"/>
            <w:vAlign w:val="bottom"/>
          </w:tcPr>
          <w:p w14:paraId="79ABA1FD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87258F3" w14:textId="13221766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559" w:type="dxa"/>
            <w:vAlign w:val="bottom"/>
          </w:tcPr>
          <w:p w14:paraId="65CB4DCC" w14:textId="1DE866AB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6,7%</w:t>
            </w:r>
          </w:p>
        </w:tc>
      </w:tr>
      <w:tr w:rsidR="00BB7C77" w:rsidRPr="00C03147" w14:paraId="7AA28775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714849F" w14:textId="6DF60BB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930C80B" w14:textId="132C0F7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L'Hospitalet de Llobregat</w:t>
            </w:r>
          </w:p>
        </w:tc>
        <w:tc>
          <w:tcPr>
            <w:tcW w:w="1557" w:type="dxa"/>
            <w:vAlign w:val="bottom"/>
          </w:tcPr>
          <w:p w14:paraId="7F770045" w14:textId="77B773F4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804" w:type="dxa"/>
            <w:vAlign w:val="bottom"/>
          </w:tcPr>
          <w:p w14:paraId="135252B3" w14:textId="53E83C91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59" w:type="dxa"/>
            <w:vAlign w:val="bottom"/>
          </w:tcPr>
          <w:p w14:paraId="583B6BC7" w14:textId="0F687A4B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6,7%</w:t>
            </w:r>
          </w:p>
        </w:tc>
      </w:tr>
      <w:tr w:rsidR="00BB7C77" w:rsidRPr="00C03147" w14:paraId="0F104E85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8338F5C" w14:textId="1C59697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7D0FA000" w14:textId="2D2F1CDF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 Sebastián de los Reyes</w:t>
            </w:r>
          </w:p>
        </w:tc>
        <w:tc>
          <w:tcPr>
            <w:tcW w:w="1557" w:type="dxa"/>
            <w:vAlign w:val="bottom"/>
          </w:tcPr>
          <w:p w14:paraId="5B7A0933" w14:textId="77777777" w:rsidR="00BB7C77" w:rsidRPr="000954B9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3BFC443" w14:textId="36284D23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8,4%</w:t>
            </w:r>
          </w:p>
        </w:tc>
        <w:tc>
          <w:tcPr>
            <w:tcW w:w="1559" w:type="dxa"/>
            <w:vAlign w:val="bottom"/>
          </w:tcPr>
          <w:p w14:paraId="1ED93D45" w14:textId="432412E7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6,6%</w:t>
            </w:r>
          </w:p>
        </w:tc>
      </w:tr>
      <w:tr w:rsidR="00BB7C77" w:rsidRPr="00C03147" w14:paraId="71FA88A0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FA0FE9B" w14:textId="0373646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Lleida</w:t>
            </w:r>
          </w:p>
        </w:tc>
        <w:tc>
          <w:tcPr>
            <w:tcW w:w="2592" w:type="dxa"/>
            <w:vAlign w:val="bottom"/>
          </w:tcPr>
          <w:p w14:paraId="5E548CA6" w14:textId="7CE00255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Lleida Capital</w:t>
            </w:r>
          </w:p>
        </w:tc>
        <w:tc>
          <w:tcPr>
            <w:tcW w:w="1557" w:type="dxa"/>
            <w:vAlign w:val="bottom"/>
          </w:tcPr>
          <w:p w14:paraId="6CA49E62" w14:textId="77777777" w:rsidR="00BB7C77" w:rsidRPr="000954B9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25D0CE4" w14:textId="59F603EE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59" w:type="dxa"/>
            <w:vAlign w:val="bottom"/>
          </w:tcPr>
          <w:p w14:paraId="46C440E6" w14:textId="4E019D6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6,6%</w:t>
            </w:r>
          </w:p>
        </w:tc>
      </w:tr>
      <w:tr w:rsidR="00BB7C77" w:rsidRPr="00C03147" w14:paraId="3015C662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C0AB258" w14:textId="2FCABE4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Sevilla</w:t>
            </w:r>
          </w:p>
        </w:tc>
        <w:tc>
          <w:tcPr>
            <w:tcW w:w="2592" w:type="dxa"/>
            <w:vAlign w:val="bottom"/>
          </w:tcPr>
          <w:p w14:paraId="4168CFFB" w14:textId="603E8E3F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Sevilla Capital</w:t>
            </w:r>
          </w:p>
        </w:tc>
        <w:tc>
          <w:tcPr>
            <w:tcW w:w="1557" w:type="dxa"/>
            <w:vAlign w:val="bottom"/>
          </w:tcPr>
          <w:p w14:paraId="6CFFAD51" w14:textId="33E5EA45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804" w:type="dxa"/>
            <w:vAlign w:val="bottom"/>
          </w:tcPr>
          <w:p w14:paraId="27A8F42A" w14:textId="76D7A1E4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1559" w:type="dxa"/>
            <w:vAlign w:val="bottom"/>
          </w:tcPr>
          <w:p w14:paraId="17ABACED" w14:textId="196FC73E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6,5%</w:t>
            </w:r>
          </w:p>
        </w:tc>
      </w:tr>
      <w:tr w:rsidR="00BB7C77" w:rsidRPr="00C03147" w14:paraId="1C90685F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E685F9D" w14:textId="73B26B6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528E4DA" w14:textId="29EA0882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Manresa</w:t>
            </w:r>
          </w:p>
        </w:tc>
        <w:tc>
          <w:tcPr>
            <w:tcW w:w="1557" w:type="dxa"/>
            <w:vAlign w:val="bottom"/>
          </w:tcPr>
          <w:p w14:paraId="5CE0385D" w14:textId="703B574F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0DF3854" w14:textId="76CEDF10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59" w:type="dxa"/>
            <w:vAlign w:val="bottom"/>
          </w:tcPr>
          <w:p w14:paraId="2E80C19D" w14:textId="1B610112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6,5%</w:t>
            </w:r>
          </w:p>
        </w:tc>
      </w:tr>
      <w:tr w:rsidR="00BB7C77" w:rsidRPr="00C03147" w14:paraId="4BEA8732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B00D129" w14:textId="6A4E2FC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Guadalajara</w:t>
            </w:r>
          </w:p>
        </w:tc>
        <w:tc>
          <w:tcPr>
            <w:tcW w:w="2592" w:type="dxa"/>
            <w:vAlign w:val="bottom"/>
          </w:tcPr>
          <w:p w14:paraId="19650B22" w14:textId="06FE16F2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Guadalajara Capital</w:t>
            </w:r>
          </w:p>
        </w:tc>
        <w:tc>
          <w:tcPr>
            <w:tcW w:w="1557" w:type="dxa"/>
            <w:vAlign w:val="bottom"/>
          </w:tcPr>
          <w:p w14:paraId="5468C6EE" w14:textId="150C3DFD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804" w:type="dxa"/>
            <w:vAlign w:val="bottom"/>
          </w:tcPr>
          <w:p w14:paraId="52A47F69" w14:textId="15A1F0E9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559" w:type="dxa"/>
            <w:vAlign w:val="bottom"/>
          </w:tcPr>
          <w:p w14:paraId="0BB8CF04" w14:textId="29EA6D1F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6,4%</w:t>
            </w:r>
          </w:p>
        </w:tc>
      </w:tr>
      <w:tr w:rsidR="00BB7C77" w:rsidRPr="00C03147" w14:paraId="540CBFC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F517296" w14:textId="3E1BF13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Cantabria</w:t>
            </w:r>
          </w:p>
        </w:tc>
        <w:tc>
          <w:tcPr>
            <w:tcW w:w="2592" w:type="dxa"/>
            <w:vAlign w:val="bottom"/>
          </w:tcPr>
          <w:p w14:paraId="72A5D422" w14:textId="2F0CD31C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Santander</w:t>
            </w:r>
          </w:p>
        </w:tc>
        <w:tc>
          <w:tcPr>
            <w:tcW w:w="1557" w:type="dxa"/>
            <w:vAlign w:val="bottom"/>
          </w:tcPr>
          <w:p w14:paraId="5EC80F11" w14:textId="2169075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BF6DC9D" w14:textId="29A63FEE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559" w:type="dxa"/>
            <w:vAlign w:val="bottom"/>
          </w:tcPr>
          <w:p w14:paraId="087A39EC" w14:textId="1D9A8655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6,4%</w:t>
            </w:r>
          </w:p>
        </w:tc>
      </w:tr>
      <w:tr w:rsidR="00BB7C77" w:rsidRPr="00C03147" w14:paraId="6B33B63C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825A26A" w14:textId="493C212C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Toledo</w:t>
            </w:r>
          </w:p>
        </w:tc>
        <w:tc>
          <w:tcPr>
            <w:tcW w:w="2592" w:type="dxa"/>
            <w:vAlign w:val="bottom"/>
          </w:tcPr>
          <w:p w14:paraId="26D478AD" w14:textId="599DAEEA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Toledo Capital</w:t>
            </w:r>
          </w:p>
        </w:tc>
        <w:tc>
          <w:tcPr>
            <w:tcW w:w="1557" w:type="dxa"/>
            <w:vAlign w:val="bottom"/>
          </w:tcPr>
          <w:p w14:paraId="40265938" w14:textId="4C202A1E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A39810E" w14:textId="5F89822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59" w:type="dxa"/>
            <w:vAlign w:val="bottom"/>
          </w:tcPr>
          <w:p w14:paraId="2B18A30B" w14:textId="4447C8E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6,4%</w:t>
            </w:r>
          </w:p>
        </w:tc>
      </w:tr>
      <w:tr w:rsidR="00BB7C77" w:rsidRPr="00C03147" w14:paraId="623A5097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9E30273" w14:textId="33B6F26C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54E1C9EC" w14:textId="7D59D068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Getafe</w:t>
            </w:r>
          </w:p>
        </w:tc>
        <w:tc>
          <w:tcPr>
            <w:tcW w:w="1557" w:type="dxa"/>
            <w:vAlign w:val="bottom"/>
          </w:tcPr>
          <w:p w14:paraId="750C3BE5" w14:textId="10F3EB91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162C63C" w14:textId="4B0DCCCC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59" w:type="dxa"/>
            <w:vAlign w:val="bottom"/>
          </w:tcPr>
          <w:p w14:paraId="755BEA59" w14:textId="3ECB759F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6,4%</w:t>
            </w:r>
          </w:p>
        </w:tc>
      </w:tr>
      <w:tr w:rsidR="00BB7C77" w:rsidRPr="00C03147" w14:paraId="2870B029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2329F39" w14:textId="1CE6A4F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B133CE7" w14:textId="1B76FF68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 Cugat del Vallès</w:t>
            </w:r>
          </w:p>
        </w:tc>
        <w:tc>
          <w:tcPr>
            <w:tcW w:w="1557" w:type="dxa"/>
            <w:vAlign w:val="bottom"/>
          </w:tcPr>
          <w:p w14:paraId="4C1432AC" w14:textId="1E6C1F05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DE8D8A3" w14:textId="44DCCC8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559" w:type="dxa"/>
            <w:vAlign w:val="bottom"/>
          </w:tcPr>
          <w:p w14:paraId="28CBAB20" w14:textId="2AF753A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6,3%</w:t>
            </w:r>
          </w:p>
        </w:tc>
      </w:tr>
      <w:tr w:rsidR="00BB7C77" w:rsidRPr="00C03147" w14:paraId="5CC4F67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622DDF4" w14:textId="55F80E3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02A990F1" w14:textId="24C9407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Vilanova i la Geltrú</w:t>
            </w:r>
          </w:p>
        </w:tc>
        <w:tc>
          <w:tcPr>
            <w:tcW w:w="1557" w:type="dxa"/>
            <w:vAlign w:val="bottom"/>
          </w:tcPr>
          <w:p w14:paraId="3E2A22FA" w14:textId="6D51D50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18C97DA" w14:textId="3575061C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59" w:type="dxa"/>
            <w:vAlign w:val="bottom"/>
          </w:tcPr>
          <w:p w14:paraId="39AA7E88" w14:textId="4E6DACBF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6,3%</w:t>
            </w:r>
          </w:p>
        </w:tc>
      </w:tr>
      <w:tr w:rsidR="00BB7C77" w:rsidRPr="00C03147" w14:paraId="6A224127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B2FB22F" w14:textId="1F76C279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3FD37A15" w14:textId="2BA301C0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Badalona</w:t>
            </w:r>
          </w:p>
        </w:tc>
        <w:tc>
          <w:tcPr>
            <w:tcW w:w="1557" w:type="dxa"/>
            <w:vAlign w:val="bottom"/>
          </w:tcPr>
          <w:p w14:paraId="2EFF5CA2" w14:textId="6088FED1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5918700" w14:textId="79E3DB6A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559" w:type="dxa"/>
            <w:vAlign w:val="bottom"/>
          </w:tcPr>
          <w:p w14:paraId="0AF4BDCE" w14:textId="0F7A9F5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6,3%</w:t>
            </w:r>
          </w:p>
        </w:tc>
      </w:tr>
      <w:tr w:rsidR="00BB7C77" w:rsidRPr="00C03147" w14:paraId="6A3E5F1A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F2A73A6" w14:textId="00DFBB2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5AA37228" w14:textId="2B5B47D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Granollers</w:t>
            </w:r>
          </w:p>
        </w:tc>
        <w:tc>
          <w:tcPr>
            <w:tcW w:w="1557" w:type="dxa"/>
            <w:vAlign w:val="bottom"/>
          </w:tcPr>
          <w:p w14:paraId="4B5F53FA" w14:textId="6E405FE4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32589CB" w14:textId="6F8025D8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559" w:type="dxa"/>
            <w:vAlign w:val="bottom"/>
          </w:tcPr>
          <w:p w14:paraId="722400C4" w14:textId="78CBA7EC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6,3%</w:t>
            </w:r>
          </w:p>
        </w:tc>
      </w:tr>
      <w:tr w:rsidR="00BB7C77" w:rsidRPr="00C03147" w14:paraId="0D22BC19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5D36B0B" w14:textId="7890B88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4ABE75D6" w14:textId="144DB5F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Sabadell</w:t>
            </w:r>
          </w:p>
        </w:tc>
        <w:tc>
          <w:tcPr>
            <w:tcW w:w="1557" w:type="dxa"/>
            <w:vAlign w:val="bottom"/>
          </w:tcPr>
          <w:p w14:paraId="07BB81DD" w14:textId="70BF7F2D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804" w:type="dxa"/>
            <w:vAlign w:val="bottom"/>
          </w:tcPr>
          <w:p w14:paraId="3F71BD13" w14:textId="05E7E3D6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559" w:type="dxa"/>
            <w:vAlign w:val="bottom"/>
          </w:tcPr>
          <w:p w14:paraId="096F47D0" w14:textId="51088FFB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</w:tr>
      <w:tr w:rsidR="00BB7C77" w:rsidRPr="00C03147" w14:paraId="4C18A872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896D424" w14:textId="57BC0CC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D552061" w14:textId="2224EAAB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Barcelona Capital</w:t>
            </w:r>
          </w:p>
        </w:tc>
        <w:tc>
          <w:tcPr>
            <w:tcW w:w="1557" w:type="dxa"/>
            <w:vAlign w:val="bottom"/>
          </w:tcPr>
          <w:p w14:paraId="65C7DEA9" w14:textId="1FBC52CC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804" w:type="dxa"/>
            <w:vAlign w:val="bottom"/>
          </w:tcPr>
          <w:p w14:paraId="3FB5E6CA" w14:textId="0AA49AF5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559" w:type="dxa"/>
            <w:vAlign w:val="bottom"/>
          </w:tcPr>
          <w:p w14:paraId="4063B4B7" w14:textId="1839724F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</w:tr>
      <w:tr w:rsidR="00BB7C77" w:rsidRPr="00C03147" w14:paraId="74374621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90300B1" w14:textId="52780E34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333E79FE" w14:textId="59008DEE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Cornellà de Llobregat</w:t>
            </w:r>
          </w:p>
        </w:tc>
        <w:tc>
          <w:tcPr>
            <w:tcW w:w="1557" w:type="dxa"/>
            <w:vAlign w:val="bottom"/>
          </w:tcPr>
          <w:p w14:paraId="7EDACA21" w14:textId="6EE2F17A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A89516B" w14:textId="00F7994C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559" w:type="dxa"/>
            <w:vAlign w:val="bottom"/>
          </w:tcPr>
          <w:p w14:paraId="71055268" w14:textId="39EA4CEF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</w:tr>
      <w:tr w:rsidR="00BB7C77" w:rsidRPr="00C03147" w14:paraId="699A8FBF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78A64FD" w14:textId="2BD804A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63510145" w14:textId="6F21161A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Esplugues de Llobregat</w:t>
            </w:r>
          </w:p>
        </w:tc>
        <w:tc>
          <w:tcPr>
            <w:tcW w:w="1557" w:type="dxa"/>
            <w:vAlign w:val="bottom"/>
          </w:tcPr>
          <w:p w14:paraId="35AA9938" w14:textId="5DD0E607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804" w:type="dxa"/>
            <w:vAlign w:val="bottom"/>
          </w:tcPr>
          <w:p w14:paraId="6CC4DB6C" w14:textId="01266B57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559" w:type="dxa"/>
            <w:vAlign w:val="bottom"/>
          </w:tcPr>
          <w:p w14:paraId="5722B585" w14:textId="5DD76C5A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6,2%</w:t>
            </w:r>
          </w:p>
        </w:tc>
      </w:tr>
      <w:tr w:rsidR="00BB7C77" w:rsidRPr="00C03147" w14:paraId="7C44FABE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98989D2" w14:textId="0862C15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5C792BA8" w14:textId="6CD5E19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 Joan Despí</w:t>
            </w:r>
          </w:p>
        </w:tc>
        <w:tc>
          <w:tcPr>
            <w:tcW w:w="1557" w:type="dxa"/>
            <w:vAlign w:val="bottom"/>
          </w:tcPr>
          <w:p w14:paraId="2F8CBB3A" w14:textId="2C64B17B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4F768D3" w14:textId="59CA944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559" w:type="dxa"/>
            <w:vAlign w:val="bottom"/>
          </w:tcPr>
          <w:p w14:paraId="627D4ECD" w14:textId="748082F0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6,1%</w:t>
            </w:r>
          </w:p>
        </w:tc>
      </w:tr>
      <w:tr w:rsidR="00BB7C77" w:rsidRPr="00C03147" w14:paraId="06216E01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D5436EB" w14:textId="171D52A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22CBC4CB" w14:textId="0221D6A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Torrejón de Ardoz</w:t>
            </w:r>
          </w:p>
        </w:tc>
        <w:tc>
          <w:tcPr>
            <w:tcW w:w="1557" w:type="dxa"/>
            <w:vAlign w:val="bottom"/>
          </w:tcPr>
          <w:p w14:paraId="7E49571D" w14:textId="012C2A33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E9FFCA7" w14:textId="553552C2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559" w:type="dxa"/>
            <w:vAlign w:val="bottom"/>
          </w:tcPr>
          <w:p w14:paraId="3AAC7C18" w14:textId="247CA64E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6,1%</w:t>
            </w:r>
          </w:p>
        </w:tc>
      </w:tr>
      <w:tr w:rsidR="00BB7C77" w:rsidRPr="00C03147" w14:paraId="6F4DB213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B85C234" w14:textId="4DC1C92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65781450" w14:textId="4E7EC600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 Boi de Llobregat</w:t>
            </w:r>
          </w:p>
        </w:tc>
        <w:tc>
          <w:tcPr>
            <w:tcW w:w="1557" w:type="dxa"/>
            <w:vAlign w:val="bottom"/>
          </w:tcPr>
          <w:p w14:paraId="4AB02F95" w14:textId="5D04CD16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641E3DE5" w14:textId="5C194963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559" w:type="dxa"/>
            <w:vAlign w:val="bottom"/>
          </w:tcPr>
          <w:p w14:paraId="77396111" w14:textId="036663D4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6,1%</w:t>
            </w:r>
          </w:p>
        </w:tc>
      </w:tr>
      <w:tr w:rsidR="00BB7C77" w:rsidRPr="00C03147" w14:paraId="29DAEA0E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2B56822" w14:textId="4A0D5D0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5468A31D" w14:textId="0BEDCD91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Madrid Capital</w:t>
            </w:r>
          </w:p>
        </w:tc>
        <w:tc>
          <w:tcPr>
            <w:tcW w:w="1557" w:type="dxa"/>
            <w:vAlign w:val="bottom"/>
          </w:tcPr>
          <w:p w14:paraId="4D46634E" w14:textId="34529DC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04" w:type="dxa"/>
            <w:vAlign w:val="bottom"/>
          </w:tcPr>
          <w:p w14:paraId="205C8406" w14:textId="096CD6A6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559" w:type="dxa"/>
            <w:vAlign w:val="bottom"/>
          </w:tcPr>
          <w:p w14:paraId="1841A81C" w14:textId="78DB3762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5,8%</w:t>
            </w:r>
          </w:p>
        </w:tc>
      </w:tr>
      <w:tr w:rsidR="00BB7C77" w:rsidRPr="00C03147" w14:paraId="4EA5160B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E51D12F" w14:textId="75AC812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33D2D776" w14:textId="61FBD641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Coslada</w:t>
            </w:r>
          </w:p>
        </w:tc>
        <w:tc>
          <w:tcPr>
            <w:tcW w:w="1557" w:type="dxa"/>
            <w:vAlign w:val="bottom"/>
          </w:tcPr>
          <w:p w14:paraId="3AA0861C" w14:textId="0CE895E7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B45BB83" w14:textId="05915720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59" w:type="dxa"/>
            <w:vAlign w:val="bottom"/>
          </w:tcPr>
          <w:p w14:paraId="7D37542C" w14:textId="1E75EAEE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</w:tr>
      <w:tr w:rsidR="00BB7C77" w:rsidRPr="00C03147" w14:paraId="418A7F2D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E4B79CA" w14:textId="576C9BA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lastRenderedPageBreak/>
              <w:t>Santa Cruz de Tenerife</w:t>
            </w:r>
          </w:p>
        </w:tc>
        <w:tc>
          <w:tcPr>
            <w:tcW w:w="2592" w:type="dxa"/>
            <w:vAlign w:val="bottom"/>
          </w:tcPr>
          <w:p w14:paraId="208C1366" w14:textId="0C03007E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Santa Cruz de Tenerife Capital</w:t>
            </w:r>
          </w:p>
        </w:tc>
        <w:tc>
          <w:tcPr>
            <w:tcW w:w="1557" w:type="dxa"/>
            <w:vAlign w:val="bottom"/>
          </w:tcPr>
          <w:p w14:paraId="38D101CD" w14:textId="3ABBAB45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804" w:type="dxa"/>
            <w:vAlign w:val="bottom"/>
          </w:tcPr>
          <w:p w14:paraId="453EF5D5" w14:textId="22DB8E63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559" w:type="dxa"/>
            <w:vAlign w:val="bottom"/>
          </w:tcPr>
          <w:p w14:paraId="1B69B67C" w14:textId="758CE29D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</w:tr>
      <w:tr w:rsidR="00BB7C77" w:rsidRPr="00C03147" w14:paraId="45857EA1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93DA9CD" w14:textId="4B6485C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4DA8101D" w14:textId="7B222C56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 Joan d'Alacant</w:t>
            </w:r>
          </w:p>
        </w:tc>
        <w:tc>
          <w:tcPr>
            <w:tcW w:w="1557" w:type="dxa"/>
            <w:vAlign w:val="bottom"/>
          </w:tcPr>
          <w:p w14:paraId="437EFF14" w14:textId="38DE8D9B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A0C743C" w14:textId="7B20AF4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559" w:type="dxa"/>
            <w:vAlign w:val="bottom"/>
          </w:tcPr>
          <w:p w14:paraId="4AD4170F" w14:textId="59C56219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</w:tr>
      <w:tr w:rsidR="00BB7C77" w:rsidRPr="00C03147" w14:paraId="1FF918CA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D57BAB6" w14:textId="05C77E5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592" w:type="dxa"/>
            <w:vAlign w:val="bottom"/>
          </w:tcPr>
          <w:p w14:paraId="19A291E4" w14:textId="18B53317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Gijón</w:t>
            </w:r>
          </w:p>
        </w:tc>
        <w:tc>
          <w:tcPr>
            <w:tcW w:w="1557" w:type="dxa"/>
            <w:vAlign w:val="bottom"/>
          </w:tcPr>
          <w:p w14:paraId="0CC38D08" w14:textId="3CB35B8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804" w:type="dxa"/>
            <w:vAlign w:val="bottom"/>
          </w:tcPr>
          <w:p w14:paraId="45061E09" w14:textId="5DEBF90C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559" w:type="dxa"/>
            <w:vAlign w:val="bottom"/>
          </w:tcPr>
          <w:p w14:paraId="16BB069B" w14:textId="5A9BC8E0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</w:tr>
      <w:tr w:rsidR="00BB7C77" w:rsidRPr="00C03147" w14:paraId="11E908B3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238C4DE" w14:textId="0F3D9B8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92" w:type="dxa"/>
            <w:vAlign w:val="bottom"/>
          </w:tcPr>
          <w:p w14:paraId="46E53710" w14:textId="5A67EFC7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Fuengirola</w:t>
            </w:r>
          </w:p>
        </w:tc>
        <w:tc>
          <w:tcPr>
            <w:tcW w:w="1557" w:type="dxa"/>
            <w:vAlign w:val="bottom"/>
          </w:tcPr>
          <w:p w14:paraId="627E466A" w14:textId="257624F9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160360A" w14:textId="6BF24624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559" w:type="dxa"/>
            <w:vAlign w:val="bottom"/>
          </w:tcPr>
          <w:p w14:paraId="0305D5D5" w14:textId="04BC8222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5,7%</w:t>
            </w:r>
          </w:p>
        </w:tc>
      </w:tr>
      <w:tr w:rsidR="00BB7C77" w:rsidRPr="00C03147" w14:paraId="5AAFCD23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3FF76F9" w14:textId="58B4BB2D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Zaragoza</w:t>
            </w:r>
          </w:p>
        </w:tc>
        <w:tc>
          <w:tcPr>
            <w:tcW w:w="2592" w:type="dxa"/>
            <w:vAlign w:val="bottom"/>
          </w:tcPr>
          <w:p w14:paraId="6A8404EC" w14:textId="73A9833E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Zaragoza Capital</w:t>
            </w:r>
          </w:p>
        </w:tc>
        <w:tc>
          <w:tcPr>
            <w:tcW w:w="1557" w:type="dxa"/>
            <w:vAlign w:val="bottom"/>
          </w:tcPr>
          <w:p w14:paraId="65BDC319" w14:textId="7406E71C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804" w:type="dxa"/>
            <w:vAlign w:val="bottom"/>
          </w:tcPr>
          <w:p w14:paraId="3BF28F77" w14:textId="0943D79F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559" w:type="dxa"/>
            <w:vAlign w:val="bottom"/>
          </w:tcPr>
          <w:p w14:paraId="6376ABF5" w14:textId="2A215BCA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5,6%</w:t>
            </w:r>
          </w:p>
        </w:tc>
      </w:tr>
      <w:tr w:rsidR="00BB7C77" w:rsidRPr="00C03147" w14:paraId="3DC9F079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55DB093" w14:textId="73D8B0A4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64BD0B8" w14:textId="4B4DBA79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Vic</w:t>
            </w:r>
          </w:p>
        </w:tc>
        <w:tc>
          <w:tcPr>
            <w:tcW w:w="1557" w:type="dxa"/>
            <w:vAlign w:val="bottom"/>
          </w:tcPr>
          <w:p w14:paraId="7592EA19" w14:textId="5CCB14D2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02BB752" w14:textId="44C4B3B1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559" w:type="dxa"/>
            <w:vAlign w:val="bottom"/>
          </w:tcPr>
          <w:p w14:paraId="4824908B" w14:textId="167687E3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5,6%</w:t>
            </w:r>
          </w:p>
        </w:tc>
      </w:tr>
      <w:tr w:rsidR="00BB7C77" w:rsidRPr="00C03147" w14:paraId="0BE1E213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71B32D8" w14:textId="58B9A94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92" w:type="dxa"/>
            <w:vAlign w:val="bottom"/>
          </w:tcPr>
          <w:p w14:paraId="397A36A0" w14:textId="1DF48F1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Tarragona Capital</w:t>
            </w:r>
          </w:p>
        </w:tc>
        <w:tc>
          <w:tcPr>
            <w:tcW w:w="1557" w:type="dxa"/>
            <w:vAlign w:val="bottom"/>
          </w:tcPr>
          <w:p w14:paraId="208E6DC5" w14:textId="4AF407DB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804" w:type="dxa"/>
            <w:vAlign w:val="bottom"/>
          </w:tcPr>
          <w:p w14:paraId="1315E9A6" w14:textId="7F6C269E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559" w:type="dxa"/>
            <w:vAlign w:val="bottom"/>
          </w:tcPr>
          <w:p w14:paraId="4AB138EE" w14:textId="26D1D80E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5,6%</w:t>
            </w:r>
          </w:p>
        </w:tc>
      </w:tr>
      <w:tr w:rsidR="00BB7C77" w:rsidRPr="00C03147" w14:paraId="21FDF1F5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3AA9DAF" w14:textId="05F1D1F1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 Coruña</w:t>
            </w:r>
          </w:p>
        </w:tc>
        <w:tc>
          <w:tcPr>
            <w:tcW w:w="2592" w:type="dxa"/>
            <w:vAlign w:val="bottom"/>
          </w:tcPr>
          <w:p w14:paraId="737037E9" w14:textId="5EA6056F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 Coruña Capital</w:t>
            </w:r>
          </w:p>
        </w:tc>
        <w:tc>
          <w:tcPr>
            <w:tcW w:w="1557" w:type="dxa"/>
            <w:vAlign w:val="bottom"/>
          </w:tcPr>
          <w:p w14:paraId="331DD0DE" w14:textId="36911A19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804" w:type="dxa"/>
            <w:vAlign w:val="bottom"/>
          </w:tcPr>
          <w:p w14:paraId="19E2ABCB" w14:textId="4473D694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559" w:type="dxa"/>
            <w:vAlign w:val="bottom"/>
          </w:tcPr>
          <w:p w14:paraId="27E547BD" w14:textId="198209D8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5,5%</w:t>
            </w:r>
          </w:p>
        </w:tc>
      </w:tr>
      <w:tr w:rsidR="00BB7C77" w:rsidRPr="00C03147" w14:paraId="583B882F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63804BE" w14:textId="74A8F9F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4E1AC477" w14:textId="2F50394B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Mataró</w:t>
            </w:r>
          </w:p>
        </w:tc>
        <w:tc>
          <w:tcPr>
            <w:tcW w:w="1557" w:type="dxa"/>
            <w:vAlign w:val="bottom"/>
          </w:tcPr>
          <w:p w14:paraId="73EFE218" w14:textId="2CC05A65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4C19CE4" w14:textId="623E81DA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559" w:type="dxa"/>
            <w:vAlign w:val="bottom"/>
          </w:tcPr>
          <w:p w14:paraId="22ACBF81" w14:textId="447D5B3E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5,5%</w:t>
            </w:r>
          </w:p>
        </w:tc>
      </w:tr>
      <w:tr w:rsidR="00BB7C77" w:rsidRPr="00C03147" w14:paraId="49DD8F5B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EE4687C" w14:textId="6D381A91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Valencia</w:t>
            </w:r>
          </w:p>
        </w:tc>
        <w:tc>
          <w:tcPr>
            <w:tcW w:w="2592" w:type="dxa"/>
            <w:vAlign w:val="bottom"/>
          </w:tcPr>
          <w:p w14:paraId="1B894F17" w14:textId="2F2836C3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Mislata</w:t>
            </w:r>
          </w:p>
        </w:tc>
        <w:tc>
          <w:tcPr>
            <w:tcW w:w="1557" w:type="dxa"/>
            <w:vAlign w:val="bottom"/>
          </w:tcPr>
          <w:p w14:paraId="7DABEA83" w14:textId="182230BE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7509688" w14:textId="185D0FB9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1559" w:type="dxa"/>
            <w:vAlign w:val="bottom"/>
          </w:tcPr>
          <w:p w14:paraId="79ABAB75" w14:textId="0112F674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5,4%</w:t>
            </w:r>
          </w:p>
        </w:tc>
      </w:tr>
      <w:tr w:rsidR="00BB7C77" w:rsidRPr="00C03147" w14:paraId="27390C8A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3D1669B" w14:textId="36780CCF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Girona</w:t>
            </w:r>
          </w:p>
        </w:tc>
        <w:tc>
          <w:tcPr>
            <w:tcW w:w="2592" w:type="dxa"/>
            <w:vAlign w:val="bottom"/>
          </w:tcPr>
          <w:p w14:paraId="235A2C44" w14:textId="5569A97C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Girona Capital</w:t>
            </w:r>
          </w:p>
        </w:tc>
        <w:tc>
          <w:tcPr>
            <w:tcW w:w="1557" w:type="dxa"/>
            <w:vAlign w:val="bottom"/>
          </w:tcPr>
          <w:p w14:paraId="5560EC04" w14:textId="4EF8F754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804" w:type="dxa"/>
            <w:vAlign w:val="bottom"/>
          </w:tcPr>
          <w:p w14:paraId="024B41F4" w14:textId="53097104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559" w:type="dxa"/>
            <w:vAlign w:val="bottom"/>
          </w:tcPr>
          <w:p w14:paraId="1C2DE1B8" w14:textId="6659C0A2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5A4B8A87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2A2D98E" w14:textId="4C31F46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4C810B1B" w14:textId="62AD66E7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Ripollet</w:t>
            </w:r>
          </w:p>
        </w:tc>
        <w:tc>
          <w:tcPr>
            <w:tcW w:w="1557" w:type="dxa"/>
            <w:vAlign w:val="bottom"/>
          </w:tcPr>
          <w:p w14:paraId="0D93E194" w14:textId="1C3FFBBE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D41AB47" w14:textId="4738F760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59" w:type="dxa"/>
            <w:vAlign w:val="bottom"/>
          </w:tcPr>
          <w:p w14:paraId="5B54ABB1" w14:textId="4351AA69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283ED86C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F0E4618" w14:textId="23A425B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Huelva</w:t>
            </w:r>
          </w:p>
        </w:tc>
        <w:tc>
          <w:tcPr>
            <w:tcW w:w="2592" w:type="dxa"/>
            <w:vAlign w:val="bottom"/>
          </w:tcPr>
          <w:p w14:paraId="01A3D386" w14:textId="0E9162CF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Huelva Capital</w:t>
            </w:r>
          </w:p>
        </w:tc>
        <w:tc>
          <w:tcPr>
            <w:tcW w:w="1557" w:type="dxa"/>
            <w:vAlign w:val="bottom"/>
          </w:tcPr>
          <w:p w14:paraId="04F67621" w14:textId="2F034E1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E1E772C" w14:textId="6C1F142A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559" w:type="dxa"/>
            <w:vAlign w:val="bottom"/>
          </w:tcPr>
          <w:p w14:paraId="71CEDE9B" w14:textId="0D067ABA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14159744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E01614F" w14:textId="5A880C24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Cádiz</w:t>
            </w:r>
          </w:p>
        </w:tc>
        <w:tc>
          <w:tcPr>
            <w:tcW w:w="2592" w:type="dxa"/>
            <w:vAlign w:val="bottom"/>
          </w:tcPr>
          <w:p w14:paraId="65FEBE68" w14:textId="1FB1FB0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Jerez de la Frontera</w:t>
            </w:r>
          </w:p>
        </w:tc>
        <w:tc>
          <w:tcPr>
            <w:tcW w:w="1557" w:type="dxa"/>
            <w:vAlign w:val="bottom"/>
          </w:tcPr>
          <w:p w14:paraId="78DB8A26" w14:textId="4C9EF9BA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94FC300" w14:textId="518E691E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6,8%</w:t>
            </w:r>
          </w:p>
        </w:tc>
        <w:tc>
          <w:tcPr>
            <w:tcW w:w="1559" w:type="dxa"/>
            <w:vAlign w:val="bottom"/>
          </w:tcPr>
          <w:p w14:paraId="23F89FC2" w14:textId="091D5357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0C73059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B58D19D" w14:textId="2446DA31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592" w:type="dxa"/>
            <w:vAlign w:val="bottom"/>
          </w:tcPr>
          <w:p w14:paraId="396E3992" w14:textId="5F37F490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Bilbao</w:t>
            </w:r>
          </w:p>
        </w:tc>
        <w:tc>
          <w:tcPr>
            <w:tcW w:w="1557" w:type="dxa"/>
            <w:vAlign w:val="bottom"/>
          </w:tcPr>
          <w:p w14:paraId="54A35F18" w14:textId="030C510D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804" w:type="dxa"/>
            <w:vAlign w:val="bottom"/>
          </w:tcPr>
          <w:p w14:paraId="1A83F962" w14:textId="088EB12E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59" w:type="dxa"/>
            <w:vAlign w:val="bottom"/>
          </w:tcPr>
          <w:p w14:paraId="5402DA06" w14:textId="7727B2C3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7C71A30B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3A9B9BC" w14:textId="320967AF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1473944" w14:textId="57EC8CE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Viladecans</w:t>
            </w:r>
          </w:p>
        </w:tc>
        <w:tc>
          <w:tcPr>
            <w:tcW w:w="1557" w:type="dxa"/>
            <w:vAlign w:val="bottom"/>
          </w:tcPr>
          <w:p w14:paraId="746CA29E" w14:textId="4901ECD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6A77B17" w14:textId="1731DEEE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559" w:type="dxa"/>
            <w:vAlign w:val="bottom"/>
          </w:tcPr>
          <w:p w14:paraId="6229E636" w14:textId="56FEED6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6461EB68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E88DFBF" w14:textId="461E769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Gipuzkoa</w:t>
            </w:r>
          </w:p>
        </w:tc>
        <w:tc>
          <w:tcPr>
            <w:tcW w:w="2592" w:type="dxa"/>
            <w:vAlign w:val="bottom"/>
          </w:tcPr>
          <w:p w14:paraId="53FC7AE0" w14:textId="32A78A77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Donostia - San Sebastián</w:t>
            </w:r>
          </w:p>
        </w:tc>
        <w:tc>
          <w:tcPr>
            <w:tcW w:w="1557" w:type="dxa"/>
            <w:vAlign w:val="bottom"/>
          </w:tcPr>
          <w:p w14:paraId="1802D113" w14:textId="1A9CFE5F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804" w:type="dxa"/>
            <w:vAlign w:val="bottom"/>
          </w:tcPr>
          <w:p w14:paraId="3F1B7662" w14:textId="4147C7B4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559" w:type="dxa"/>
            <w:vAlign w:val="bottom"/>
          </w:tcPr>
          <w:p w14:paraId="1B995516" w14:textId="1B73001B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6FF10A83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B90DA63" w14:textId="6CC811CC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Navarra</w:t>
            </w:r>
          </w:p>
        </w:tc>
        <w:tc>
          <w:tcPr>
            <w:tcW w:w="2592" w:type="dxa"/>
            <w:vAlign w:val="bottom"/>
          </w:tcPr>
          <w:p w14:paraId="1F16C722" w14:textId="3E916DEE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Pamplona / Iruña</w:t>
            </w:r>
          </w:p>
        </w:tc>
        <w:tc>
          <w:tcPr>
            <w:tcW w:w="1557" w:type="dxa"/>
            <w:vAlign w:val="bottom"/>
          </w:tcPr>
          <w:p w14:paraId="47E21B8C" w14:textId="63E00203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1804" w:type="dxa"/>
            <w:vAlign w:val="bottom"/>
          </w:tcPr>
          <w:p w14:paraId="4847AC8A" w14:textId="3715372E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559" w:type="dxa"/>
            <w:vAlign w:val="bottom"/>
          </w:tcPr>
          <w:p w14:paraId="00B30C71" w14:textId="4FD6BE23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23091AD7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D2D3E07" w14:textId="7FAA482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92" w:type="dxa"/>
            <w:vAlign w:val="bottom"/>
          </w:tcPr>
          <w:p w14:paraId="1BB149EB" w14:textId="4B7E6093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Torremolinos</w:t>
            </w:r>
          </w:p>
        </w:tc>
        <w:tc>
          <w:tcPr>
            <w:tcW w:w="1557" w:type="dxa"/>
            <w:vAlign w:val="bottom"/>
          </w:tcPr>
          <w:p w14:paraId="7B6D78C3" w14:textId="7C49306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1BEBA1E" w14:textId="7E34D257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559" w:type="dxa"/>
            <w:vAlign w:val="bottom"/>
          </w:tcPr>
          <w:p w14:paraId="7CF6CC50" w14:textId="15999C9A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65458321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F5774A9" w14:textId="58524CE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492346F8" w14:textId="600C3512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Móstoles</w:t>
            </w:r>
          </w:p>
        </w:tc>
        <w:tc>
          <w:tcPr>
            <w:tcW w:w="1557" w:type="dxa"/>
            <w:vAlign w:val="bottom"/>
          </w:tcPr>
          <w:p w14:paraId="69666E2F" w14:textId="411979F1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99DF5F7" w14:textId="7088E52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559" w:type="dxa"/>
            <w:vAlign w:val="bottom"/>
          </w:tcPr>
          <w:p w14:paraId="5BF1C5FE" w14:textId="07B52F0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5,3%</w:t>
            </w:r>
          </w:p>
        </w:tc>
      </w:tr>
      <w:tr w:rsidR="00BB7C77" w:rsidRPr="00C03147" w14:paraId="0760EE9C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6C46B5F" w14:textId="3B7E3784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Illes Balears</w:t>
            </w:r>
          </w:p>
        </w:tc>
        <w:tc>
          <w:tcPr>
            <w:tcW w:w="2592" w:type="dxa"/>
            <w:vAlign w:val="bottom"/>
          </w:tcPr>
          <w:p w14:paraId="2857E1F2" w14:textId="3A9A5530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Palma de Mallorca</w:t>
            </w:r>
          </w:p>
        </w:tc>
        <w:tc>
          <w:tcPr>
            <w:tcW w:w="1557" w:type="dxa"/>
            <w:vAlign w:val="bottom"/>
          </w:tcPr>
          <w:p w14:paraId="4E83D0DD" w14:textId="7E86C51E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804" w:type="dxa"/>
            <w:vAlign w:val="bottom"/>
          </w:tcPr>
          <w:p w14:paraId="31F080DB" w14:textId="5B2E6B20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559" w:type="dxa"/>
            <w:vAlign w:val="bottom"/>
          </w:tcPr>
          <w:p w14:paraId="728C31D7" w14:textId="424B25D3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</w:tr>
      <w:tr w:rsidR="00BB7C77" w:rsidRPr="00C03147" w14:paraId="41184E29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CAE808F" w14:textId="489640FC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 Rioja</w:t>
            </w:r>
          </w:p>
        </w:tc>
        <w:tc>
          <w:tcPr>
            <w:tcW w:w="2592" w:type="dxa"/>
            <w:vAlign w:val="bottom"/>
          </w:tcPr>
          <w:p w14:paraId="3D86B608" w14:textId="2A52B8A8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Logroño</w:t>
            </w:r>
          </w:p>
        </w:tc>
        <w:tc>
          <w:tcPr>
            <w:tcW w:w="1557" w:type="dxa"/>
            <w:vAlign w:val="bottom"/>
          </w:tcPr>
          <w:p w14:paraId="740220B4" w14:textId="57F6D57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0AD8464" w14:textId="58A575FF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559" w:type="dxa"/>
            <w:vAlign w:val="bottom"/>
          </w:tcPr>
          <w:p w14:paraId="6BBCB27D" w14:textId="1DDA010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</w:tr>
      <w:tr w:rsidR="00BB7C77" w:rsidRPr="00C03147" w14:paraId="58359257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C7B5256" w14:textId="2FA779F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92" w:type="dxa"/>
            <w:vAlign w:val="bottom"/>
          </w:tcPr>
          <w:p w14:paraId="0212861C" w14:textId="34FE6975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Salou</w:t>
            </w:r>
          </w:p>
        </w:tc>
        <w:tc>
          <w:tcPr>
            <w:tcW w:w="1557" w:type="dxa"/>
            <w:vAlign w:val="bottom"/>
          </w:tcPr>
          <w:p w14:paraId="1BAFA3FC" w14:textId="4F66DEA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C32BCC9" w14:textId="66E5DC45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559" w:type="dxa"/>
            <w:vAlign w:val="bottom"/>
          </w:tcPr>
          <w:p w14:paraId="01814B62" w14:textId="0AFCE445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</w:tr>
      <w:tr w:rsidR="00BB7C77" w:rsidRPr="00C03147" w14:paraId="003F3339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A3C061A" w14:textId="3EDB024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92" w:type="dxa"/>
            <w:vAlign w:val="bottom"/>
          </w:tcPr>
          <w:p w14:paraId="0BC2C101" w14:textId="10EDB08B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Marbella</w:t>
            </w:r>
          </w:p>
        </w:tc>
        <w:tc>
          <w:tcPr>
            <w:tcW w:w="1557" w:type="dxa"/>
            <w:vAlign w:val="bottom"/>
          </w:tcPr>
          <w:p w14:paraId="4973079F" w14:textId="22CDD4E1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CF84ACF" w14:textId="55FE8B1D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559" w:type="dxa"/>
            <w:vAlign w:val="bottom"/>
          </w:tcPr>
          <w:p w14:paraId="3C5ABE31" w14:textId="26C46494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</w:tr>
      <w:tr w:rsidR="00BB7C77" w:rsidRPr="00C03147" w14:paraId="23C28F28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39CC7E2" w14:textId="07A2C9F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Murcia</w:t>
            </w:r>
          </w:p>
        </w:tc>
        <w:tc>
          <w:tcPr>
            <w:tcW w:w="2592" w:type="dxa"/>
            <w:vAlign w:val="bottom"/>
          </w:tcPr>
          <w:p w14:paraId="00ACE919" w14:textId="2A457979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Cartagena</w:t>
            </w:r>
          </w:p>
        </w:tc>
        <w:tc>
          <w:tcPr>
            <w:tcW w:w="1557" w:type="dxa"/>
            <w:vAlign w:val="bottom"/>
          </w:tcPr>
          <w:p w14:paraId="04770436" w14:textId="575358C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64E94405" w14:textId="721A30BA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59" w:type="dxa"/>
            <w:vAlign w:val="bottom"/>
          </w:tcPr>
          <w:p w14:paraId="63E35862" w14:textId="423D7D5E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5,2%</w:t>
            </w:r>
          </w:p>
        </w:tc>
      </w:tr>
      <w:tr w:rsidR="00BB7C77" w:rsidRPr="00C03147" w14:paraId="7A87D88B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9FAA60E" w14:textId="50D490AD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1FC14D97" w14:textId="1131D474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Elche / Elx</w:t>
            </w:r>
          </w:p>
        </w:tc>
        <w:tc>
          <w:tcPr>
            <w:tcW w:w="1557" w:type="dxa"/>
            <w:vAlign w:val="bottom"/>
          </w:tcPr>
          <w:p w14:paraId="55CA5FEA" w14:textId="4BFF68DF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FCE677A" w14:textId="2E16E557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559" w:type="dxa"/>
            <w:vAlign w:val="bottom"/>
          </w:tcPr>
          <w:p w14:paraId="3C649A7F" w14:textId="3BEC1A7A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5,1%</w:t>
            </w:r>
          </w:p>
        </w:tc>
      </w:tr>
      <w:tr w:rsidR="00BB7C77" w:rsidRPr="00C03147" w14:paraId="32C67C7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88B479A" w14:textId="644BF79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92" w:type="dxa"/>
            <w:vAlign w:val="bottom"/>
          </w:tcPr>
          <w:p w14:paraId="2246C992" w14:textId="0370184C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Reus</w:t>
            </w:r>
          </w:p>
        </w:tc>
        <w:tc>
          <w:tcPr>
            <w:tcW w:w="1557" w:type="dxa"/>
            <w:vAlign w:val="bottom"/>
          </w:tcPr>
          <w:p w14:paraId="10AFABBA" w14:textId="54B069B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1804" w:type="dxa"/>
            <w:vAlign w:val="bottom"/>
          </w:tcPr>
          <w:p w14:paraId="3E5BAF33" w14:textId="6C9D608C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559" w:type="dxa"/>
            <w:vAlign w:val="bottom"/>
          </w:tcPr>
          <w:p w14:paraId="5E5D0CF2" w14:textId="14E0F730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</w:tr>
      <w:tr w:rsidR="00BB7C77" w:rsidRPr="00C03147" w14:paraId="4051C1A7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3A12E22" w14:textId="657933B1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59738679" w14:textId="09C86432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 Feliu de Llobregat</w:t>
            </w:r>
          </w:p>
        </w:tc>
        <w:tc>
          <w:tcPr>
            <w:tcW w:w="1557" w:type="dxa"/>
            <w:vAlign w:val="bottom"/>
          </w:tcPr>
          <w:p w14:paraId="3FFAABAB" w14:textId="1577B57F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E98A58D" w14:textId="729DFE1C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559" w:type="dxa"/>
            <w:vAlign w:val="bottom"/>
          </w:tcPr>
          <w:p w14:paraId="1113D151" w14:textId="1F874D03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</w:tr>
      <w:tr w:rsidR="00BB7C77" w:rsidRPr="00C03147" w14:paraId="2E1C28F4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B7F0A79" w14:textId="2C1CBF9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592" w:type="dxa"/>
            <w:vAlign w:val="bottom"/>
          </w:tcPr>
          <w:p w14:paraId="73C17F86" w14:textId="6DE56934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Oviedo</w:t>
            </w:r>
          </w:p>
        </w:tc>
        <w:tc>
          <w:tcPr>
            <w:tcW w:w="1557" w:type="dxa"/>
            <w:vAlign w:val="bottom"/>
          </w:tcPr>
          <w:p w14:paraId="61462107" w14:textId="7A59F294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804" w:type="dxa"/>
            <w:vAlign w:val="bottom"/>
          </w:tcPr>
          <w:p w14:paraId="5A6DF25E" w14:textId="34104C5D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559" w:type="dxa"/>
            <w:vAlign w:val="bottom"/>
          </w:tcPr>
          <w:p w14:paraId="46F7DE68" w14:textId="0A33219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5,0%</w:t>
            </w:r>
          </w:p>
        </w:tc>
      </w:tr>
      <w:tr w:rsidR="00BB7C77" w:rsidRPr="00C03147" w14:paraId="78A6FC9F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95BE512" w14:textId="02094CA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León</w:t>
            </w:r>
          </w:p>
        </w:tc>
        <w:tc>
          <w:tcPr>
            <w:tcW w:w="2592" w:type="dxa"/>
            <w:vAlign w:val="bottom"/>
          </w:tcPr>
          <w:p w14:paraId="256FA182" w14:textId="352E874A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León Capital</w:t>
            </w:r>
          </w:p>
        </w:tc>
        <w:tc>
          <w:tcPr>
            <w:tcW w:w="1557" w:type="dxa"/>
            <w:vAlign w:val="bottom"/>
          </w:tcPr>
          <w:p w14:paraId="4693B405" w14:textId="669C299E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B6DFBB5" w14:textId="583FEF8F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559" w:type="dxa"/>
            <w:vAlign w:val="bottom"/>
          </w:tcPr>
          <w:p w14:paraId="355E2B11" w14:textId="5ECE0686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4,9%</w:t>
            </w:r>
          </w:p>
        </w:tc>
      </w:tr>
      <w:tr w:rsidR="00BB7C77" w:rsidRPr="00C03147" w14:paraId="040436DC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9364A9C" w14:textId="53DEC33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Albacete</w:t>
            </w:r>
          </w:p>
        </w:tc>
        <w:tc>
          <w:tcPr>
            <w:tcW w:w="2592" w:type="dxa"/>
            <w:vAlign w:val="bottom"/>
          </w:tcPr>
          <w:p w14:paraId="72D91D68" w14:textId="3C071F9D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Albacete Capital</w:t>
            </w:r>
          </w:p>
        </w:tc>
        <w:tc>
          <w:tcPr>
            <w:tcW w:w="1557" w:type="dxa"/>
            <w:vAlign w:val="bottom"/>
          </w:tcPr>
          <w:p w14:paraId="0E4A1DB7" w14:textId="20DD2849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C629D91" w14:textId="62E81322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559" w:type="dxa"/>
            <w:vAlign w:val="bottom"/>
          </w:tcPr>
          <w:p w14:paraId="7E43A454" w14:textId="47162F3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4,9%</w:t>
            </w:r>
          </w:p>
        </w:tc>
      </w:tr>
      <w:tr w:rsidR="00BB7C77" w:rsidRPr="00C03147" w14:paraId="70109024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0B951A4" w14:textId="63840A0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92" w:type="dxa"/>
            <w:vAlign w:val="bottom"/>
          </w:tcPr>
          <w:p w14:paraId="507DD180" w14:textId="7A7807DB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Málaga Capital</w:t>
            </w:r>
          </w:p>
        </w:tc>
        <w:tc>
          <w:tcPr>
            <w:tcW w:w="1557" w:type="dxa"/>
            <w:vAlign w:val="bottom"/>
          </w:tcPr>
          <w:p w14:paraId="05DAFBF0" w14:textId="5169B97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1804" w:type="dxa"/>
            <w:vAlign w:val="bottom"/>
          </w:tcPr>
          <w:p w14:paraId="3CFFD0E6" w14:textId="1F5FDA55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59" w:type="dxa"/>
            <w:vAlign w:val="bottom"/>
          </w:tcPr>
          <w:p w14:paraId="3CFDCF90" w14:textId="45DBD25A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4,9%</w:t>
            </w:r>
          </w:p>
        </w:tc>
      </w:tr>
      <w:tr w:rsidR="00BB7C77" w:rsidRPr="00C03147" w14:paraId="50DFE95C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676A432" w14:textId="4671344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Las Palmas</w:t>
            </w:r>
          </w:p>
        </w:tc>
        <w:tc>
          <w:tcPr>
            <w:tcW w:w="2592" w:type="dxa"/>
            <w:vAlign w:val="bottom"/>
          </w:tcPr>
          <w:p w14:paraId="5085FA63" w14:textId="021E70F4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Las Palmas de Gran Canaria</w:t>
            </w:r>
          </w:p>
        </w:tc>
        <w:tc>
          <w:tcPr>
            <w:tcW w:w="1557" w:type="dxa"/>
            <w:vAlign w:val="bottom"/>
          </w:tcPr>
          <w:p w14:paraId="3EE39B34" w14:textId="1D21A063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CC601AB" w14:textId="1F6AE9A9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559" w:type="dxa"/>
            <w:vAlign w:val="bottom"/>
          </w:tcPr>
          <w:p w14:paraId="133AC68E" w14:textId="10BDCED0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4,8%</w:t>
            </w:r>
          </w:p>
        </w:tc>
      </w:tr>
      <w:tr w:rsidR="00BB7C77" w:rsidRPr="00C03147" w14:paraId="40B0CB6E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9085BF8" w14:textId="7E99751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92" w:type="dxa"/>
            <w:vAlign w:val="bottom"/>
          </w:tcPr>
          <w:p w14:paraId="10BD0201" w14:textId="583FA7A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Gavà</w:t>
            </w:r>
          </w:p>
        </w:tc>
        <w:tc>
          <w:tcPr>
            <w:tcW w:w="1557" w:type="dxa"/>
            <w:vAlign w:val="bottom"/>
          </w:tcPr>
          <w:p w14:paraId="3E0289B9" w14:textId="5CB3AA06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026A623E" w14:textId="3D9D45CC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559" w:type="dxa"/>
            <w:vAlign w:val="bottom"/>
          </w:tcPr>
          <w:p w14:paraId="46478471" w14:textId="64CC365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</w:tr>
      <w:tr w:rsidR="00BB7C77" w:rsidRPr="00C03147" w14:paraId="015E94D5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979066A" w14:textId="15461F6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92" w:type="dxa"/>
            <w:vAlign w:val="bottom"/>
          </w:tcPr>
          <w:p w14:paraId="12F7E6FA" w14:textId="4007FE74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Alcalá de Henares</w:t>
            </w:r>
          </w:p>
        </w:tc>
        <w:tc>
          <w:tcPr>
            <w:tcW w:w="1557" w:type="dxa"/>
            <w:vAlign w:val="bottom"/>
          </w:tcPr>
          <w:p w14:paraId="4B64CFD3" w14:textId="094E4FCD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585A4AC" w14:textId="7BCD8044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559" w:type="dxa"/>
            <w:vAlign w:val="bottom"/>
          </w:tcPr>
          <w:p w14:paraId="230B3E37" w14:textId="4D3CC122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</w:tr>
      <w:tr w:rsidR="00BB7C77" w:rsidRPr="00C03147" w14:paraId="44104B4A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480627B" w14:textId="1E9184D1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Valencia</w:t>
            </w:r>
          </w:p>
        </w:tc>
        <w:tc>
          <w:tcPr>
            <w:tcW w:w="2592" w:type="dxa"/>
            <w:vAlign w:val="bottom"/>
          </w:tcPr>
          <w:p w14:paraId="6C4EDDE0" w14:textId="71B1665E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Valencia Capital</w:t>
            </w:r>
          </w:p>
        </w:tc>
        <w:tc>
          <w:tcPr>
            <w:tcW w:w="1557" w:type="dxa"/>
            <w:vAlign w:val="bottom"/>
          </w:tcPr>
          <w:p w14:paraId="28A2D3DF" w14:textId="1793498A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804" w:type="dxa"/>
            <w:vAlign w:val="bottom"/>
          </w:tcPr>
          <w:p w14:paraId="09A6ED0E" w14:textId="20452B14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559" w:type="dxa"/>
            <w:vAlign w:val="bottom"/>
          </w:tcPr>
          <w:p w14:paraId="63E0D9CC" w14:textId="45899BD1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</w:tr>
      <w:tr w:rsidR="00BB7C77" w:rsidRPr="00C03147" w14:paraId="1E2A3913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0252A1A" w14:textId="4C0F2D9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6CCD0793" w14:textId="2F7FC19F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Alicante / Alacant</w:t>
            </w:r>
          </w:p>
        </w:tc>
        <w:tc>
          <w:tcPr>
            <w:tcW w:w="1557" w:type="dxa"/>
            <w:vAlign w:val="bottom"/>
          </w:tcPr>
          <w:p w14:paraId="10A89455" w14:textId="5F845231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804" w:type="dxa"/>
            <w:vAlign w:val="bottom"/>
          </w:tcPr>
          <w:p w14:paraId="2E4F3328" w14:textId="4EF02B96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559" w:type="dxa"/>
            <w:vAlign w:val="bottom"/>
          </w:tcPr>
          <w:p w14:paraId="2F6A5ACD" w14:textId="13872343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4,7%</w:t>
            </w:r>
          </w:p>
        </w:tc>
      </w:tr>
      <w:tr w:rsidR="00BB7C77" w:rsidRPr="00C03147" w14:paraId="14DC1CE4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4DC5622" w14:textId="00783B1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Segovia</w:t>
            </w:r>
          </w:p>
        </w:tc>
        <w:tc>
          <w:tcPr>
            <w:tcW w:w="2592" w:type="dxa"/>
            <w:vAlign w:val="bottom"/>
          </w:tcPr>
          <w:p w14:paraId="23E13417" w14:textId="00C1CFEA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Segovia Capital</w:t>
            </w:r>
          </w:p>
        </w:tc>
        <w:tc>
          <w:tcPr>
            <w:tcW w:w="1557" w:type="dxa"/>
            <w:vAlign w:val="bottom"/>
          </w:tcPr>
          <w:p w14:paraId="119812C0" w14:textId="42608334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21412AA" w14:textId="1B8CFCFB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1559" w:type="dxa"/>
            <w:vAlign w:val="bottom"/>
          </w:tcPr>
          <w:p w14:paraId="271CBF1A" w14:textId="33554B2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4,6%</w:t>
            </w:r>
          </w:p>
        </w:tc>
      </w:tr>
      <w:tr w:rsidR="00BB7C77" w:rsidRPr="00C03147" w14:paraId="6F47861F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B4D2580" w14:textId="2E80D4F6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Jaén</w:t>
            </w:r>
          </w:p>
        </w:tc>
        <w:tc>
          <w:tcPr>
            <w:tcW w:w="2592" w:type="dxa"/>
            <w:vAlign w:val="bottom"/>
          </w:tcPr>
          <w:p w14:paraId="39A49510" w14:textId="2951CDEB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557" w:type="dxa"/>
            <w:vAlign w:val="bottom"/>
          </w:tcPr>
          <w:p w14:paraId="79F7606C" w14:textId="6A31C487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23B18BB" w14:textId="3D27F2C9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559" w:type="dxa"/>
            <w:vAlign w:val="bottom"/>
          </w:tcPr>
          <w:p w14:paraId="50307D66" w14:textId="6C27D201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4,6%</w:t>
            </w:r>
          </w:p>
        </w:tc>
      </w:tr>
      <w:tr w:rsidR="00BB7C77" w:rsidRPr="00C03147" w14:paraId="56D8ACF4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5F14BD3" w14:textId="64AD01E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Ciudad Real</w:t>
            </w:r>
          </w:p>
        </w:tc>
        <w:tc>
          <w:tcPr>
            <w:tcW w:w="2592" w:type="dxa"/>
            <w:vAlign w:val="bottom"/>
          </w:tcPr>
          <w:p w14:paraId="34F69B2B" w14:textId="272A4B2C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Ciudad Real Capital</w:t>
            </w:r>
          </w:p>
        </w:tc>
        <w:tc>
          <w:tcPr>
            <w:tcW w:w="1557" w:type="dxa"/>
            <w:vAlign w:val="bottom"/>
          </w:tcPr>
          <w:p w14:paraId="73AB9F54" w14:textId="5E49258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804" w:type="dxa"/>
            <w:vAlign w:val="bottom"/>
          </w:tcPr>
          <w:p w14:paraId="1A0C4A23" w14:textId="208E7FD8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559" w:type="dxa"/>
            <w:vAlign w:val="bottom"/>
          </w:tcPr>
          <w:p w14:paraId="6484D47D" w14:textId="3486625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4,6%</w:t>
            </w:r>
          </w:p>
        </w:tc>
      </w:tr>
      <w:tr w:rsidR="00BB7C77" w:rsidRPr="00C03147" w14:paraId="341527DC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16FFBE9" w14:textId="40D8D45F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Burgos</w:t>
            </w:r>
          </w:p>
        </w:tc>
        <w:tc>
          <w:tcPr>
            <w:tcW w:w="2592" w:type="dxa"/>
            <w:vAlign w:val="bottom"/>
          </w:tcPr>
          <w:p w14:paraId="501FE95E" w14:textId="21E3F84B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Burgos Capital</w:t>
            </w:r>
          </w:p>
        </w:tc>
        <w:tc>
          <w:tcPr>
            <w:tcW w:w="1557" w:type="dxa"/>
            <w:vAlign w:val="bottom"/>
          </w:tcPr>
          <w:p w14:paraId="73489F2D" w14:textId="22786832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40F6DFE" w14:textId="030F20D5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4,4%</w:t>
            </w:r>
          </w:p>
        </w:tc>
        <w:tc>
          <w:tcPr>
            <w:tcW w:w="1559" w:type="dxa"/>
            <w:vAlign w:val="bottom"/>
          </w:tcPr>
          <w:p w14:paraId="1EFB91CD" w14:textId="0D06643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4,5%</w:t>
            </w:r>
          </w:p>
        </w:tc>
      </w:tr>
      <w:tr w:rsidR="00BB7C77" w:rsidRPr="00C03147" w14:paraId="2D8846B7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AA6FA37" w14:textId="778419D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Lugo</w:t>
            </w:r>
          </w:p>
        </w:tc>
        <w:tc>
          <w:tcPr>
            <w:tcW w:w="2592" w:type="dxa"/>
            <w:vAlign w:val="bottom"/>
          </w:tcPr>
          <w:p w14:paraId="62D9DAE8" w14:textId="388C18C9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Lugo Capital</w:t>
            </w:r>
          </w:p>
        </w:tc>
        <w:tc>
          <w:tcPr>
            <w:tcW w:w="1557" w:type="dxa"/>
            <w:vAlign w:val="bottom"/>
          </w:tcPr>
          <w:p w14:paraId="5AAFE8B2" w14:textId="493F15A7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297EDC84" w14:textId="5698907E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559" w:type="dxa"/>
            <w:vAlign w:val="bottom"/>
          </w:tcPr>
          <w:p w14:paraId="02DE845B" w14:textId="3E3558C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4,4%</w:t>
            </w:r>
          </w:p>
        </w:tc>
      </w:tr>
      <w:tr w:rsidR="00BB7C77" w:rsidRPr="00C03147" w14:paraId="2D9E9E2E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00DA20A" w14:textId="1384F9CD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lastRenderedPageBreak/>
              <w:t>Bizkaia</w:t>
            </w:r>
          </w:p>
        </w:tc>
        <w:tc>
          <w:tcPr>
            <w:tcW w:w="2592" w:type="dxa"/>
            <w:vAlign w:val="bottom"/>
          </w:tcPr>
          <w:p w14:paraId="060E3606" w14:textId="30946D48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Durango</w:t>
            </w:r>
          </w:p>
        </w:tc>
        <w:tc>
          <w:tcPr>
            <w:tcW w:w="1557" w:type="dxa"/>
            <w:vAlign w:val="bottom"/>
          </w:tcPr>
          <w:p w14:paraId="6A3B363B" w14:textId="1F9C7004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C9C5C28" w14:textId="48FF0610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559" w:type="dxa"/>
            <w:vAlign w:val="bottom"/>
          </w:tcPr>
          <w:p w14:paraId="15886BDC" w14:textId="46401F7E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4,4%</w:t>
            </w:r>
          </w:p>
        </w:tc>
      </w:tr>
      <w:tr w:rsidR="00BB7C77" w:rsidRPr="00C03147" w14:paraId="0D2594FD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9271A96" w14:textId="7D717D2C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Pontevedra</w:t>
            </w:r>
          </w:p>
        </w:tc>
        <w:tc>
          <w:tcPr>
            <w:tcW w:w="2592" w:type="dxa"/>
            <w:vAlign w:val="bottom"/>
          </w:tcPr>
          <w:p w14:paraId="2C33B819" w14:textId="63C4A494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Vigo</w:t>
            </w:r>
          </w:p>
        </w:tc>
        <w:tc>
          <w:tcPr>
            <w:tcW w:w="1557" w:type="dxa"/>
            <w:vAlign w:val="bottom"/>
          </w:tcPr>
          <w:p w14:paraId="572A551F" w14:textId="4C9A13D8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804" w:type="dxa"/>
            <w:vAlign w:val="bottom"/>
          </w:tcPr>
          <w:p w14:paraId="0E106F64" w14:textId="42A22DB3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1559" w:type="dxa"/>
            <w:vAlign w:val="bottom"/>
          </w:tcPr>
          <w:p w14:paraId="278DFCBD" w14:textId="7B3AEC7D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4,4%</w:t>
            </w:r>
          </w:p>
        </w:tc>
      </w:tr>
      <w:tr w:rsidR="00BB7C77" w:rsidRPr="00C03147" w14:paraId="0210FDA1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5D15578" w14:textId="0D1A848A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Córdoba</w:t>
            </w:r>
          </w:p>
        </w:tc>
        <w:tc>
          <w:tcPr>
            <w:tcW w:w="2592" w:type="dxa"/>
            <w:vAlign w:val="bottom"/>
          </w:tcPr>
          <w:p w14:paraId="7AC8D932" w14:textId="429442FE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Córdoba Capital</w:t>
            </w:r>
          </w:p>
        </w:tc>
        <w:tc>
          <w:tcPr>
            <w:tcW w:w="1557" w:type="dxa"/>
            <w:vAlign w:val="bottom"/>
          </w:tcPr>
          <w:p w14:paraId="06415611" w14:textId="029040E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1804" w:type="dxa"/>
            <w:vAlign w:val="bottom"/>
          </w:tcPr>
          <w:p w14:paraId="138F8A3E" w14:textId="46A0612A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559" w:type="dxa"/>
            <w:vAlign w:val="bottom"/>
          </w:tcPr>
          <w:p w14:paraId="04B72B9E" w14:textId="0220755D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4,3%</w:t>
            </w:r>
          </w:p>
        </w:tc>
      </w:tr>
      <w:tr w:rsidR="00BB7C77" w:rsidRPr="00C03147" w14:paraId="26D7AEBD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0DEC9ED" w14:textId="0459DF1E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92" w:type="dxa"/>
            <w:vAlign w:val="bottom"/>
          </w:tcPr>
          <w:p w14:paraId="5DF56B08" w14:textId="217B26C0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Benidorm</w:t>
            </w:r>
          </w:p>
        </w:tc>
        <w:tc>
          <w:tcPr>
            <w:tcW w:w="1557" w:type="dxa"/>
            <w:vAlign w:val="bottom"/>
          </w:tcPr>
          <w:p w14:paraId="2B17EBE6" w14:textId="32431C78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FC18FCD" w14:textId="6EB38EDA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559" w:type="dxa"/>
            <w:vAlign w:val="bottom"/>
          </w:tcPr>
          <w:p w14:paraId="4FB67C9F" w14:textId="2BB55C88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4,3%</w:t>
            </w:r>
          </w:p>
        </w:tc>
      </w:tr>
      <w:tr w:rsidR="00BB7C77" w:rsidRPr="00C03147" w14:paraId="2BF831A2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B574D5F" w14:textId="31709B82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92" w:type="dxa"/>
            <w:vAlign w:val="bottom"/>
          </w:tcPr>
          <w:p w14:paraId="1F3FFEA5" w14:textId="5A5C1C52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Almería Capital</w:t>
            </w:r>
          </w:p>
        </w:tc>
        <w:tc>
          <w:tcPr>
            <w:tcW w:w="1557" w:type="dxa"/>
            <w:vAlign w:val="bottom"/>
          </w:tcPr>
          <w:p w14:paraId="7518BE34" w14:textId="67AB9AF4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145CEEB" w14:textId="53F98A45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559" w:type="dxa"/>
            <w:vAlign w:val="bottom"/>
          </w:tcPr>
          <w:p w14:paraId="7E1FFB4A" w14:textId="0418399F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4,3%</w:t>
            </w:r>
          </w:p>
        </w:tc>
      </w:tr>
      <w:tr w:rsidR="00BB7C77" w:rsidRPr="00C03147" w14:paraId="77B5FC71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B94CF1E" w14:textId="096D5783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592" w:type="dxa"/>
            <w:vAlign w:val="bottom"/>
          </w:tcPr>
          <w:p w14:paraId="46DAA5BD" w14:textId="4BE52952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Getxo</w:t>
            </w:r>
          </w:p>
        </w:tc>
        <w:tc>
          <w:tcPr>
            <w:tcW w:w="1557" w:type="dxa"/>
            <w:vAlign w:val="bottom"/>
          </w:tcPr>
          <w:p w14:paraId="4D15169B" w14:textId="306731AD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3D111512" w14:textId="74168F2F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1559" w:type="dxa"/>
            <w:vAlign w:val="bottom"/>
          </w:tcPr>
          <w:p w14:paraId="5362286F" w14:textId="65627F79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4,1%</w:t>
            </w:r>
          </w:p>
        </w:tc>
      </w:tr>
      <w:tr w:rsidR="00BB7C77" w:rsidRPr="00C03147" w14:paraId="6317F7AD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BA27E41" w14:textId="0CFB2B08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Cuenca</w:t>
            </w:r>
          </w:p>
        </w:tc>
        <w:tc>
          <w:tcPr>
            <w:tcW w:w="2592" w:type="dxa"/>
            <w:vAlign w:val="bottom"/>
          </w:tcPr>
          <w:p w14:paraId="43D23930" w14:textId="36A9D678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Cuenca Capital</w:t>
            </w:r>
          </w:p>
        </w:tc>
        <w:tc>
          <w:tcPr>
            <w:tcW w:w="1557" w:type="dxa"/>
            <w:vAlign w:val="bottom"/>
          </w:tcPr>
          <w:p w14:paraId="72E8BB67" w14:textId="0EC123F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656A5DDE" w14:textId="2E60E181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559" w:type="dxa"/>
            <w:vAlign w:val="bottom"/>
          </w:tcPr>
          <w:p w14:paraId="3CA00CCD" w14:textId="083C93B6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4,1%</w:t>
            </w:r>
          </w:p>
        </w:tc>
      </w:tr>
      <w:tr w:rsidR="00BB7C77" w:rsidRPr="00C03147" w14:paraId="737C215D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9859492" w14:textId="00A7C21D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Valladolid</w:t>
            </w:r>
          </w:p>
        </w:tc>
        <w:tc>
          <w:tcPr>
            <w:tcW w:w="2592" w:type="dxa"/>
            <w:vAlign w:val="bottom"/>
          </w:tcPr>
          <w:p w14:paraId="04A16E06" w14:textId="135F999F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Valladolid Capital</w:t>
            </w:r>
          </w:p>
        </w:tc>
        <w:tc>
          <w:tcPr>
            <w:tcW w:w="1557" w:type="dxa"/>
            <w:vAlign w:val="bottom"/>
          </w:tcPr>
          <w:p w14:paraId="40068C82" w14:textId="424894D3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804" w:type="dxa"/>
            <w:vAlign w:val="bottom"/>
          </w:tcPr>
          <w:p w14:paraId="56493722" w14:textId="217132C6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1559" w:type="dxa"/>
            <w:vAlign w:val="bottom"/>
          </w:tcPr>
          <w:p w14:paraId="51D5005F" w14:textId="680B8DEE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4,1%</w:t>
            </w:r>
          </w:p>
        </w:tc>
      </w:tr>
      <w:tr w:rsidR="00BB7C77" w:rsidRPr="00C03147" w14:paraId="50B3D563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C18D95A" w14:textId="544C6320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Cáceres</w:t>
            </w:r>
          </w:p>
        </w:tc>
        <w:tc>
          <w:tcPr>
            <w:tcW w:w="2592" w:type="dxa"/>
            <w:vAlign w:val="bottom"/>
          </w:tcPr>
          <w:p w14:paraId="6057598A" w14:textId="01724EC5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Cáceres Capital</w:t>
            </w:r>
          </w:p>
        </w:tc>
        <w:tc>
          <w:tcPr>
            <w:tcW w:w="1557" w:type="dxa"/>
            <w:vAlign w:val="bottom"/>
          </w:tcPr>
          <w:p w14:paraId="1212E91D" w14:textId="1E50D5BB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A85B92D" w14:textId="6A18DFAF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559" w:type="dxa"/>
            <w:vAlign w:val="bottom"/>
          </w:tcPr>
          <w:p w14:paraId="771DE3AA" w14:textId="555B17DA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4,0%</w:t>
            </w:r>
          </w:p>
        </w:tc>
      </w:tr>
      <w:tr w:rsidR="00BB7C77" w:rsidRPr="00C03147" w14:paraId="538D7A56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E0E0EB5" w14:textId="739B4869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Badajoz</w:t>
            </w:r>
          </w:p>
        </w:tc>
        <w:tc>
          <w:tcPr>
            <w:tcW w:w="2592" w:type="dxa"/>
            <w:vAlign w:val="bottom"/>
          </w:tcPr>
          <w:p w14:paraId="1C570422" w14:textId="597ECC70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Badajoz Capital</w:t>
            </w:r>
          </w:p>
        </w:tc>
        <w:tc>
          <w:tcPr>
            <w:tcW w:w="1557" w:type="dxa"/>
            <w:vAlign w:val="bottom"/>
          </w:tcPr>
          <w:p w14:paraId="51463FAD" w14:textId="2CF1C71F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804" w:type="dxa"/>
            <w:vAlign w:val="bottom"/>
          </w:tcPr>
          <w:p w14:paraId="0F05B9F3" w14:textId="479C6BF1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559" w:type="dxa"/>
            <w:vAlign w:val="bottom"/>
          </w:tcPr>
          <w:p w14:paraId="69BB5A8B" w14:textId="4B8C5E6C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3,9%</w:t>
            </w:r>
          </w:p>
        </w:tc>
      </w:tr>
      <w:tr w:rsidR="00BB7C77" w:rsidRPr="00C03147" w14:paraId="1CB5C651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59B0809" w14:textId="73260FAA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Araba - Álava</w:t>
            </w:r>
          </w:p>
        </w:tc>
        <w:tc>
          <w:tcPr>
            <w:tcW w:w="2592" w:type="dxa"/>
            <w:vAlign w:val="bottom"/>
          </w:tcPr>
          <w:p w14:paraId="57903675" w14:textId="60643321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Vitoria - Gasteiz</w:t>
            </w:r>
          </w:p>
        </w:tc>
        <w:tc>
          <w:tcPr>
            <w:tcW w:w="1557" w:type="dxa"/>
            <w:vAlign w:val="bottom"/>
          </w:tcPr>
          <w:p w14:paraId="528603A4" w14:textId="56E170D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804" w:type="dxa"/>
            <w:vAlign w:val="bottom"/>
          </w:tcPr>
          <w:p w14:paraId="7A467BF2" w14:textId="677E50C2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1559" w:type="dxa"/>
            <w:vAlign w:val="bottom"/>
          </w:tcPr>
          <w:p w14:paraId="7D0DFD27" w14:textId="67618C88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3,8%</w:t>
            </w:r>
          </w:p>
        </w:tc>
      </w:tr>
      <w:tr w:rsidR="00BB7C77" w:rsidRPr="00C03147" w14:paraId="54CAFEA0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485E2BA" w14:textId="4EDE09B9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Granada</w:t>
            </w:r>
          </w:p>
        </w:tc>
        <w:tc>
          <w:tcPr>
            <w:tcW w:w="2592" w:type="dxa"/>
            <w:vAlign w:val="bottom"/>
          </w:tcPr>
          <w:p w14:paraId="1F57B01F" w14:textId="10867FCA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Granada Capital</w:t>
            </w:r>
          </w:p>
        </w:tc>
        <w:tc>
          <w:tcPr>
            <w:tcW w:w="1557" w:type="dxa"/>
            <w:vAlign w:val="bottom"/>
          </w:tcPr>
          <w:p w14:paraId="020C51BC" w14:textId="0E19214C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1804" w:type="dxa"/>
            <w:vAlign w:val="bottom"/>
          </w:tcPr>
          <w:p w14:paraId="2DA83CD0" w14:textId="43EAE652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3,6%</w:t>
            </w:r>
          </w:p>
        </w:tc>
        <w:tc>
          <w:tcPr>
            <w:tcW w:w="1559" w:type="dxa"/>
            <w:vAlign w:val="bottom"/>
          </w:tcPr>
          <w:p w14:paraId="2A31D527" w14:textId="06E6487A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3,7%</w:t>
            </w:r>
          </w:p>
        </w:tc>
      </w:tr>
      <w:tr w:rsidR="00BB7C77" w:rsidRPr="00C03147" w14:paraId="2517596E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A972894" w14:textId="63E7B6B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Ourense</w:t>
            </w:r>
          </w:p>
        </w:tc>
        <w:tc>
          <w:tcPr>
            <w:tcW w:w="2592" w:type="dxa"/>
            <w:vAlign w:val="bottom"/>
          </w:tcPr>
          <w:p w14:paraId="63FC712F" w14:textId="38C4BC06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Ourense Capital</w:t>
            </w:r>
          </w:p>
        </w:tc>
        <w:tc>
          <w:tcPr>
            <w:tcW w:w="1557" w:type="dxa"/>
            <w:vAlign w:val="bottom"/>
          </w:tcPr>
          <w:p w14:paraId="668EF37C" w14:textId="4B77192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151FCCF7" w14:textId="11F28793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3,4%</w:t>
            </w:r>
          </w:p>
        </w:tc>
        <w:tc>
          <w:tcPr>
            <w:tcW w:w="1559" w:type="dxa"/>
            <w:vAlign w:val="bottom"/>
          </w:tcPr>
          <w:p w14:paraId="0006EF4F" w14:textId="7E4825D8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3,5%</w:t>
            </w:r>
          </w:p>
        </w:tc>
      </w:tr>
      <w:tr w:rsidR="00BB7C77" w:rsidRPr="00C03147" w14:paraId="377C4713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BCE9F7E" w14:textId="0C68C92B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Palencia</w:t>
            </w:r>
          </w:p>
        </w:tc>
        <w:tc>
          <w:tcPr>
            <w:tcW w:w="2592" w:type="dxa"/>
            <w:vAlign w:val="bottom"/>
          </w:tcPr>
          <w:p w14:paraId="10C94D50" w14:textId="5A0B544E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Palencia Capital</w:t>
            </w:r>
          </w:p>
        </w:tc>
        <w:tc>
          <w:tcPr>
            <w:tcW w:w="1557" w:type="dxa"/>
            <w:vAlign w:val="bottom"/>
          </w:tcPr>
          <w:p w14:paraId="15A7B3CE" w14:textId="30E0CC27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5DA9B316" w14:textId="3E10260F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3,3%</w:t>
            </w:r>
          </w:p>
        </w:tc>
        <w:tc>
          <w:tcPr>
            <w:tcW w:w="1559" w:type="dxa"/>
            <w:vAlign w:val="bottom"/>
          </w:tcPr>
          <w:p w14:paraId="5248373F" w14:textId="2F6483C7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3,5%</w:t>
            </w:r>
          </w:p>
        </w:tc>
      </w:tr>
      <w:tr w:rsidR="00BB7C77" w:rsidRPr="00C03147" w14:paraId="28B75A10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5BF7FEA" w14:textId="54FAD3A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Salamanca</w:t>
            </w:r>
          </w:p>
        </w:tc>
        <w:tc>
          <w:tcPr>
            <w:tcW w:w="2592" w:type="dxa"/>
            <w:vAlign w:val="bottom"/>
          </w:tcPr>
          <w:p w14:paraId="0E9B0FF3" w14:textId="6F122745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Salamanca Capital</w:t>
            </w:r>
          </w:p>
        </w:tc>
        <w:tc>
          <w:tcPr>
            <w:tcW w:w="1557" w:type="dxa"/>
            <w:vAlign w:val="bottom"/>
          </w:tcPr>
          <w:p w14:paraId="6DBF8BE1" w14:textId="760FC8C8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1804" w:type="dxa"/>
            <w:vAlign w:val="bottom"/>
          </w:tcPr>
          <w:p w14:paraId="68663630" w14:textId="68644F2C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3,4%</w:t>
            </w:r>
          </w:p>
        </w:tc>
        <w:tc>
          <w:tcPr>
            <w:tcW w:w="1559" w:type="dxa"/>
            <w:vAlign w:val="bottom"/>
          </w:tcPr>
          <w:p w14:paraId="3439CE98" w14:textId="4BF1CEFC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3,5%</w:t>
            </w:r>
          </w:p>
        </w:tc>
      </w:tr>
      <w:tr w:rsidR="00BB7C77" w:rsidRPr="00C03147" w14:paraId="74E65D02" w14:textId="77777777" w:rsidTr="00BB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D06DE2C" w14:textId="1C373D75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Jaén</w:t>
            </w:r>
          </w:p>
        </w:tc>
        <w:tc>
          <w:tcPr>
            <w:tcW w:w="2592" w:type="dxa"/>
            <w:vAlign w:val="bottom"/>
          </w:tcPr>
          <w:p w14:paraId="2B8606F7" w14:textId="660F8F11" w:rsidR="00BB7C77" w:rsidRPr="00BB7C77" w:rsidRDefault="00BB7C77" w:rsidP="0040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Jaén Capital</w:t>
            </w:r>
          </w:p>
        </w:tc>
        <w:tc>
          <w:tcPr>
            <w:tcW w:w="1557" w:type="dxa"/>
            <w:vAlign w:val="bottom"/>
          </w:tcPr>
          <w:p w14:paraId="4FC6086C" w14:textId="169E7D94" w:rsid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7B3DF724" w14:textId="2EB27DBC" w:rsidR="00BB7C77" w:rsidRPr="00B57233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3,3%</w:t>
            </w:r>
          </w:p>
        </w:tc>
        <w:tc>
          <w:tcPr>
            <w:tcW w:w="1559" w:type="dxa"/>
            <w:vAlign w:val="bottom"/>
          </w:tcPr>
          <w:p w14:paraId="133F0D1A" w14:textId="436FC1B5" w:rsidR="00BB7C77" w:rsidRPr="00BB7C77" w:rsidRDefault="00BB7C7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3,4%</w:t>
            </w:r>
          </w:p>
        </w:tc>
      </w:tr>
      <w:tr w:rsidR="00BB7C77" w:rsidRPr="00C03147" w14:paraId="0DBD8DE5" w14:textId="77777777" w:rsidTr="00BB7C7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48B0944" w14:textId="0BC13B87" w:rsidR="00BB7C77" w:rsidRPr="00BB7C77" w:rsidRDefault="00BB7C7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 Coruña</w:t>
            </w:r>
          </w:p>
        </w:tc>
        <w:tc>
          <w:tcPr>
            <w:tcW w:w="2592" w:type="dxa"/>
            <w:vAlign w:val="bottom"/>
          </w:tcPr>
          <w:p w14:paraId="24EF5324" w14:textId="4515A1EF" w:rsidR="00BB7C77" w:rsidRPr="00BB7C77" w:rsidRDefault="00BB7C77" w:rsidP="00403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color w:val="000000"/>
                <w:sz w:val="22"/>
                <w:szCs w:val="22"/>
              </w:rPr>
              <w:t>Santiago de Compostela</w:t>
            </w:r>
          </w:p>
        </w:tc>
        <w:tc>
          <w:tcPr>
            <w:tcW w:w="1557" w:type="dxa"/>
            <w:vAlign w:val="bottom"/>
          </w:tcPr>
          <w:p w14:paraId="0C5552F7" w14:textId="316706EF" w:rsid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14:paraId="405C7AC3" w14:textId="075F0F13" w:rsidR="00BB7C77" w:rsidRPr="00B57233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3,5%</w:t>
            </w:r>
          </w:p>
        </w:tc>
        <w:tc>
          <w:tcPr>
            <w:tcW w:w="1559" w:type="dxa"/>
            <w:vAlign w:val="bottom"/>
          </w:tcPr>
          <w:p w14:paraId="36DE6B0C" w14:textId="654514AB" w:rsidR="00BB7C77" w:rsidRPr="00BB7C77" w:rsidRDefault="00BB7C7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B7C7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3,3%</w:t>
            </w:r>
          </w:p>
        </w:tc>
      </w:tr>
    </w:tbl>
    <w:p w14:paraId="04F421F5" w14:textId="27588B62" w:rsidR="000B0269" w:rsidRPr="007E5768" w:rsidRDefault="00B629FA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  <w:r w:rsidRPr="007E5768">
        <w:rPr>
          <w:rFonts w:ascii="Open Sans Light" w:hAnsi="Open Sans Light" w:cs="Open Sans Light"/>
          <w:b/>
          <w:iCs/>
          <w:color w:val="303AB2"/>
        </w:rPr>
        <w:t xml:space="preserve">Tabla </w:t>
      </w:r>
      <w:r w:rsidR="0074620F">
        <w:rPr>
          <w:rFonts w:ascii="Open Sans Light" w:hAnsi="Open Sans Light" w:cs="Open Sans Light"/>
          <w:b/>
          <w:iCs/>
          <w:color w:val="303AB2"/>
        </w:rPr>
        <w:t>4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. Rentabilidad </w:t>
      </w:r>
      <w:r w:rsidR="008F3954">
        <w:rPr>
          <w:rFonts w:ascii="Open Sans Light" w:hAnsi="Open Sans Light" w:cs="Open Sans Light"/>
          <w:b/>
          <w:iCs/>
          <w:color w:val="303AB2"/>
        </w:rPr>
        <w:t>de los garajes</w:t>
      </w:r>
      <w:r w:rsidR="000B6B0A">
        <w:rPr>
          <w:rFonts w:ascii="Open Sans Light" w:hAnsi="Open Sans Light" w:cs="Open Sans Light"/>
          <w:b/>
          <w:iCs/>
          <w:color w:val="303AB2"/>
        </w:rPr>
        <w:t xml:space="preserve"> 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por distritos de </w:t>
      </w:r>
      <w:r>
        <w:rPr>
          <w:rFonts w:ascii="Open Sans Light" w:hAnsi="Open Sans Light" w:cs="Open Sans Light"/>
          <w:b/>
          <w:iCs/>
          <w:color w:val="303AB2"/>
        </w:rPr>
        <w:t>Madrid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0B0269" w:rsidRPr="007E5768">
        <w:rPr>
          <w:rFonts w:ascii="Open Sans Light" w:hAnsi="Open Sans Light" w:cs="Open Sans Light"/>
          <w:b/>
          <w:iCs/>
          <w:color w:val="303AB2"/>
        </w:rPr>
        <w:t xml:space="preserve">(comparativa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2020,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24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y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25</w:t>
      </w:r>
      <w:r w:rsidR="000B0269" w:rsidRPr="007E5768">
        <w:rPr>
          <w:rFonts w:ascii="Open Sans Light" w:hAnsi="Open Sans Light" w:cs="Open Sans Light"/>
          <w:b/>
          <w:iCs/>
          <w:color w:val="303AB2"/>
        </w:rPr>
        <w:t>)</w:t>
      </w:r>
    </w:p>
    <w:tbl>
      <w:tblPr>
        <w:tblStyle w:val="Tabladecuadrcula5oscura-nfasis11"/>
        <w:tblpPr w:leftFromText="141" w:rightFromText="141" w:vertAnchor="text" w:horzAnchor="margin" w:tblpY="40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985"/>
        <w:gridCol w:w="1843"/>
      </w:tblGrid>
      <w:tr w:rsidR="002A13C7" w:rsidRPr="00221600" w14:paraId="459CEC9C" w14:textId="77777777" w:rsidTr="000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395C469" w14:textId="77777777" w:rsidR="002A13C7" w:rsidRPr="0026727E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6727E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  <w:t>Distritos de Madrid</w:t>
            </w:r>
          </w:p>
        </w:tc>
        <w:tc>
          <w:tcPr>
            <w:tcW w:w="2268" w:type="dxa"/>
            <w:vAlign w:val="center"/>
          </w:tcPr>
          <w:p w14:paraId="1C369B12" w14:textId="77777777" w:rsidR="002A13C7" w:rsidRPr="003349B3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2020</w:t>
            </w:r>
          </w:p>
          <w:p w14:paraId="00BE5D11" w14:textId="75E7C858" w:rsidR="002A13C7" w:rsidRPr="0026727E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(5 años)</w:t>
            </w:r>
          </w:p>
        </w:tc>
        <w:tc>
          <w:tcPr>
            <w:tcW w:w="1985" w:type="dxa"/>
            <w:vAlign w:val="center"/>
          </w:tcPr>
          <w:p w14:paraId="3E5858CE" w14:textId="77777777" w:rsidR="002A13C7" w:rsidRPr="003349B3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2024</w:t>
            </w:r>
          </w:p>
          <w:p w14:paraId="382F2910" w14:textId="5E53B8FE" w:rsidR="002A13C7" w:rsidRPr="0026727E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(1 año)</w:t>
            </w:r>
          </w:p>
        </w:tc>
        <w:tc>
          <w:tcPr>
            <w:tcW w:w="1843" w:type="dxa"/>
            <w:vAlign w:val="center"/>
          </w:tcPr>
          <w:p w14:paraId="3194E792" w14:textId="77777777" w:rsidR="002A13C7" w:rsidRPr="00BB7C77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</w:p>
          <w:p w14:paraId="380F7F8C" w14:textId="38849D7D" w:rsidR="002A13C7" w:rsidRPr="0026727E" w:rsidRDefault="002A13C7" w:rsidP="00403601">
            <w:pPr>
              <w:pStyle w:val="Tex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sz w:val="20"/>
                <w:szCs w:val="20"/>
                <w:lang w:val="es-ES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2025</w:t>
            </w:r>
          </w:p>
        </w:tc>
      </w:tr>
      <w:tr w:rsidR="002A13C7" w:rsidRPr="00221600" w14:paraId="188A59EE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20B2073D" w14:textId="71DBC66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Villa de Vallecas</w:t>
            </w:r>
          </w:p>
        </w:tc>
        <w:tc>
          <w:tcPr>
            <w:tcW w:w="2268" w:type="dxa"/>
            <w:vAlign w:val="bottom"/>
          </w:tcPr>
          <w:p w14:paraId="68CC6BED" w14:textId="63EB329D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055548DB" w14:textId="33AF5D03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1843" w:type="dxa"/>
            <w:vAlign w:val="bottom"/>
          </w:tcPr>
          <w:p w14:paraId="33D8A04C" w14:textId="5683CA32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6,9%</w:t>
            </w:r>
          </w:p>
        </w:tc>
      </w:tr>
      <w:tr w:rsidR="002A13C7" w:rsidRPr="00221600" w14:paraId="1E7B83BD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0EA8BC88" w14:textId="04FBB2AA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Latina</w:t>
            </w:r>
          </w:p>
        </w:tc>
        <w:tc>
          <w:tcPr>
            <w:tcW w:w="2268" w:type="dxa"/>
            <w:vAlign w:val="bottom"/>
          </w:tcPr>
          <w:p w14:paraId="7A55624D" w14:textId="1E251CD9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38A92D51" w14:textId="652DF4C4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6,8%</w:t>
            </w:r>
          </w:p>
        </w:tc>
        <w:tc>
          <w:tcPr>
            <w:tcW w:w="1843" w:type="dxa"/>
            <w:vAlign w:val="bottom"/>
          </w:tcPr>
          <w:p w14:paraId="4D3C5451" w14:textId="2D46A4CB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</w:tr>
      <w:tr w:rsidR="002A13C7" w:rsidRPr="00221600" w14:paraId="53D9D26D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24685135" w14:textId="2E0C7A90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Carabanchel</w:t>
            </w:r>
          </w:p>
        </w:tc>
        <w:tc>
          <w:tcPr>
            <w:tcW w:w="2268" w:type="dxa"/>
            <w:vAlign w:val="bottom"/>
          </w:tcPr>
          <w:p w14:paraId="51003193" w14:textId="078CB823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0F7AADA5" w14:textId="715732B1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43" w:type="dxa"/>
            <w:vAlign w:val="bottom"/>
          </w:tcPr>
          <w:p w14:paraId="7064533A" w14:textId="0280AE06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</w:tr>
      <w:tr w:rsidR="002A13C7" w:rsidRPr="00221600" w14:paraId="35E90A7A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666A9143" w14:textId="757BD8B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San Blas</w:t>
            </w:r>
          </w:p>
        </w:tc>
        <w:tc>
          <w:tcPr>
            <w:tcW w:w="2268" w:type="dxa"/>
            <w:vAlign w:val="bottom"/>
          </w:tcPr>
          <w:p w14:paraId="2153A63C" w14:textId="2C4EE2DC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211D1F0B" w14:textId="3E2E477D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843" w:type="dxa"/>
            <w:vAlign w:val="bottom"/>
          </w:tcPr>
          <w:p w14:paraId="753CBB44" w14:textId="1C03C233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</w:tr>
      <w:tr w:rsidR="002A13C7" w:rsidRPr="00221600" w14:paraId="35AEF710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4843BE04" w14:textId="440A6D32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Villaverde</w:t>
            </w:r>
          </w:p>
        </w:tc>
        <w:tc>
          <w:tcPr>
            <w:tcW w:w="2268" w:type="dxa"/>
            <w:vAlign w:val="bottom"/>
          </w:tcPr>
          <w:p w14:paraId="69DD752B" w14:textId="3B9E283A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6FE4EB07" w14:textId="7BFE6764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843" w:type="dxa"/>
            <w:vAlign w:val="bottom"/>
          </w:tcPr>
          <w:p w14:paraId="3C1967C6" w14:textId="20AEA777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</w:tr>
      <w:tr w:rsidR="002A13C7" w:rsidRPr="00221600" w14:paraId="0D3FE02F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4ABE7FC0" w14:textId="659742A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Retiro</w:t>
            </w:r>
          </w:p>
        </w:tc>
        <w:tc>
          <w:tcPr>
            <w:tcW w:w="2268" w:type="dxa"/>
            <w:vAlign w:val="bottom"/>
          </w:tcPr>
          <w:p w14:paraId="0937CE48" w14:textId="360E5C8C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985" w:type="dxa"/>
            <w:vAlign w:val="bottom"/>
          </w:tcPr>
          <w:p w14:paraId="3CF1585A" w14:textId="2C8EB405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843" w:type="dxa"/>
            <w:vAlign w:val="bottom"/>
          </w:tcPr>
          <w:p w14:paraId="11D75761" w14:textId="11BCC142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</w:tr>
      <w:tr w:rsidR="002A13C7" w:rsidRPr="00221600" w14:paraId="0E6695DB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66882A89" w14:textId="4240FA30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Barrio de Salamanca</w:t>
            </w:r>
          </w:p>
        </w:tc>
        <w:tc>
          <w:tcPr>
            <w:tcW w:w="2268" w:type="dxa"/>
            <w:vAlign w:val="bottom"/>
          </w:tcPr>
          <w:p w14:paraId="10D4C435" w14:textId="4F516D35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4D77D116" w14:textId="123CE586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843" w:type="dxa"/>
            <w:vAlign w:val="bottom"/>
          </w:tcPr>
          <w:p w14:paraId="089D1CCD" w14:textId="77B42C5F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</w:tr>
      <w:tr w:rsidR="002A13C7" w:rsidRPr="00221600" w14:paraId="18E7C398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08F9A93" w14:textId="6C9DD539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Moncloa - Aravaca</w:t>
            </w:r>
          </w:p>
        </w:tc>
        <w:tc>
          <w:tcPr>
            <w:tcW w:w="2268" w:type="dxa"/>
            <w:vAlign w:val="bottom"/>
          </w:tcPr>
          <w:p w14:paraId="7029ACBA" w14:textId="562FDE8A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09D445AC" w14:textId="503E8063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843" w:type="dxa"/>
            <w:vAlign w:val="bottom"/>
          </w:tcPr>
          <w:p w14:paraId="2F8192C1" w14:textId="36DD96F7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</w:tr>
      <w:tr w:rsidR="002A13C7" w:rsidRPr="00221600" w14:paraId="4A9D8A55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0E474AA8" w14:textId="5D10E260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Fuencarral - El Pardo</w:t>
            </w:r>
          </w:p>
        </w:tc>
        <w:tc>
          <w:tcPr>
            <w:tcW w:w="2268" w:type="dxa"/>
            <w:vAlign w:val="bottom"/>
          </w:tcPr>
          <w:p w14:paraId="6007B77E" w14:textId="5D2EBC73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231739E9" w14:textId="764B7E4A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843" w:type="dxa"/>
            <w:vAlign w:val="bottom"/>
          </w:tcPr>
          <w:p w14:paraId="4D157104" w14:textId="23F9B897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</w:tr>
      <w:tr w:rsidR="002A13C7" w:rsidRPr="00221600" w14:paraId="3EE3D3E7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8D0BD97" w14:textId="25E83DF7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Vicálvaro</w:t>
            </w:r>
          </w:p>
        </w:tc>
        <w:tc>
          <w:tcPr>
            <w:tcW w:w="2268" w:type="dxa"/>
            <w:vAlign w:val="bottom"/>
          </w:tcPr>
          <w:p w14:paraId="1B06141D" w14:textId="55088C31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533E503C" w14:textId="1947EAF1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843" w:type="dxa"/>
            <w:vAlign w:val="bottom"/>
          </w:tcPr>
          <w:p w14:paraId="1898F460" w14:textId="43D190A7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</w:tr>
      <w:tr w:rsidR="002A13C7" w:rsidRPr="00221600" w14:paraId="3E0A10BE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0379BB1C" w14:textId="1B838257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Tetuán</w:t>
            </w:r>
          </w:p>
        </w:tc>
        <w:tc>
          <w:tcPr>
            <w:tcW w:w="2268" w:type="dxa"/>
            <w:vAlign w:val="bottom"/>
          </w:tcPr>
          <w:p w14:paraId="700BE5A7" w14:textId="7D7882D8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985" w:type="dxa"/>
            <w:vAlign w:val="bottom"/>
          </w:tcPr>
          <w:p w14:paraId="1376389F" w14:textId="2FC654E3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1843" w:type="dxa"/>
            <w:vAlign w:val="bottom"/>
          </w:tcPr>
          <w:p w14:paraId="3966F677" w14:textId="0B05B98E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</w:tr>
      <w:tr w:rsidR="002A13C7" w:rsidRPr="00221600" w14:paraId="7E121515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233116E0" w14:textId="7439F7BB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Chamberí</w:t>
            </w:r>
          </w:p>
        </w:tc>
        <w:tc>
          <w:tcPr>
            <w:tcW w:w="2268" w:type="dxa"/>
            <w:vAlign w:val="bottom"/>
          </w:tcPr>
          <w:p w14:paraId="2D475EA7" w14:textId="6ABFE48C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2606E6E4" w14:textId="696F0AF9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843" w:type="dxa"/>
            <w:vAlign w:val="bottom"/>
          </w:tcPr>
          <w:p w14:paraId="71D47179" w14:textId="2C3D164F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</w:tr>
      <w:tr w:rsidR="002A13C7" w:rsidRPr="00221600" w14:paraId="1C120A93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34740E44" w14:textId="62DB4E91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Ciudad Lineal</w:t>
            </w:r>
          </w:p>
        </w:tc>
        <w:tc>
          <w:tcPr>
            <w:tcW w:w="2268" w:type="dxa"/>
            <w:vAlign w:val="bottom"/>
          </w:tcPr>
          <w:p w14:paraId="6354221D" w14:textId="5C73758B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1985" w:type="dxa"/>
            <w:vAlign w:val="bottom"/>
          </w:tcPr>
          <w:p w14:paraId="2DADA374" w14:textId="19A414B4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1843" w:type="dxa"/>
            <w:vAlign w:val="bottom"/>
          </w:tcPr>
          <w:p w14:paraId="796468B6" w14:textId="0F4C6894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</w:tr>
      <w:tr w:rsidR="002A13C7" w:rsidRPr="00221600" w14:paraId="0CFE14EA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7B2C7800" w14:textId="554B6F23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Chamartín</w:t>
            </w:r>
          </w:p>
        </w:tc>
        <w:tc>
          <w:tcPr>
            <w:tcW w:w="2268" w:type="dxa"/>
            <w:vAlign w:val="bottom"/>
          </w:tcPr>
          <w:p w14:paraId="74048697" w14:textId="06EAF82B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6CAC52F4" w14:textId="298B6E93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843" w:type="dxa"/>
            <w:vAlign w:val="bottom"/>
          </w:tcPr>
          <w:p w14:paraId="29F73D79" w14:textId="42142283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5,1%</w:t>
            </w:r>
          </w:p>
        </w:tc>
      </w:tr>
      <w:tr w:rsidR="002A13C7" w:rsidRPr="00221600" w14:paraId="61A26DB2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0A751334" w14:textId="1AA5B5EF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Centro</w:t>
            </w:r>
          </w:p>
        </w:tc>
        <w:tc>
          <w:tcPr>
            <w:tcW w:w="2268" w:type="dxa"/>
            <w:vAlign w:val="bottom"/>
          </w:tcPr>
          <w:p w14:paraId="486E5C3A" w14:textId="63E6DC36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1985" w:type="dxa"/>
            <w:vAlign w:val="bottom"/>
          </w:tcPr>
          <w:p w14:paraId="4CD4E899" w14:textId="13B87176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5,5%</w:t>
            </w:r>
          </w:p>
        </w:tc>
        <w:tc>
          <w:tcPr>
            <w:tcW w:w="1843" w:type="dxa"/>
            <w:vAlign w:val="bottom"/>
          </w:tcPr>
          <w:p w14:paraId="1EEC1305" w14:textId="6F7CE2A9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5,0%</w:t>
            </w:r>
          </w:p>
        </w:tc>
      </w:tr>
      <w:tr w:rsidR="002A13C7" w:rsidRPr="00221600" w14:paraId="049BEE19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6BFB6A6" w14:textId="7D5CE905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Puente de Vallecas</w:t>
            </w:r>
          </w:p>
        </w:tc>
        <w:tc>
          <w:tcPr>
            <w:tcW w:w="2268" w:type="dxa"/>
            <w:vAlign w:val="bottom"/>
          </w:tcPr>
          <w:p w14:paraId="53CEC70F" w14:textId="7A11F4E0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3EB7729A" w14:textId="029CB482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843" w:type="dxa"/>
            <w:vAlign w:val="bottom"/>
          </w:tcPr>
          <w:p w14:paraId="1EB443DB" w14:textId="45DEFD79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5,0%</w:t>
            </w:r>
          </w:p>
        </w:tc>
      </w:tr>
      <w:tr w:rsidR="002A13C7" w:rsidRPr="00221600" w14:paraId="4BAD360A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C7BC341" w14:textId="70646444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Hortaleza</w:t>
            </w:r>
          </w:p>
        </w:tc>
        <w:tc>
          <w:tcPr>
            <w:tcW w:w="2268" w:type="dxa"/>
            <w:vAlign w:val="bottom"/>
          </w:tcPr>
          <w:p w14:paraId="52FE5D85" w14:textId="16AED451" w:rsidR="002A13C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  <w:tc>
          <w:tcPr>
            <w:tcW w:w="1985" w:type="dxa"/>
            <w:vAlign w:val="bottom"/>
          </w:tcPr>
          <w:p w14:paraId="0356870B" w14:textId="4C13D43C" w:rsidR="002A13C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843" w:type="dxa"/>
            <w:vAlign w:val="bottom"/>
          </w:tcPr>
          <w:p w14:paraId="29876EAA" w14:textId="2FC1CD1A" w:rsidR="002A13C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</w:tr>
      <w:tr w:rsidR="002A13C7" w:rsidRPr="00221600" w14:paraId="3F7A1F2D" w14:textId="77777777" w:rsidTr="000B026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598A350E" w14:textId="5C3A4BD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Arganzuela</w:t>
            </w:r>
          </w:p>
        </w:tc>
        <w:tc>
          <w:tcPr>
            <w:tcW w:w="2268" w:type="dxa"/>
            <w:vAlign w:val="bottom"/>
          </w:tcPr>
          <w:p w14:paraId="262242B0" w14:textId="70721810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1985" w:type="dxa"/>
            <w:vAlign w:val="bottom"/>
          </w:tcPr>
          <w:p w14:paraId="0B65234C" w14:textId="24F3FE57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1843" w:type="dxa"/>
            <w:vAlign w:val="bottom"/>
          </w:tcPr>
          <w:p w14:paraId="4207C76B" w14:textId="6EB820FA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</w:tr>
    </w:tbl>
    <w:p w14:paraId="442DC912" w14:textId="6C89D3AE" w:rsidR="00717982" w:rsidRPr="007E5768" w:rsidRDefault="007E5768" w:rsidP="00403601">
      <w:pPr>
        <w:pStyle w:val="NormalWeb"/>
        <w:shd w:val="clear" w:color="auto" w:fill="FFFFFF"/>
        <w:spacing w:after="225" w:line="276" w:lineRule="auto"/>
        <w:rPr>
          <w:rFonts w:ascii="Open Sans Light" w:hAnsi="Open Sans Light" w:cs="Open Sans Light"/>
          <w:b/>
          <w:iCs/>
          <w:color w:val="303AB2"/>
        </w:rPr>
      </w:pPr>
      <w:r w:rsidRPr="007E5768">
        <w:rPr>
          <w:rFonts w:ascii="Open Sans Light" w:hAnsi="Open Sans Light" w:cs="Open Sans Light"/>
          <w:b/>
          <w:iCs/>
          <w:color w:val="303AB2"/>
        </w:rPr>
        <w:lastRenderedPageBreak/>
        <w:t xml:space="preserve">Tabla </w:t>
      </w:r>
      <w:r w:rsidR="0074620F">
        <w:rPr>
          <w:rFonts w:ascii="Open Sans Light" w:hAnsi="Open Sans Light" w:cs="Open Sans Light"/>
          <w:b/>
          <w:iCs/>
          <w:color w:val="303AB2"/>
        </w:rPr>
        <w:t>5</w:t>
      </w:r>
      <w:r w:rsidRPr="007E5768">
        <w:rPr>
          <w:rFonts w:ascii="Open Sans Light" w:hAnsi="Open Sans Light" w:cs="Open Sans Light"/>
          <w:b/>
          <w:iCs/>
          <w:color w:val="303AB2"/>
        </w:rPr>
        <w:t xml:space="preserve">. Rentabilidad </w:t>
      </w:r>
      <w:r w:rsidR="008F3954">
        <w:rPr>
          <w:rFonts w:ascii="Open Sans Light" w:hAnsi="Open Sans Light" w:cs="Open Sans Light"/>
          <w:b/>
          <w:iCs/>
          <w:color w:val="303AB2"/>
        </w:rPr>
        <w:t>de los garajes</w:t>
      </w:r>
      <w:r w:rsidR="000B6B0A">
        <w:rPr>
          <w:rFonts w:ascii="Open Sans Light" w:hAnsi="Open Sans Light" w:cs="Open Sans Light"/>
          <w:b/>
          <w:iCs/>
          <w:color w:val="303AB2"/>
        </w:rPr>
        <w:t xml:space="preserve"> </w:t>
      </w:r>
      <w:r w:rsidRPr="007E5768">
        <w:rPr>
          <w:rFonts w:ascii="Open Sans Light" w:hAnsi="Open Sans Light" w:cs="Open Sans Light"/>
          <w:b/>
          <w:iCs/>
          <w:color w:val="303AB2"/>
        </w:rPr>
        <w:t>por distritos de Barcelona (</w:t>
      </w:r>
      <w:r w:rsidR="00205C70" w:rsidRPr="007E5768">
        <w:rPr>
          <w:rFonts w:ascii="Open Sans Light" w:hAnsi="Open Sans Light" w:cs="Open Sans Light"/>
          <w:b/>
          <w:iCs/>
          <w:color w:val="303AB2"/>
        </w:rPr>
        <w:t xml:space="preserve">comparativa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2020,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24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 xml:space="preserve"> </w:t>
      </w:r>
      <w:r w:rsidR="00403601">
        <w:rPr>
          <w:rFonts w:ascii="Open Sans Light" w:hAnsi="Open Sans Light" w:cs="Open Sans Light"/>
          <w:b/>
          <w:iCs/>
          <w:color w:val="303AB2"/>
        </w:rPr>
        <w:t xml:space="preserve">y </w:t>
      </w:r>
      <w:r w:rsidR="00403601" w:rsidRPr="007E5768">
        <w:rPr>
          <w:rFonts w:ascii="Open Sans Light" w:hAnsi="Open Sans Light" w:cs="Open Sans Light"/>
          <w:b/>
          <w:iCs/>
          <w:color w:val="303AB2"/>
        </w:rPr>
        <w:t>20</w:t>
      </w:r>
      <w:r w:rsidR="00403601">
        <w:rPr>
          <w:rFonts w:ascii="Open Sans Light" w:hAnsi="Open Sans Light" w:cs="Open Sans Light"/>
          <w:b/>
          <w:iCs/>
          <w:color w:val="303AB2"/>
        </w:rPr>
        <w:t>25</w:t>
      </w:r>
      <w:r w:rsidR="00717982" w:rsidRPr="007E5768">
        <w:rPr>
          <w:rFonts w:ascii="Open Sans Light" w:hAnsi="Open Sans Light" w:cs="Open Sans Light"/>
          <w:b/>
          <w:iCs/>
          <w:color w:val="303AB2"/>
        </w:rPr>
        <w:t>)</w:t>
      </w:r>
    </w:p>
    <w:tbl>
      <w:tblPr>
        <w:tblStyle w:val="Tabladecuadrcula5oscura-nfasis11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84"/>
      </w:tblGrid>
      <w:tr w:rsidR="002A13C7" w:rsidRPr="002B1795" w14:paraId="0C09C22C" w14:textId="77777777" w:rsidTr="000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5D65FDE" w14:textId="721F69BF" w:rsidR="002A13C7" w:rsidRPr="0026727E" w:rsidRDefault="002A13C7" w:rsidP="00403601">
            <w:pPr>
              <w:jc w:val="center"/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6727E">
              <w:rPr>
                <w:rFonts w:ascii="Open Sans" w:hAnsi="Open Sans" w:cs="Open Sans"/>
                <w:b w:val="0"/>
                <w:bCs w:val="0"/>
                <w:color w:val="FFFFFF" w:themeColor="background1"/>
                <w:sz w:val="20"/>
                <w:szCs w:val="20"/>
              </w:rPr>
              <w:t>Distritos de Barcelona</w:t>
            </w:r>
          </w:p>
        </w:tc>
        <w:tc>
          <w:tcPr>
            <w:tcW w:w="2127" w:type="dxa"/>
            <w:vAlign w:val="center"/>
          </w:tcPr>
          <w:p w14:paraId="3FFAA141" w14:textId="77777777" w:rsidR="002A13C7" w:rsidRPr="003349B3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2020</w:t>
            </w:r>
          </w:p>
          <w:p w14:paraId="17253684" w14:textId="0D0918A7" w:rsidR="002A13C7" w:rsidRPr="0026727E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(5 años)</w:t>
            </w:r>
          </w:p>
        </w:tc>
        <w:tc>
          <w:tcPr>
            <w:tcW w:w="2126" w:type="dxa"/>
            <w:vAlign w:val="center"/>
          </w:tcPr>
          <w:p w14:paraId="6C0269D4" w14:textId="77777777" w:rsidR="002A13C7" w:rsidRPr="003349B3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 2024</w:t>
            </w:r>
          </w:p>
          <w:p w14:paraId="39FBE335" w14:textId="33A2CD39" w:rsidR="002A13C7" w:rsidRPr="0026727E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49B3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(1 año)</w:t>
            </w:r>
          </w:p>
        </w:tc>
        <w:tc>
          <w:tcPr>
            <w:tcW w:w="1984" w:type="dxa"/>
            <w:vAlign w:val="center"/>
          </w:tcPr>
          <w:p w14:paraId="4AFFB728" w14:textId="77777777" w:rsidR="002A13C7" w:rsidRPr="00BB7C77" w:rsidRDefault="002A13C7" w:rsidP="00403601">
            <w:pPr>
              <w:pStyle w:val="Listavistosa-nfasis1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  <w:t>Rentabilidad</w:t>
            </w:r>
          </w:p>
          <w:p w14:paraId="6172CC05" w14:textId="4F225039" w:rsidR="002A13C7" w:rsidRPr="0026727E" w:rsidRDefault="002A13C7" w:rsidP="00403601">
            <w:pPr>
              <w:pStyle w:val="Tex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rFonts w:ascii="Open Sans" w:hAnsi="Open Sans" w:cs="Open Sans"/>
                <w:b w:val="0"/>
                <w:bCs w:val="0"/>
                <w:sz w:val="20"/>
                <w:szCs w:val="20"/>
                <w:lang w:val="es-ES"/>
              </w:rPr>
            </w:pPr>
            <w:r w:rsidRPr="00BB7C77">
              <w:rPr>
                <w:rStyle w:val="nfasis"/>
                <w:rFonts w:ascii="Open Sans" w:hAnsi="Open Sans" w:cs="Open Sans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2025</w:t>
            </w:r>
          </w:p>
        </w:tc>
      </w:tr>
      <w:tr w:rsidR="002A13C7" w:rsidRPr="002B1795" w14:paraId="76C13E34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692D5499" w14:textId="0E136D1A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Gràcia</w:t>
            </w:r>
          </w:p>
        </w:tc>
        <w:tc>
          <w:tcPr>
            <w:tcW w:w="2127" w:type="dxa"/>
            <w:vAlign w:val="bottom"/>
          </w:tcPr>
          <w:p w14:paraId="0B1354CA" w14:textId="3AB05048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2126" w:type="dxa"/>
            <w:vAlign w:val="bottom"/>
          </w:tcPr>
          <w:p w14:paraId="7FA88FBD" w14:textId="612CF554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984" w:type="dxa"/>
            <w:vAlign w:val="bottom"/>
          </w:tcPr>
          <w:p w14:paraId="009F3502" w14:textId="056CDBF9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6,6%</w:t>
            </w:r>
          </w:p>
        </w:tc>
      </w:tr>
      <w:tr w:rsidR="002A13C7" w:rsidRPr="002B1795" w14:paraId="59B3B701" w14:textId="77777777" w:rsidTr="000B026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6E7C3EBC" w14:textId="21E7F539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Les Corts</w:t>
            </w:r>
          </w:p>
        </w:tc>
        <w:tc>
          <w:tcPr>
            <w:tcW w:w="2127" w:type="dxa"/>
            <w:vAlign w:val="bottom"/>
          </w:tcPr>
          <w:p w14:paraId="2F7FA29E" w14:textId="6BC70595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2126" w:type="dxa"/>
            <w:vAlign w:val="bottom"/>
          </w:tcPr>
          <w:p w14:paraId="4E8E45AA" w14:textId="7D5E0B01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984" w:type="dxa"/>
            <w:vAlign w:val="bottom"/>
          </w:tcPr>
          <w:p w14:paraId="4313626D" w14:textId="72583674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</w:tr>
      <w:tr w:rsidR="002A13C7" w:rsidRPr="002B1795" w14:paraId="38977DB6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5E807F2C" w14:textId="458682A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Ciutat Vella</w:t>
            </w:r>
          </w:p>
        </w:tc>
        <w:tc>
          <w:tcPr>
            <w:tcW w:w="2127" w:type="dxa"/>
            <w:vAlign w:val="bottom"/>
          </w:tcPr>
          <w:p w14:paraId="029BA4B6" w14:textId="3D2E0391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80A98E9" w14:textId="54B55302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984" w:type="dxa"/>
            <w:vAlign w:val="bottom"/>
          </w:tcPr>
          <w:p w14:paraId="3998DE5E" w14:textId="2FA2CBD1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</w:tr>
      <w:tr w:rsidR="002A13C7" w:rsidRPr="002B1795" w14:paraId="54353CE6" w14:textId="77777777" w:rsidTr="000B026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BAADAC7" w14:textId="72EDAD23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Eixample</w:t>
            </w:r>
          </w:p>
        </w:tc>
        <w:tc>
          <w:tcPr>
            <w:tcW w:w="2127" w:type="dxa"/>
            <w:vAlign w:val="bottom"/>
          </w:tcPr>
          <w:p w14:paraId="0497BE97" w14:textId="10995D4C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7,4%</w:t>
            </w:r>
          </w:p>
        </w:tc>
        <w:tc>
          <w:tcPr>
            <w:tcW w:w="2126" w:type="dxa"/>
            <w:vAlign w:val="bottom"/>
          </w:tcPr>
          <w:p w14:paraId="4C776678" w14:textId="2C952EEC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1984" w:type="dxa"/>
            <w:vAlign w:val="bottom"/>
          </w:tcPr>
          <w:p w14:paraId="1BA2EB9A" w14:textId="186C8326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</w:tr>
      <w:tr w:rsidR="002A13C7" w:rsidRPr="002B1795" w14:paraId="3C063EEC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96E281C" w14:textId="6E3AC577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Sarrià - Sant Gervasi</w:t>
            </w:r>
          </w:p>
        </w:tc>
        <w:tc>
          <w:tcPr>
            <w:tcW w:w="2127" w:type="dxa"/>
            <w:vAlign w:val="bottom"/>
          </w:tcPr>
          <w:p w14:paraId="32058ADF" w14:textId="33AB1C73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  <w:tc>
          <w:tcPr>
            <w:tcW w:w="2126" w:type="dxa"/>
            <w:vAlign w:val="bottom"/>
          </w:tcPr>
          <w:p w14:paraId="19AD588B" w14:textId="3288FADA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1984" w:type="dxa"/>
            <w:vAlign w:val="bottom"/>
          </w:tcPr>
          <w:p w14:paraId="2A2A8392" w14:textId="0DE4636E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</w:tr>
      <w:tr w:rsidR="002A13C7" w:rsidRPr="002B1795" w14:paraId="4E34DEFA" w14:textId="77777777" w:rsidTr="000B026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56A8B721" w14:textId="6EBED91B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Sant Andreu</w:t>
            </w:r>
          </w:p>
        </w:tc>
        <w:tc>
          <w:tcPr>
            <w:tcW w:w="2127" w:type="dxa"/>
            <w:vAlign w:val="bottom"/>
          </w:tcPr>
          <w:p w14:paraId="21864D33" w14:textId="2EDD888C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5,6%</w:t>
            </w:r>
          </w:p>
        </w:tc>
        <w:tc>
          <w:tcPr>
            <w:tcW w:w="2126" w:type="dxa"/>
            <w:vAlign w:val="bottom"/>
          </w:tcPr>
          <w:p w14:paraId="384C59B2" w14:textId="4ABD8DAB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1984" w:type="dxa"/>
            <w:vAlign w:val="bottom"/>
          </w:tcPr>
          <w:p w14:paraId="6419D608" w14:textId="015915AE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6,2%</w:t>
            </w:r>
          </w:p>
        </w:tc>
      </w:tr>
      <w:tr w:rsidR="002A13C7" w:rsidRPr="002B1795" w14:paraId="7EA626E8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6D6ACA1A" w14:textId="391CA186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Sants - Montjuïc</w:t>
            </w:r>
          </w:p>
        </w:tc>
        <w:tc>
          <w:tcPr>
            <w:tcW w:w="2127" w:type="dxa"/>
            <w:vAlign w:val="bottom"/>
          </w:tcPr>
          <w:p w14:paraId="34D84986" w14:textId="39330FAE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7,6%</w:t>
            </w:r>
          </w:p>
        </w:tc>
        <w:tc>
          <w:tcPr>
            <w:tcW w:w="2126" w:type="dxa"/>
            <w:vAlign w:val="bottom"/>
          </w:tcPr>
          <w:p w14:paraId="688959BE" w14:textId="08ECE288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984" w:type="dxa"/>
            <w:vAlign w:val="bottom"/>
          </w:tcPr>
          <w:p w14:paraId="7844B379" w14:textId="621F247A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</w:tr>
      <w:tr w:rsidR="002A13C7" w:rsidRPr="002B1795" w14:paraId="14397C58" w14:textId="77777777" w:rsidTr="000B026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472F9F85" w14:textId="72EDBD0C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Sant Martí</w:t>
            </w:r>
          </w:p>
        </w:tc>
        <w:tc>
          <w:tcPr>
            <w:tcW w:w="2127" w:type="dxa"/>
            <w:vAlign w:val="bottom"/>
          </w:tcPr>
          <w:p w14:paraId="09079A4B" w14:textId="7DB6EF0B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2126" w:type="dxa"/>
            <w:vAlign w:val="bottom"/>
          </w:tcPr>
          <w:p w14:paraId="03B6F515" w14:textId="2D1FEDBB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1984" w:type="dxa"/>
            <w:vAlign w:val="bottom"/>
          </w:tcPr>
          <w:p w14:paraId="1CE4E532" w14:textId="5B44AB54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</w:tr>
      <w:tr w:rsidR="002A13C7" w:rsidRPr="002B1795" w14:paraId="6B685BE4" w14:textId="77777777" w:rsidTr="000B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7C63F2E3" w14:textId="6267F03D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Horta - Guinardó</w:t>
            </w:r>
          </w:p>
        </w:tc>
        <w:tc>
          <w:tcPr>
            <w:tcW w:w="2127" w:type="dxa"/>
            <w:vAlign w:val="bottom"/>
          </w:tcPr>
          <w:p w14:paraId="2169F424" w14:textId="2A552567" w:rsidR="002A13C7" w:rsidRPr="00221600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2126" w:type="dxa"/>
            <w:vAlign w:val="bottom"/>
          </w:tcPr>
          <w:p w14:paraId="78C7BE59" w14:textId="5BAEC407" w:rsidR="002A13C7" w:rsidRPr="0026727E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984" w:type="dxa"/>
            <w:vAlign w:val="bottom"/>
          </w:tcPr>
          <w:p w14:paraId="21DE6228" w14:textId="3E1B3491" w:rsidR="002A13C7" w:rsidRPr="007A2E47" w:rsidRDefault="002A13C7" w:rsidP="00403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5,7%</w:t>
            </w:r>
          </w:p>
        </w:tc>
      </w:tr>
      <w:tr w:rsidR="002A13C7" w:rsidRPr="002B1795" w14:paraId="0B5FD36E" w14:textId="77777777" w:rsidTr="000B026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</w:tcPr>
          <w:p w14:paraId="1D9A1EFC" w14:textId="470216BB" w:rsidR="002A13C7" w:rsidRPr="002A13C7" w:rsidRDefault="002A13C7" w:rsidP="00403601">
            <w:pPr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2A13C7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Nou Barris</w:t>
            </w:r>
          </w:p>
        </w:tc>
        <w:tc>
          <w:tcPr>
            <w:tcW w:w="2127" w:type="dxa"/>
            <w:vAlign w:val="bottom"/>
          </w:tcPr>
          <w:p w14:paraId="3CA3656A" w14:textId="34BC7AEA" w:rsidR="002A13C7" w:rsidRPr="00221600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376725D" w14:textId="2A11DD04" w:rsidR="002A13C7" w:rsidRPr="0026727E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1984" w:type="dxa"/>
            <w:vAlign w:val="bottom"/>
          </w:tcPr>
          <w:p w14:paraId="520E5857" w14:textId="094ABA46" w:rsidR="002A13C7" w:rsidRPr="007A2E47" w:rsidRDefault="002A13C7" w:rsidP="00403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4,6%</w:t>
            </w:r>
          </w:p>
        </w:tc>
      </w:tr>
    </w:tbl>
    <w:p w14:paraId="2AE34073" w14:textId="77777777" w:rsidR="00660B51" w:rsidRDefault="00660B51" w:rsidP="00403601">
      <w:pPr>
        <w:spacing w:line="276" w:lineRule="auto"/>
        <w:jc w:val="right"/>
        <w:rPr>
          <w:rFonts w:ascii="Open Sans Light" w:eastAsia="Open Sans Light" w:hAnsi="Open Sans Light" w:cs="Open Sans Light"/>
          <w:b/>
          <w:color w:val="303AB2"/>
        </w:rPr>
      </w:pPr>
    </w:p>
    <w:p w14:paraId="17340702" w14:textId="77777777" w:rsidR="009006FC" w:rsidRDefault="009006FC" w:rsidP="009006FC">
      <w:pPr>
        <w:spacing w:line="276" w:lineRule="auto"/>
        <w:jc w:val="right"/>
        <w:rPr>
          <w:rFonts w:ascii="Open Sans Light" w:eastAsia="Open Sans Light" w:hAnsi="Open Sans Light" w:cs="Open Sans Light"/>
          <w:b/>
          <w:bCs/>
          <w:color w:val="303AB2"/>
        </w:rPr>
      </w:pPr>
      <w:r>
        <w:rPr>
          <w:rFonts w:ascii="Open Sans Light" w:eastAsia="Open Sans Light" w:hAnsi="Open Sans Light" w:cs="Open Sans Light"/>
          <w:b/>
          <w:bCs/>
          <w:color w:val="303AB2"/>
        </w:rPr>
        <w:t>Sobre Fotocasa</w:t>
      </w:r>
    </w:p>
    <w:p w14:paraId="41FDA0C8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Fotocasa es uno de los principales portales inmobiliarios de España, con una amplia oferta de viviendas de segunda mano, promociones de obra nueva y alquileres que pertenece a </w:t>
      </w:r>
      <w:r>
        <w:rPr>
          <w:rFonts w:ascii="Open Sans" w:eastAsia="Open Sans" w:hAnsi="Open Sans" w:cs="Open Sans"/>
          <w:b/>
          <w:bCs/>
          <w:sz w:val="22"/>
          <w:szCs w:val="22"/>
        </w:rPr>
        <w:t>Fotocasa Group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3A0DF651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Mensualmente, elabora el </w:t>
      </w:r>
      <w:hyperlink r:id="rId16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Índice inmobiliario Fotocasa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un informe de referencia que analiza la evolución del precio medio de la vivienda en España, tanto en venta como en alquiler. Desde 2017, desarrolla además estudios sociológicos bajo el sello </w:t>
      </w:r>
      <w:hyperlink r:id="rId17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 Research</w:t>
        </w:r>
      </w:hyperlink>
      <w:r>
        <w:rPr>
          <w:rFonts w:ascii="Open Sans" w:eastAsia="Open Sans" w:hAnsi="Open Sans" w:cs="Open Sans"/>
          <w:sz w:val="22"/>
          <w:szCs w:val="22"/>
        </w:rPr>
        <w:t>, con el objetivo de aportar conocimiento y análisis en profundidad sobre las tendencias del mercado y el comportamiento de los ciudadanos en relación con la vivienda.</w:t>
      </w:r>
    </w:p>
    <w:p w14:paraId="44AF5D37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Toda la información y los últimos comunicados están disponibles en su </w:t>
      </w:r>
      <w:hyperlink r:id="rId18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Sala de Prensa</w:t>
        </w:r>
      </w:hyperlink>
    </w:p>
    <w:p w14:paraId="1697CE04" w14:textId="77777777" w:rsidR="009006FC" w:rsidRDefault="009006FC" w:rsidP="009006FC">
      <w:pPr>
        <w:spacing w:line="276" w:lineRule="auto"/>
        <w:rPr>
          <w:rFonts w:ascii="Open Sans Light" w:eastAsia="Open Sans Light" w:hAnsi="Open Sans Light" w:cs="Open Sans Light"/>
          <w:b/>
          <w:bCs/>
          <w:color w:val="303AB2"/>
        </w:rPr>
      </w:pPr>
    </w:p>
    <w:p w14:paraId="58C72A6C" w14:textId="77777777" w:rsidR="009006FC" w:rsidRDefault="009006FC" w:rsidP="009006FC">
      <w:pPr>
        <w:spacing w:line="276" w:lineRule="auto"/>
        <w:jc w:val="right"/>
        <w:rPr>
          <w:rFonts w:ascii="Open Sans Light" w:eastAsia="Open Sans Light" w:hAnsi="Open Sans Light" w:cs="Open Sans Light"/>
          <w:b/>
          <w:bCs/>
          <w:color w:val="303AB2"/>
        </w:rPr>
      </w:pPr>
      <w:r>
        <w:rPr>
          <w:rFonts w:ascii="Open Sans Light" w:eastAsia="Open Sans Light" w:hAnsi="Open Sans Light" w:cs="Open Sans Light"/>
          <w:b/>
          <w:bCs/>
          <w:color w:val="303AB2"/>
        </w:rPr>
        <w:t>Sobre Fotocasa Group</w:t>
      </w:r>
    </w:p>
    <w:p w14:paraId="6BB34933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bCs/>
          <w:sz w:val="22"/>
          <w:szCs w:val="22"/>
        </w:rPr>
        <w:t>Fotocasa Group</w:t>
      </w:r>
      <w:r>
        <w:rPr>
          <w:rFonts w:ascii="Open Sans" w:eastAsia="Open Sans" w:hAnsi="Open Sans" w:cs="Open Sans"/>
          <w:sz w:val="22"/>
          <w:szCs w:val="22"/>
        </w:rPr>
        <w:t xml:space="preserve"> es un referente del sector inmobiliario en España, </w:t>
      </w:r>
      <w:r>
        <w:rPr>
          <w:rFonts w:ascii="Open Sans" w:eastAsia="Open Sans" w:hAnsi="Open Sans" w:cs="Open Sans"/>
          <w:b/>
          <w:bCs/>
          <w:sz w:val="22"/>
          <w:szCs w:val="22"/>
        </w:rPr>
        <w:t>con más de 25 años de experiencia</w:t>
      </w:r>
      <w:r>
        <w:rPr>
          <w:rFonts w:ascii="Open Sans" w:eastAsia="Open Sans" w:hAnsi="Open Sans" w:cs="Open Sans"/>
          <w:sz w:val="22"/>
          <w:szCs w:val="22"/>
        </w:rPr>
        <w:t> liderando la transformación del real estate a través de la innovación, los datos y la tecnología.</w:t>
      </w:r>
    </w:p>
    <w:p w14:paraId="580C0CCE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Bajo su marca paraguas, Fotocasa Group impulsa y da visibilidad a un ecosistema de marcas líderes —</w:t>
      </w:r>
      <w:hyperlink r:id="rId19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0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habitaclia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1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 Pro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2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Datavenues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3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Witei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 e </w:t>
      </w:r>
      <w:hyperlink r:id="rId24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</w:rPr>
          <w:t>Inmoweb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— que ofrecen soluciones integrales tanto </w:t>
      </w:r>
      <w:r>
        <w:rPr>
          <w:rFonts w:ascii="Open Sans" w:eastAsia="Open Sans" w:hAnsi="Open Sans" w:cs="Open Sans"/>
          <w:b/>
          <w:bCs/>
          <w:sz w:val="22"/>
          <w:szCs w:val="22"/>
        </w:rPr>
        <w:t>para particulares como para profesionales del sector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61542E99" w14:textId="77777777" w:rsidR="009006FC" w:rsidRDefault="009006FC" w:rsidP="009006FC">
      <w:pPr>
        <w:shd w:val="clear" w:color="auto" w:fill="FFFFFF"/>
        <w:spacing w:before="280" w:after="280"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bCs/>
          <w:sz w:val="22"/>
          <w:szCs w:val="22"/>
        </w:rPr>
        <w:lastRenderedPageBreak/>
        <w:t>Fotocasa</w:t>
      </w:r>
      <w:r>
        <w:rPr>
          <w:rFonts w:ascii="Open Sans" w:eastAsia="Open Sans" w:hAnsi="Open Sans" w:cs="Open Sans"/>
          <w:sz w:val="22"/>
          <w:szCs w:val="22"/>
        </w:rPr>
        <w:t>, la marca insignia del grupo, conecta cada día a </w:t>
      </w:r>
      <w:r>
        <w:rPr>
          <w:rFonts w:ascii="Open Sans" w:eastAsia="Open Sans" w:hAnsi="Open Sans" w:cs="Open Sans"/>
          <w:b/>
          <w:bCs/>
          <w:sz w:val="22"/>
          <w:szCs w:val="22"/>
        </w:rPr>
        <w:t>millones de personas con su próximo hogar</w:t>
      </w:r>
      <w:r>
        <w:rPr>
          <w:rFonts w:ascii="Open Sans" w:eastAsia="Open Sans" w:hAnsi="Open Sans" w:cs="Open Sans"/>
          <w:sz w:val="22"/>
          <w:szCs w:val="22"/>
        </w:rPr>
        <w:t>, ofreciendo la mayor oferta de viviendas de segunda mano, obra nueva, alquiler y compraventa, junto con análisis y contenidos que la consolidan como un auténtico </w:t>
      </w:r>
      <w:r>
        <w:rPr>
          <w:rFonts w:ascii="Open Sans" w:eastAsia="Open Sans" w:hAnsi="Open Sans" w:cs="Open Sans"/>
          <w:b/>
          <w:bCs/>
          <w:sz w:val="22"/>
          <w:szCs w:val="22"/>
        </w:rPr>
        <w:t>referente del mercado inmobiliario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758C95C5" w14:textId="77777777" w:rsidR="009006FC" w:rsidRDefault="009006FC" w:rsidP="009006FC">
      <w:pPr>
        <w:spacing w:line="276" w:lineRule="auto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bCs/>
          <w:sz w:val="22"/>
          <w:szCs w:val="22"/>
        </w:rPr>
        <w:t>F</w:t>
      </w:r>
      <w:r w:rsidRPr="00D46246">
        <w:rPr>
          <w:rFonts w:ascii="Open Sans" w:eastAsia="Open Sans" w:hAnsi="Open Sans" w:cs="Open Sans"/>
          <w:b/>
          <w:bCs/>
          <w:sz w:val="22"/>
          <w:szCs w:val="22"/>
        </w:rPr>
        <w:t>otocasa Group forma parte de Scout24</w:t>
      </w:r>
      <w:r w:rsidRPr="00D46246">
        <w:rPr>
          <w:rFonts w:ascii="Open Sans" w:eastAsia="Open Sans" w:hAnsi="Open Sans" w:cs="Open Sans"/>
          <w:sz w:val="22"/>
          <w:szCs w:val="22"/>
        </w:rPr>
        <w:t xml:space="preserve">, el grupo tecnológico alemán líder en Europa que opera </w:t>
      </w:r>
      <w:r w:rsidRPr="00D46246">
        <w:rPr>
          <w:rFonts w:ascii="Open Sans" w:eastAsia="Open Sans" w:hAnsi="Open Sans" w:cs="Open Sans"/>
          <w:b/>
          <w:bCs/>
          <w:sz w:val="22"/>
          <w:szCs w:val="22"/>
        </w:rPr>
        <w:t>ImmoScout24</w:t>
      </w:r>
      <w:r w:rsidRPr="00D46246"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2D5A9FE0" w14:textId="77777777" w:rsidR="009006FC" w:rsidRDefault="009006FC" w:rsidP="009006FC">
      <w:pPr>
        <w:spacing w:line="276" w:lineRule="auto"/>
        <w:jc w:val="both"/>
        <w:rPr>
          <w:rFonts w:ascii="Open Sans" w:eastAsia="Open Sans" w:hAnsi="Open Sans" w:cs="Open Sans"/>
          <w:sz w:val="22"/>
          <w:szCs w:val="22"/>
        </w:rPr>
      </w:pPr>
    </w:p>
    <w:p w14:paraId="08B43137" w14:textId="77777777" w:rsidR="009006FC" w:rsidRPr="000D180B" w:rsidRDefault="009006FC" w:rsidP="009006FC">
      <w:pPr>
        <w:spacing w:line="276" w:lineRule="auto"/>
        <w:jc w:val="right"/>
        <w:rPr>
          <w:rFonts w:ascii="Open Sans Light" w:eastAsia="Open Sans Light" w:hAnsi="Open Sans Light" w:cs="Open Sans Light"/>
          <w:b/>
          <w:bCs/>
          <w:color w:val="303AB2"/>
        </w:rPr>
      </w:pPr>
      <w:r w:rsidRPr="000D180B">
        <w:rPr>
          <w:rFonts w:ascii="Open Sans Light" w:eastAsia="Open Sans Light" w:hAnsi="Open Sans Light" w:cs="Open Sans Light"/>
          <w:b/>
          <w:bCs/>
          <w:color w:val="303AB2"/>
        </w:rPr>
        <w:t>Sobre Scout24</w:t>
      </w:r>
    </w:p>
    <w:p w14:paraId="03D0C07C" w14:textId="77777777" w:rsidR="009006FC" w:rsidRDefault="009006FC" w:rsidP="00900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sz w:val="22"/>
          <w:szCs w:val="22"/>
          <w:lang w:val="es-ES"/>
        </w:rPr>
      </w:pPr>
    </w:p>
    <w:p w14:paraId="7A74FCAE" w14:textId="77777777" w:rsidR="009006FC" w:rsidRDefault="009006FC" w:rsidP="00900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sz w:val="22"/>
          <w:szCs w:val="22"/>
          <w:lang w:val="es-ES"/>
        </w:rPr>
      </w:pPr>
      <w:r w:rsidRPr="000D180B">
        <w:rPr>
          <w:rFonts w:ascii="Open Sans" w:eastAsia="Open Sans" w:hAnsi="Open Sans" w:cs="Open Sans"/>
          <w:b/>
          <w:bCs/>
          <w:sz w:val="22"/>
          <w:szCs w:val="22"/>
          <w:lang w:val="es-ES"/>
        </w:rPr>
        <w:t>Scout24 es una de las empresas tecnológicas líderes en Alemania</w:t>
      </w:r>
      <w:r w:rsidRPr="000D180B">
        <w:rPr>
          <w:rFonts w:ascii="Open Sans" w:eastAsia="Open Sans" w:hAnsi="Open Sans" w:cs="Open Sans"/>
          <w:sz w:val="22"/>
          <w:szCs w:val="22"/>
          <w:lang w:val="es-ES"/>
        </w:rPr>
        <w:t xml:space="preserve">. Con el marketplace </w:t>
      </w:r>
      <w:hyperlink r:id="rId25" w:history="1">
        <w:r w:rsidRPr="000D180B">
          <w:rPr>
            <w:rStyle w:val="Hipervnculo"/>
            <w:rFonts w:ascii="Open Sans" w:eastAsia="Open Sans" w:hAnsi="Open Sans" w:cs="Open Sans"/>
            <w:sz w:val="22"/>
            <w:szCs w:val="22"/>
            <w:lang w:val="es-ES"/>
          </w:rPr>
          <w:t>ImmoScout24</w:t>
        </w:r>
      </w:hyperlink>
      <w:r w:rsidRPr="000D180B">
        <w:rPr>
          <w:rFonts w:ascii="Open Sans" w:eastAsia="Open Sans" w:hAnsi="Open Sans" w:cs="Open Sans"/>
          <w:sz w:val="22"/>
          <w:szCs w:val="22"/>
          <w:lang w:val="es-ES"/>
        </w:rPr>
        <w:t xml:space="preserve">, especializado en el sector residencial y comercial, conectamos con éxito a propietarios, agentes inmobiliarios, inquilinos y compradores desde hace más de 25 años. </w:t>
      </w:r>
    </w:p>
    <w:p w14:paraId="750EA2C8" w14:textId="77777777" w:rsidR="009006FC" w:rsidRDefault="009006FC" w:rsidP="00900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sz w:val="22"/>
          <w:szCs w:val="22"/>
          <w:lang w:val="es-ES"/>
        </w:rPr>
      </w:pPr>
    </w:p>
    <w:p w14:paraId="4D87D15C" w14:textId="77777777" w:rsidR="009006FC" w:rsidRPr="000D180B" w:rsidRDefault="009006FC" w:rsidP="00900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pen Sans" w:eastAsia="Open Sans" w:hAnsi="Open Sans" w:cs="Open Sans"/>
          <w:sz w:val="22"/>
          <w:szCs w:val="22"/>
          <w:lang w:val="es-ES"/>
        </w:rPr>
      </w:pPr>
      <w:r w:rsidRPr="000D180B">
        <w:rPr>
          <w:rFonts w:ascii="Open Sans" w:eastAsia="Open Sans" w:hAnsi="Open Sans" w:cs="Open Sans"/>
          <w:sz w:val="22"/>
          <w:szCs w:val="22"/>
          <w:lang w:val="es-ES"/>
        </w:rPr>
        <w:t xml:space="preserve">Con aproximadamente 19 millones de usuarios al mes en su web o aplicación, </w:t>
      </w:r>
      <w:r w:rsidRPr="000D180B">
        <w:rPr>
          <w:rFonts w:ascii="Open Sans" w:eastAsia="Open Sans" w:hAnsi="Open Sans" w:cs="Open Sans"/>
          <w:b/>
          <w:bCs/>
          <w:sz w:val="22"/>
          <w:szCs w:val="22"/>
          <w:lang w:val="es-ES"/>
        </w:rPr>
        <w:t>ImmoScout24 es el líder del mercado en listados y búsqueda inmobiliaria digital</w:t>
      </w:r>
      <w:r w:rsidRPr="000D180B">
        <w:rPr>
          <w:rFonts w:ascii="Open Sans" w:eastAsia="Open Sans" w:hAnsi="Open Sans" w:cs="Open Sans"/>
          <w:sz w:val="22"/>
          <w:szCs w:val="22"/>
          <w:lang w:val="es-ES"/>
        </w:rPr>
        <w:t>. Para digitalizar el proceso de las transacciones inmobiliarias, ImmoScout24 desarrolla continuamente nuevos productos y construye un ecosistema conectado y rico en datos para el alquiler, la compra y el sector inmobiliario comercial en Alemania y Austria. Scout24 es una sociedad anónima que cotiza en bolsa (ISIN: DE000A12DM80, Ticker: G24) y miembro del DAX, así como del DAX 50 ESG y el DAX 50 ESG+.</w:t>
      </w:r>
    </w:p>
    <w:p w14:paraId="6E779641" w14:textId="77777777" w:rsidR="009006FC" w:rsidRPr="00D46246" w:rsidRDefault="009006FC" w:rsidP="009006FC">
      <w:pPr>
        <w:spacing w:line="276" w:lineRule="auto"/>
        <w:rPr>
          <w:rFonts w:ascii="Open Sans" w:eastAsia="Open Sans" w:hAnsi="Open Sans" w:cs="Open Sans"/>
          <w:lang w:val="es-ES"/>
        </w:rPr>
      </w:pPr>
    </w:p>
    <w:p w14:paraId="7CCC21AA" w14:textId="77777777" w:rsidR="009006FC" w:rsidRDefault="009006FC" w:rsidP="009006FC">
      <w:pPr>
        <w:spacing w:line="276" w:lineRule="auto"/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</w:pPr>
    </w:p>
    <w:p w14:paraId="3E345FE2" w14:textId="77777777" w:rsidR="009006FC" w:rsidRDefault="009006FC" w:rsidP="009006FC">
      <w:pPr>
        <w:spacing w:line="276" w:lineRule="auto"/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  <w:t>Departamento Comunicación Fotocasa</w:t>
      </w:r>
    </w:p>
    <w:p w14:paraId="7A4F34F1" w14:textId="77777777" w:rsidR="009006FC" w:rsidRDefault="009006FC" w:rsidP="009006FC">
      <w:pPr>
        <w:shd w:val="clear" w:color="auto" w:fill="FFFFFF"/>
        <w:spacing w:line="276" w:lineRule="auto"/>
        <w:rPr>
          <w:rFonts w:ascii="Open Sans" w:eastAsia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Anaïs García</w:t>
      </w:r>
    </w:p>
    <w:p w14:paraId="4BAF0B91" w14:textId="77777777" w:rsidR="009006FC" w:rsidRDefault="009006FC" w:rsidP="009006FC">
      <w:pPr>
        <w:shd w:val="clear" w:color="auto" w:fill="FFFFFF"/>
        <w:spacing w:line="276" w:lineRule="auto"/>
        <w:rPr>
          <w:rFonts w:ascii="Open Sans" w:eastAsia="Open Sans" w:hAnsi="Open Sans" w:cs="Open Sans"/>
          <w:color w:val="0000FF"/>
          <w:sz w:val="22"/>
          <w:szCs w:val="22"/>
          <w:u w:val="single"/>
        </w:rPr>
      </w:pPr>
      <w:hyperlink r:id="rId26">
        <w:r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comunicacion@fotocasa.es</w:t>
        </w:r>
      </w:hyperlink>
    </w:p>
    <w:p w14:paraId="155BA9FF" w14:textId="77777777" w:rsidR="009006FC" w:rsidRDefault="009006FC" w:rsidP="009006FC">
      <w:pPr>
        <w:shd w:val="clear" w:color="auto" w:fill="FFFFFF"/>
        <w:spacing w:line="276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620 66 29 26</w:t>
      </w:r>
    </w:p>
    <w:p w14:paraId="06476337" w14:textId="7B701DCC" w:rsidR="00660B51" w:rsidRPr="002572D7" w:rsidRDefault="00660B51" w:rsidP="009006FC">
      <w:pPr>
        <w:spacing w:line="276" w:lineRule="auto"/>
        <w:jc w:val="right"/>
        <w:rPr>
          <w:rFonts w:ascii="Open Sans" w:eastAsia="Times New Roman" w:hAnsi="Open Sans" w:cs="Open Sans"/>
          <w:color w:val="000000"/>
          <w:lang w:val="es-ES" w:eastAsia="es-ES_tradnl"/>
        </w:rPr>
      </w:pPr>
    </w:p>
    <w:sectPr w:rsidR="00660B51" w:rsidRPr="002572D7" w:rsidSect="00403601">
      <w:footerReference w:type="default" r:id="rId27"/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F80F" w14:textId="77777777" w:rsidR="00A74C41" w:rsidRDefault="00A74C41" w:rsidP="00DD4CA4">
      <w:r>
        <w:separator/>
      </w:r>
    </w:p>
  </w:endnote>
  <w:endnote w:type="continuationSeparator" w:id="0">
    <w:p w14:paraId="0698DBD7" w14:textId="77777777" w:rsidR="00A74C41" w:rsidRDefault="00A74C41" w:rsidP="00D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B15" w14:textId="4ED0A2EA" w:rsidR="00BB0D56" w:rsidRDefault="00BB0D5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8E4696" wp14:editId="6347A6A3">
          <wp:simplePos x="0" y="0"/>
          <wp:positionH relativeFrom="column">
            <wp:posOffset>-1068070</wp:posOffset>
          </wp:positionH>
          <wp:positionV relativeFrom="paragraph">
            <wp:posOffset>174625</wp:posOffset>
          </wp:positionV>
          <wp:extent cx="7670800" cy="451485"/>
          <wp:effectExtent l="0" t="0" r="6350" b="5715"/>
          <wp:wrapNone/>
          <wp:docPr id="6825600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C10C" w14:textId="77777777" w:rsidR="00A74C41" w:rsidRDefault="00A74C41" w:rsidP="00DD4CA4">
      <w:r>
        <w:separator/>
      </w:r>
    </w:p>
  </w:footnote>
  <w:footnote w:type="continuationSeparator" w:id="0">
    <w:p w14:paraId="57D61317" w14:textId="77777777" w:rsidR="00A74C41" w:rsidRDefault="00A74C41" w:rsidP="00DD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7E20"/>
    <w:multiLevelType w:val="hybridMultilevel"/>
    <w:tmpl w:val="C30C5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0A67"/>
    <w:multiLevelType w:val="hybridMultilevel"/>
    <w:tmpl w:val="6EB47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F5BC2"/>
    <w:multiLevelType w:val="multilevel"/>
    <w:tmpl w:val="E13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22EA9"/>
    <w:multiLevelType w:val="hybridMultilevel"/>
    <w:tmpl w:val="A7CA6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4275"/>
    <w:multiLevelType w:val="hybridMultilevel"/>
    <w:tmpl w:val="8CE6C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61786"/>
    <w:multiLevelType w:val="multilevel"/>
    <w:tmpl w:val="3C4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C4E6B"/>
    <w:multiLevelType w:val="hybridMultilevel"/>
    <w:tmpl w:val="47F60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7284">
    <w:abstractNumId w:val="5"/>
  </w:num>
  <w:num w:numId="2" w16cid:durableId="66271607">
    <w:abstractNumId w:val="2"/>
  </w:num>
  <w:num w:numId="3" w16cid:durableId="1201670183">
    <w:abstractNumId w:val="4"/>
  </w:num>
  <w:num w:numId="4" w16cid:durableId="834146259">
    <w:abstractNumId w:val="0"/>
  </w:num>
  <w:num w:numId="5" w16cid:durableId="1981767053">
    <w:abstractNumId w:val="3"/>
  </w:num>
  <w:num w:numId="6" w16cid:durableId="488987370">
    <w:abstractNumId w:val="6"/>
  </w:num>
  <w:num w:numId="7" w16cid:durableId="1043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7"/>
    <w:rsid w:val="00010ECE"/>
    <w:rsid w:val="00013D9B"/>
    <w:rsid w:val="00014269"/>
    <w:rsid w:val="00014EC0"/>
    <w:rsid w:val="000170AE"/>
    <w:rsid w:val="00026126"/>
    <w:rsid w:val="00031C62"/>
    <w:rsid w:val="0004274E"/>
    <w:rsid w:val="000432CF"/>
    <w:rsid w:val="00045CCC"/>
    <w:rsid w:val="000611AD"/>
    <w:rsid w:val="000614B9"/>
    <w:rsid w:val="0006264C"/>
    <w:rsid w:val="00063144"/>
    <w:rsid w:val="000733EB"/>
    <w:rsid w:val="000747F5"/>
    <w:rsid w:val="00075085"/>
    <w:rsid w:val="00083527"/>
    <w:rsid w:val="00084308"/>
    <w:rsid w:val="00091821"/>
    <w:rsid w:val="000943F6"/>
    <w:rsid w:val="00095DB6"/>
    <w:rsid w:val="000971B7"/>
    <w:rsid w:val="000A3C1F"/>
    <w:rsid w:val="000A3E2E"/>
    <w:rsid w:val="000A4242"/>
    <w:rsid w:val="000A7858"/>
    <w:rsid w:val="000B0269"/>
    <w:rsid w:val="000B0B72"/>
    <w:rsid w:val="000B1C1C"/>
    <w:rsid w:val="000B3DF9"/>
    <w:rsid w:val="000B6B0A"/>
    <w:rsid w:val="000B6CBA"/>
    <w:rsid w:val="000C428A"/>
    <w:rsid w:val="000C4FBE"/>
    <w:rsid w:val="000C57FF"/>
    <w:rsid w:val="000C5BB4"/>
    <w:rsid w:val="000C6749"/>
    <w:rsid w:val="000D5041"/>
    <w:rsid w:val="000D64E2"/>
    <w:rsid w:val="000D75C0"/>
    <w:rsid w:val="000F289C"/>
    <w:rsid w:val="000F3E4F"/>
    <w:rsid w:val="000F5C82"/>
    <w:rsid w:val="00102725"/>
    <w:rsid w:val="00114C24"/>
    <w:rsid w:val="00116C53"/>
    <w:rsid w:val="00123A76"/>
    <w:rsid w:val="00130736"/>
    <w:rsid w:val="0013210E"/>
    <w:rsid w:val="0014290F"/>
    <w:rsid w:val="001436CF"/>
    <w:rsid w:val="0014415E"/>
    <w:rsid w:val="001452AE"/>
    <w:rsid w:val="001517D2"/>
    <w:rsid w:val="00152FC9"/>
    <w:rsid w:val="001567C7"/>
    <w:rsid w:val="00161485"/>
    <w:rsid w:val="00165125"/>
    <w:rsid w:val="00165D49"/>
    <w:rsid w:val="001721BD"/>
    <w:rsid w:val="001761D6"/>
    <w:rsid w:val="001828F3"/>
    <w:rsid w:val="00182E2D"/>
    <w:rsid w:val="001847B0"/>
    <w:rsid w:val="00190644"/>
    <w:rsid w:val="00196144"/>
    <w:rsid w:val="0019707E"/>
    <w:rsid w:val="001A1DF8"/>
    <w:rsid w:val="001A3780"/>
    <w:rsid w:val="001A3B71"/>
    <w:rsid w:val="001A715C"/>
    <w:rsid w:val="001B1C65"/>
    <w:rsid w:val="001B5523"/>
    <w:rsid w:val="001C6F88"/>
    <w:rsid w:val="001E69C0"/>
    <w:rsid w:val="001E7664"/>
    <w:rsid w:val="001F00D0"/>
    <w:rsid w:val="001F48AD"/>
    <w:rsid w:val="001F7ECF"/>
    <w:rsid w:val="00201621"/>
    <w:rsid w:val="00202A40"/>
    <w:rsid w:val="0020558D"/>
    <w:rsid w:val="00205C70"/>
    <w:rsid w:val="00207B71"/>
    <w:rsid w:val="002129AF"/>
    <w:rsid w:val="00212AF8"/>
    <w:rsid w:val="002136F0"/>
    <w:rsid w:val="0021639C"/>
    <w:rsid w:val="00221600"/>
    <w:rsid w:val="002310BE"/>
    <w:rsid w:val="0023146C"/>
    <w:rsid w:val="00231714"/>
    <w:rsid w:val="00234CA7"/>
    <w:rsid w:val="0024318A"/>
    <w:rsid w:val="00246FF0"/>
    <w:rsid w:val="00247090"/>
    <w:rsid w:val="00247D28"/>
    <w:rsid w:val="002531A0"/>
    <w:rsid w:val="002557D7"/>
    <w:rsid w:val="002558A5"/>
    <w:rsid w:val="00260E38"/>
    <w:rsid w:val="00261537"/>
    <w:rsid w:val="0026727E"/>
    <w:rsid w:val="00267D6C"/>
    <w:rsid w:val="002710D2"/>
    <w:rsid w:val="00271BE9"/>
    <w:rsid w:val="002724F9"/>
    <w:rsid w:val="00280368"/>
    <w:rsid w:val="00285782"/>
    <w:rsid w:val="00286290"/>
    <w:rsid w:val="00287080"/>
    <w:rsid w:val="00291355"/>
    <w:rsid w:val="00292293"/>
    <w:rsid w:val="002937FF"/>
    <w:rsid w:val="00293E5A"/>
    <w:rsid w:val="002A13C7"/>
    <w:rsid w:val="002A35C0"/>
    <w:rsid w:val="002B1795"/>
    <w:rsid w:val="002B2787"/>
    <w:rsid w:val="002B3EE4"/>
    <w:rsid w:val="002B55AA"/>
    <w:rsid w:val="002B6E3D"/>
    <w:rsid w:val="002B76EA"/>
    <w:rsid w:val="002C091D"/>
    <w:rsid w:val="002C3FC5"/>
    <w:rsid w:val="002C4A56"/>
    <w:rsid w:val="002C4B96"/>
    <w:rsid w:val="002C4E41"/>
    <w:rsid w:val="002C5FCC"/>
    <w:rsid w:val="002D4E61"/>
    <w:rsid w:val="002E3368"/>
    <w:rsid w:val="002E43BB"/>
    <w:rsid w:val="002E448C"/>
    <w:rsid w:val="002E4C90"/>
    <w:rsid w:val="002E5B91"/>
    <w:rsid w:val="002E6C7E"/>
    <w:rsid w:val="002F1AD6"/>
    <w:rsid w:val="002F1B74"/>
    <w:rsid w:val="002F2D4F"/>
    <w:rsid w:val="002F3F36"/>
    <w:rsid w:val="002F4615"/>
    <w:rsid w:val="002F546D"/>
    <w:rsid w:val="002F582A"/>
    <w:rsid w:val="002F5AA3"/>
    <w:rsid w:val="00303FA4"/>
    <w:rsid w:val="0030786F"/>
    <w:rsid w:val="00307DF9"/>
    <w:rsid w:val="003242DF"/>
    <w:rsid w:val="00325388"/>
    <w:rsid w:val="0032584D"/>
    <w:rsid w:val="00325FED"/>
    <w:rsid w:val="003349B3"/>
    <w:rsid w:val="00334AD3"/>
    <w:rsid w:val="003421A6"/>
    <w:rsid w:val="003429B3"/>
    <w:rsid w:val="00347D36"/>
    <w:rsid w:val="00347D68"/>
    <w:rsid w:val="00351CB1"/>
    <w:rsid w:val="00354BA7"/>
    <w:rsid w:val="0035621E"/>
    <w:rsid w:val="0035736D"/>
    <w:rsid w:val="00376709"/>
    <w:rsid w:val="003828C7"/>
    <w:rsid w:val="0039057C"/>
    <w:rsid w:val="00392BC4"/>
    <w:rsid w:val="00393365"/>
    <w:rsid w:val="003B0013"/>
    <w:rsid w:val="003C38C8"/>
    <w:rsid w:val="003D2610"/>
    <w:rsid w:val="003D38A2"/>
    <w:rsid w:val="003D6E10"/>
    <w:rsid w:val="003E44BA"/>
    <w:rsid w:val="003F09DF"/>
    <w:rsid w:val="003F4390"/>
    <w:rsid w:val="003F7834"/>
    <w:rsid w:val="00400CD5"/>
    <w:rsid w:val="00401217"/>
    <w:rsid w:val="004029F8"/>
    <w:rsid w:val="00403601"/>
    <w:rsid w:val="00406C13"/>
    <w:rsid w:val="00410D15"/>
    <w:rsid w:val="0041117A"/>
    <w:rsid w:val="00414115"/>
    <w:rsid w:val="00414D1B"/>
    <w:rsid w:val="00420DED"/>
    <w:rsid w:val="00426D33"/>
    <w:rsid w:val="00432C53"/>
    <w:rsid w:val="00444549"/>
    <w:rsid w:val="0045059F"/>
    <w:rsid w:val="00453FB5"/>
    <w:rsid w:val="00454F4C"/>
    <w:rsid w:val="004577E7"/>
    <w:rsid w:val="004604D2"/>
    <w:rsid w:val="00461C69"/>
    <w:rsid w:val="00463264"/>
    <w:rsid w:val="00470ED1"/>
    <w:rsid w:val="00474750"/>
    <w:rsid w:val="00476118"/>
    <w:rsid w:val="00482C2F"/>
    <w:rsid w:val="0048419B"/>
    <w:rsid w:val="00491509"/>
    <w:rsid w:val="00495043"/>
    <w:rsid w:val="00496643"/>
    <w:rsid w:val="004A22D3"/>
    <w:rsid w:val="004A26AB"/>
    <w:rsid w:val="004A3944"/>
    <w:rsid w:val="004A3BBA"/>
    <w:rsid w:val="004A4710"/>
    <w:rsid w:val="004A5EBC"/>
    <w:rsid w:val="004A6315"/>
    <w:rsid w:val="004B0DEC"/>
    <w:rsid w:val="004B44D0"/>
    <w:rsid w:val="004B5250"/>
    <w:rsid w:val="004D017C"/>
    <w:rsid w:val="004D0558"/>
    <w:rsid w:val="004D1F9E"/>
    <w:rsid w:val="004D2D9F"/>
    <w:rsid w:val="004D48B4"/>
    <w:rsid w:val="004D4951"/>
    <w:rsid w:val="004D682B"/>
    <w:rsid w:val="004D7845"/>
    <w:rsid w:val="004E2F96"/>
    <w:rsid w:val="004E78A1"/>
    <w:rsid w:val="004F1A2C"/>
    <w:rsid w:val="004F44AF"/>
    <w:rsid w:val="004F4D46"/>
    <w:rsid w:val="005029E9"/>
    <w:rsid w:val="00503F5B"/>
    <w:rsid w:val="005044A8"/>
    <w:rsid w:val="00505D85"/>
    <w:rsid w:val="00511D9D"/>
    <w:rsid w:val="00516A6D"/>
    <w:rsid w:val="00516F9C"/>
    <w:rsid w:val="00520E88"/>
    <w:rsid w:val="00531421"/>
    <w:rsid w:val="0053519B"/>
    <w:rsid w:val="00535285"/>
    <w:rsid w:val="0053538C"/>
    <w:rsid w:val="005372AD"/>
    <w:rsid w:val="005412F0"/>
    <w:rsid w:val="005505BC"/>
    <w:rsid w:val="00560E7C"/>
    <w:rsid w:val="00563B08"/>
    <w:rsid w:val="00573348"/>
    <w:rsid w:val="005763C5"/>
    <w:rsid w:val="00581903"/>
    <w:rsid w:val="0058194B"/>
    <w:rsid w:val="00582136"/>
    <w:rsid w:val="00585032"/>
    <w:rsid w:val="00587182"/>
    <w:rsid w:val="00593D08"/>
    <w:rsid w:val="00596794"/>
    <w:rsid w:val="005A1AD1"/>
    <w:rsid w:val="005A4CB5"/>
    <w:rsid w:val="005B1CDF"/>
    <w:rsid w:val="005B37BD"/>
    <w:rsid w:val="005D0A5E"/>
    <w:rsid w:val="005D12D9"/>
    <w:rsid w:val="005D1F4E"/>
    <w:rsid w:val="005D20CD"/>
    <w:rsid w:val="005D249B"/>
    <w:rsid w:val="005D304E"/>
    <w:rsid w:val="005D4E1D"/>
    <w:rsid w:val="005E0920"/>
    <w:rsid w:val="005E2D99"/>
    <w:rsid w:val="005E71CA"/>
    <w:rsid w:val="005F4E62"/>
    <w:rsid w:val="005F6409"/>
    <w:rsid w:val="005F6CA3"/>
    <w:rsid w:val="005F7286"/>
    <w:rsid w:val="00602F62"/>
    <w:rsid w:val="00603A36"/>
    <w:rsid w:val="006042E2"/>
    <w:rsid w:val="00606A1A"/>
    <w:rsid w:val="00611616"/>
    <w:rsid w:val="006151D5"/>
    <w:rsid w:val="006245F1"/>
    <w:rsid w:val="006251BA"/>
    <w:rsid w:val="00630C70"/>
    <w:rsid w:val="00630DF7"/>
    <w:rsid w:val="00637401"/>
    <w:rsid w:val="00637AA1"/>
    <w:rsid w:val="00650951"/>
    <w:rsid w:val="006513E5"/>
    <w:rsid w:val="00655BFC"/>
    <w:rsid w:val="00657DA8"/>
    <w:rsid w:val="00660B51"/>
    <w:rsid w:val="006618CC"/>
    <w:rsid w:val="00666601"/>
    <w:rsid w:val="0066713C"/>
    <w:rsid w:val="00674ED2"/>
    <w:rsid w:val="00675FFB"/>
    <w:rsid w:val="00685C5B"/>
    <w:rsid w:val="00686B7D"/>
    <w:rsid w:val="00687F3F"/>
    <w:rsid w:val="00694BA6"/>
    <w:rsid w:val="0069509F"/>
    <w:rsid w:val="00697184"/>
    <w:rsid w:val="006A69C9"/>
    <w:rsid w:val="006A6B8E"/>
    <w:rsid w:val="006C3E53"/>
    <w:rsid w:val="006C6C5A"/>
    <w:rsid w:val="006D13CC"/>
    <w:rsid w:val="006D1C0A"/>
    <w:rsid w:val="006D1E41"/>
    <w:rsid w:val="006D2A96"/>
    <w:rsid w:val="006D417B"/>
    <w:rsid w:val="006E63EF"/>
    <w:rsid w:val="006E7701"/>
    <w:rsid w:val="006F0E41"/>
    <w:rsid w:val="006F2116"/>
    <w:rsid w:val="006F4B90"/>
    <w:rsid w:val="006F6575"/>
    <w:rsid w:val="007027AA"/>
    <w:rsid w:val="0071058F"/>
    <w:rsid w:val="00714653"/>
    <w:rsid w:val="00717982"/>
    <w:rsid w:val="0072469A"/>
    <w:rsid w:val="0073037A"/>
    <w:rsid w:val="00736F3A"/>
    <w:rsid w:val="00737CC4"/>
    <w:rsid w:val="00744EAC"/>
    <w:rsid w:val="00745C6B"/>
    <w:rsid w:val="0074620F"/>
    <w:rsid w:val="00752E50"/>
    <w:rsid w:val="00753088"/>
    <w:rsid w:val="00756208"/>
    <w:rsid w:val="00760C69"/>
    <w:rsid w:val="0076156F"/>
    <w:rsid w:val="00765781"/>
    <w:rsid w:val="00766069"/>
    <w:rsid w:val="0077458C"/>
    <w:rsid w:val="00792240"/>
    <w:rsid w:val="00793775"/>
    <w:rsid w:val="007950E4"/>
    <w:rsid w:val="007A2D7D"/>
    <w:rsid w:val="007A2DB6"/>
    <w:rsid w:val="007A2E47"/>
    <w:rsid w:val="007A55E0"/>
    <w:rsid w:val="007B57E2"/>
    <w:rsid w:val="007C443D"/>
    <w:rsid w:val="007C584D"/>
    <w:rsid w:val="007D001C"/>
    <w:rsid w:val="007D01D7"/>
    <w:rsid w:val="007D1A49"/>
    <w:rsid w:val="007D20B2"/>
    <w:rsid w:val="007D5A08"/>
    <w:rsid w:val="007D6472"/>
    <w:rsid w:val="007E5768"/>
    <w:rsid w:val="007E7286"/>
    <w:rsid w:val="007F191F"/>
    <w:rsid w:val="007F25F1"/>
    <w:rsid w:val="00801D9A"/>
    <w:rsid w:val="008048DB"/>
    <w:rsid w:val="00804B23"/>
    <w:rsid w:val="00811F06"/>
    <w:rsid w:val="008139AC"/>
    <w:rsid w:val="00821FF7"/>
    <w:rsid w:val="00822140"/>
    <w:rsid w:val="0082422B"/>
    <w:rsid w:val="008256C4"/>
    <w:rsid w:val="0083043A"/>
    <w:rsid w:val="00835805"/>
    <w:rsid w:val="00847032"/>
    <w:rsid w:val="00856420"/>
    <w:rsid w:val="00861183"/>
    <w:rsid w:val="00863400"/>
    <w:rsid w:val="00871389"/>
    <w:rsid w:val="00871446"/>
    <w:rsid w:val="008871B3"/>
    <w:rsid w:val="008872E4"/>
    <w:rsid w:val="008969CE"/>
    <w:rsid w:val="008A675E"/>
    <w:rsid w:val="008B1219"/>
    <w:rsid w:val="008B478E"/>
    <w:rsid w:val="008C2B02"/>
    <w:rsid w:val="008C3323"/>
    <w:rsid w:val="008C4239"/>
    <w:rsid w:val="008C51E0"/>
    <w:rsid w:val="008D06DB"/>
    <w:rsid w:val="008D1CEE"/>
    <w:rsid w:val="008D2DD9"/>
    <w:rsid w:val="008D49AE"/>
    <w:rsid w:val="008D5517"/>
    <w:rsid w:val="008E1900"/>
    <w:rsid w:val="008F079A"/>
    <w:rsid w:val="008F0CBA"/>
    <w:rsid w:val="008F3954"/>
    <w:rsid w:val="008F4960"/>
    <w:rsid w:val="008F6816"/>
    <w:rsid w:val="009006FC"/>
    <w:rsid w:val="009119C5"/>
    <w:rsid w:val="009120DE"/>
    <w:rsid w:val="009164AA"/>
    <w:rsid w:val="00916BEE"/>
    <w:rsid w:val="00917B85"/>
    <w:rsid w:val="00920BE6"/>
    <w:rsid w:val="00923D9D"/>
    <w:rsid w:val="00924A99"/>
    <w:rsid w:val="0092558B"/>
    <w:rsid w:val="00932659"/>
    <w:rsid w:val="0093512C"/>
    <w:rsid w:val="00935960"/>
    <w:rsid w:val="0093735E"/>
    <w:rsid w:val="009409BA"/>
    <w:rsid w:val="00950B8E"/>
    <w:rsid w:val="00964BED"/>
    <w:rsid w:val="00972675"/>
    <w:rsid w:val="00972E67"/>
    <w:rsid w:val="009755F4"/>
    <w:rsid w:val="009843CD"/>
    <w:rsid w:val="009873C3"/>
    <w:rsid w:val="009A056F"/>
    <w:rsid w:val="009A2F06"/>
    <w:rsid w:val="009A5E1C"/>
    <w:rsid w:val="009A6875"/>
    <w:rsid w:val="009B1CB5"/>
    <w:rsid w:val="009C0375"/>
    <w:rsid w:val="009C0542"/>
    <w:rsid w:val="009C08C9"/>
    <w:rsid w:val="009C7E9B"/>
    <w:rsid w:val="009D0826"/>
    <w:rsid w:val="009D10E6"/>
    <w:rsid w:val="009D2F77"/>
    <w:rsid w:val="009D718A"/>
    <w:rsid w:val="009E1F00"/>
    <w:rsid w:val="009E677F"/>
    <w:rsid w:val="009F36EA"/>
    <w:rsid w:val="009F4539"/>
    <w:rsid w:val="00A0322B"/>
    <w:rsid w:val="00A1628B"/>
    <w:rsid w:val="00A2313F"/>
    <w:rsid w:val="00A300F0"/>
    <w:rsid w:val="00A338CE"/>
    <w:rsid w:val="00A536B3"/>
    <w:rsid w:val="00A56319"/>
    <w:rsid w:val="00A61F7F"/>
    <w:rsid w:val="00A67FFC"/>
    <w:rsid w:val="00A73BE5"/>
    <w:rsid w:val="00A74C41"/>
    <w:rsid w:val="00A76E50"/>
    <w:rsid w:val="00A827F1"/>
    <w:rsid w:val="00A84CA7"/>
    <w:rsid w:val="00A85C13"/>
    <w:rsid w:val="00A86B55"/>
    <w:rsid w:val="00A92CA9"/>
    <w:rsid w:val="00A95883"/>
    <w:rsid w:val="00AA0274"/>
    <w:rsid w:val="00AA23C7"/>
    <w:rsid w:val="00AA49C9"/>
    <w:rsid w:val="00AB4CCE"/>
    <w:rsid w:val="00AC21C2"/>
    <w:rsid w:val="00AC5B20"/>
    <w:rsid w:val="00AD0C78"/>
    <w:rsid w:val="00AD0F7C"/>
    <w:rsid w:val="00AD62DD"/>
    <w:rsid w:val="00AE0893"/>
    <w:rsid w:val="00AE1825"/>
    <w:rsid w:val="00AE43A5"/>
    <w:rsid w:val="00AF163D"/>
    <w:rsid w:val="00AF2DF2"/>
    <w:rsid w:val="00B00C36"/>
    <w:rsid w:val="00B017DB"/>
    <w:rsid w:val="00B04900"/>
    <w:rsid w:val="00B10769"/>
    <w:rsid w:val="00B135BA"/>
    <w:rsid w:val="00B214AE"/>
    <w:rsid w:val="00B26980"/>
    <w:rsid w:val="00B34076"/>
    <w:rsid w:val="00B41A97"/>
    <w:rsid w:val="00B45F97"/>
    <w:rsid w:val="00B52B99"/>
    <w:rsid w:val="00B52C33"/>
    <w:rsid w:val="00B57233"/>
    <w:rsid w:val="00B6101B"/>
    <w:rsid w:val="00B629FA"/>
    <w:rsid w:val="00B65B9F"/>
    <w:rsid w:val="00B668EA"/>
    <w:rsid w:val="00B70B30"/>
    <w:rsid w:val="00B7635A"/>
    <w:rsid w:val="00B80303"/>
    <w:rsid w:val="00B82525"/>
    <w:rsid w:val="00B839ED"/>
    <w:rsid w:val="00B85F69"/>
    <w:rsid w:val="00B91EB3"/>
    <w:rsid w:val="00B93AE4"/>
    <w:rsid w:val="00B9536C"/>
    <w:rsid w:val="00B97DF8"/>
    <w:rsid w:val="00BA155B"/>
    <w:rsid w:val="00BA7C15"/>
    <w:rsid w:val="00BB00D1"/>
    <w:rsid w:val="00BB0D56"/>
    <w:rsid w:val="00BB29FD"/>
    <w:rsid w:val="00BB3E05"/>
    <w:rsid w:val="00BB7C77"/>
    <w:rsid w:val="00BC0BE4"/>
    <w:rsid w:val="00BC1D19"/>
    <w:rsid w:val="00BC2CF1"/>
    <w:rsid w:val="00BD0E86"/>
    <w:rsid w:val="00BD22AB"/>
    <w:rsid w:val="00BD3FF1"/>
    <w:rsid w:val="00BD566A"/>
    <w:rsid w:val="00BF10C3"/>
    <w:rsid w:val="00BF13D1"/>
    <w:rsid w:val="00BF4FE3"/>
    <w:rsid w:val="00BF6EEE"/>
    <w:rsid w:val="00C02020"/>
    <w:rsid w:val="00C03147"/>
    <w:rsid w:val="00C052FA"/>
    <w:rsid w:val="00C0558E"/>
    <w:rsid w:val="00C05903"/>
    <w:rsid w:val="00C17ACE"/>
    <w:rsid w:val="00C202B7"/>
    <w:rsid w:val="00C22F37"/>
    <w:rsid w:val="00C24D15"/>
    <w:rsid w:val="00C30311"/>
    <w:rsid w:val="00C42D04"/>
    <w:rsid w:val="00C460B2"/>
    <w:rsid w:val="00C50C0E"/>
    <w:rsid w:val="00C538E2"/>
    <w:rsid w:val="00C70BC9"/>
    <w:rsid w:val="00C71893"/>
    <w:rsid w:val="00C75837"/>
    <w:rsid w:val="00C77891"/>
    <w:rsid w:val="00C82313"/>
    <w:rsid w:val="00C8797F"/>
    <w:rsid w:val="00C90170"/>
    <w:rsid w:val="00C90580"/>
    <w:rsid w:val="00C93EF4"/>
    <w:rsid w:val="00C9525B"/>
    <w:rsid w:val="00CA01A2"/>
    <w:rsid w:val="00CA0C1F"/>
    <w:rsid w:val="00CA0F6A"/>
    <w:rsid w:val="00CA516A"/>
    <w:rsid w:val="00CA535F"/>
    <w:rsid w:val="00CB22D7"/>
    <w:rsid w:val="00CB3ABC"/>
    <w:rsid w:val="00CC2113"/>
    <w:rsid w:val="00CC4C59"/>
    <w:rsid w:val="00CD129D"/>
    <w:rsid w:val="00CE6775"/>
    <w:rsid w:val="00CE77A1"/>
    <w:rsid w:val="00CE7816"/>
    <w:rsid w:val="00CF33EA"/>
    <w:rsid w:val="00CF65CB"/>
    <w:rsid w:val="00CF684D"/>
    <w:rsid w:val="00D00202"/>
    <w:rsid w:val="00D018D8"/>
    <w:rsid w:val="00D053F6"/>
    <w:rsid w:val="00D11E7A"/>
    <w:rsid w:val="00D204ED"/>
    <w:rsid w:val="00D26E1D"/>
    <w:rsid w:val="00D27B78"/>
    <w:rsid w:val="00D305A2"/>
    <w:rsid w:val="00D319F6"/>
    <w:rsid w:val="00D31A57"/>
    <w:rsid w:val="00D3252E"/>
    <w:rsid w:val="00D3495E"/>
    <w:rsid w:val="00D42D4B"/>
    <w:rsid w:val="00D476BA"/>
    <w:rsid w:val="00D52203"/>
    <w:rsid w:val="00D578F9"/>
    <w:rsid w:val="00D61B2A"/>
    <w:rsid w:val="00D625D8"/>
    <w:rsid w:val="00D70E0A"/>
    <w:rsid w:val="00D74B76"/>
    <w:rsid w:val="00D77A13"/>
    <w:rsid w:val="00D8024A"/>
    <w:rsid w:val="00D84E3C"/>
    <w:rsid w:val="00D8519D"/>
    <w:rsid w:val="00D860D3"/>
    <w:rsid w:val="00D90EDA"/>
    <w:rsid w:val="00D917EB"/>
    <w:rsid w:val="00D91C64"/>
    <w:rsid w:val="00D92901"/>
    <w:rsid w:val="00D93A02"/>
    <w:rsid w:val="00DA6193"/>
    <w:rsid w:val="00DB6FAA"/>
    <w:rsid w:val="00DC238D"/>
    <w:rsid w:val="00DC461E"/>
    <w:rsid w:val="00DC68F0"/>
    <w:rsid w:val="00DC6B59"/>
    <w:rsid w:val="00DC7AC3"/>
    <w:rsid w:val="00DD147E"/>
    <w:rsid w:val="00DD4CA4"/>
    <w:rsid w:val="00DD4CE7"/>
    <w:rsid w:val="00DD758B"/>
    <w:rsid w:val="00DE17C3"/>
    <w:rsid w:val="00DE6516"/>
    <w:rsid w:val="00DF0A04"/>
    <w:rsid w:val="00DF0EA6"/>
    <w:rsid w:val="00E0003A"/>
    <w:rsid w:val="00E007D1"/>
    <w:rsid w:val="00E01858"/>
    <w:rsid w:val="00E054C5"/>
    <w:rsid w:val="00E17B06"/>
    <w:rsid w:val="00E27ED9"/>
    <w:rsid w:val="00E33B18"/>
    <w:rsid w:val="00E43BA3"/>
    <w:rsid w:val="00E44CE3"/>
    <w:rsid w:val="00E44D12"/>
    <w:rsid w:val="00E53BD2"/>
    <w:rsid w:val="00E62230"/>
    <w:rsid w:val="00E84EE3"/>
    <w:rsid w:val="00E85536"/>
    <w:rsid w:val="00E91C1A"/>
    <w:rsid w:val="00E95200"/>
    <w:rsid w:val="00EA6D87"/>
    <w:rsid w:val="00EA6E94"/>
    <w:rsid w:val="00EA70F6"/>
    <w:rsid w:val="00EA721E"/>
    <w:rsid w:val="00EB09E6"/>
    <w:rsid w:val="00EB3728"/>
    <w:rsid w:val="00EB7EA5"/>
    <w:rsid w:val="00EC138B"/>
    <w:rsid w:val="00EC4087"/>
    <w:rsid w:val="00EC43FB"/>
    <w:rsid w:val="00EC564A"/>
    <w:rsid w:val="00ED3DC1"/>
    <w:rsid w:val="00ED57EF"/>
    <w:rsid w:val="00ED68B4"/>
    <w:rsid w:val="00ED6CFA"/>
    <w:rsid w:val="00ED6F55"/>
    <w:rsid w:val="00EE12AE"/>
    <w:rsid w:val="00EE2C37"/>
    <w:rsid w:val="00EF42C0"/>
    <w:rsid w:val="00F00B64"/>
    <w:rsid w:val="00F04AC9"/>
    <w:rsid w:val="00F05452"/>
    <w:rsid w:val="00F11EC7"/>
    <w:rsid w:val="00F164D7"/>
    <w:rsid w:val="00F1774A"/>
    <w:rsid w:val="00F208DC"/>
    <w:rsid w:val="00F2233C"/>
    <w:rsid w:val="00F26D03"/>
    <w:rsid w:val="00F3137C"/>
    <w:rsid w:val="00F452E0"/>
    <w:rsid w:val="00F503CA"/>
    <w:rsid w:val="00F55C40"/>
    <w:rsid w:val="00F61123"/>
    <w:rsid w:val="00F640A6"/>
    <w:rsid w:val="00F65870"/>
    <w:rsid w:val="00F71800"/>
    <w:rsid w:val="00F7206E"/>
    <w:rsid w:val="00F73906"/>
    <w:rsid w:val="00F903DA"/>
    <w:rsid w:val="00F9754E"/>
    <w:rsid w:val="00FA3CB8"/>
    <w:rsid w:val="00FA4744"/>
    <w:rsid w:val="00FB2899"/>
    <w:rsid w:val="00FB324D"/>
    <w:rsid w:val="00FC278D"/>
    <w:rsid w:val="00FD6A4B"/>
    <w:rsid w:val="00FE1536"/>
    <w:rsid w:val="00FE260E"/>
    <w:rsid w:val="00FE4C89"/>
    <w:rsid w:val="00FE5ED3"/>
    <w:rsid w:val="00FE6386"/>
    <w:rsid w:val="00FF1C3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6DFF0"/>
  <w15:docId w15:val="{9FB972BF-DF11-49B5-8942-60CC4275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C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D4C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CA4"/>
  </w:style>
  <w:style w:type="paragraph" w:styleId="Piedepgina">
    <w:name w:val="footer"/>
    <w:basedOn w:val="Normal"/>
    <w:link w:val="PiedepginaCar"/>
    <w:uiPriority w:val="99"/>
    <w:unhideWhenUsed/>
    <w:rsid w:val="00DD4C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A4"/>
  </w:style>
  <w:style w:type="character" w:styleId="Hipervnculo">
    <w:name w:val="Hyperlink"/>
    <w:uiPriority w:val="99"/>
    <w:unhideWhenUsed/>
    <w:rsid w:val="00DC7AC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29E9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75308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Refdecomentario">
    <w:name w:val="annotation reference"/>
    <w:uiPriority w:val="99"/>
    <w:semiHidden/>
    <w:unhideWhenUsed/>
    <w:rsid w:val="00964B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4B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4BED"/>
    <w:rPr>
      <w:sz w:val="20"/>
      <w:szCs w:val="20"/>
    </w:rPr>
  </w:style>
  <w:style w:type="character" w:styleId="Mencinsinresolver">
    <w:name w:val="Unresolved Mention"/>
    <w:uiPriority w:val="99"/>
    <w:semiHidden/>
    <w:unhideWhenUsed/>
    <w:rsid w:val="00E84EE3"/>
    <w:rPr>
      <w:color w:val="605E5C"/>
      <w:shd w:val="clear" w:color="auto" w:fill="E1DFDD"/>
    </w:rPr>
  </w:style>
  <w:style w:type="paragraph" w:customStyle="1" w:styleId="Cuerpo">
    <w:name w:val="Cuerpo"/>
    <w:rsid w:val="0014415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character" w:customStyle="1" w:styleId="Ninguno">
    <w:name w:val="Ninguno"/>
    <w:rsid w:val="0014415E"/>
    <w:rPr>
      <w:lang w:val="es-ES_tradnl"/>
    </w:rPr>
  </w:style>
  <w:style w:type="table" w:styleId="Tablaconcuadrcula5oscura-nfasis1">
    <w:name w:val="Grid Table 5 Dark Accent 1"/>
    <w:basedOn w:val="Tablanormal"/>
    <w:uiPriority w:val="50"/>
    <w:rsid w:val="001441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Texto">
    <w:name w:val="Texto"/>
    <w:basedOn w:val="Normal"/>
    <w:uiPriority w:val="99"/>
    <w:rsid w:val="0014415E"/>
    <w:rPr>
      <w:rFonts w:ascii="Gill Sans MT" w:eastAsia="Times New Roman" w:hAnsi="Gill Sans MT" w:cs="Arial"/>
      <w:sz w:val="22"/>
      <w:szCs w:val="22"/>
      <w:lang w:val="pt-BR" w:eastAsia="es-ES"/>
    </w:rPr>
  </w:style>
  <w:style w:type="paragraph" w:customStyle="1" w:styleId="Listavistosa-nfasis11">
    <w:name w:val="Lista vistosa - Énfasis 11"/>
    <w:basedOn w:val="Normal"/>
    <w:qFormat/>
    <w:rsid w:val="0014415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qFormat/>
    <w:rsid w:val="0014415E"/>
    <w:rPr>
      <w:i/>
      <w:iCs/>
    </w:rPr>
  </w:style>
  <w:style w:type="paragraph" w:styleId="Sinespaciado">
    <w:name w:val="No Spacing"/>
    <w:uiPriority w:val="1"/>
    <w:qFormat/>
    <w:rsid w:val="00660B51"/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prensa.fotocasa.es" TargetMode="External"/><Relationship Id="rId26" Type="http://schemas.openxmlformats.org/officeDocument/2006/relationships/hyperlink" Target="mailto:comunicacion@fotocasa.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esionales.fotocasa.es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www.research.fotocasa.es" TargetMode="External"/><Relationship Id="rId25" Type="http://schemas.openxmlformats.org/officeDocument/2006/relationships/hyperlink" Target="https://www.immobilienscout24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tocasa.es/indice/" TargetMode="External"/><Relationship Id="rId20" Type="http://schemas.openxmlformats.org/officeDocument/2006/relationships/hyperlink" Target="https://www.habitaclia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tocasa.es" TargetMode="External"/><Relationship Id="rId24" Type="http://schemas.openxmlformats.org/officeDocument/2006/relationships/hyperlink" Target="https://www.inmoweb.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get.witei.com/en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www.fotocas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tocasa.es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datavenues.com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I:\.shortcut-targets-by-id\15e3vU-8r_yuUfvU6rrh71ObKniR6eMW4\DRIVE%20PATRICIA\04-ESTUDIO%20NdP\GARAJES\NdP%202025\RENTABILIDAD\PRENSA%20GARAJES%20RENTABILIDAD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I:\.shortcut-targets-by-id\15e3vU-8r_yuUfvU6rrh71ObKniR6eMW4\DRIVE%20PATRICIA\04-ESTUDIO%20NdP\GARAJES\NdP%202025\RENTABILIDAD\PRENSA%20GARAJES%20RENTABILIDAD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3.0709511193137005E-2"/>
          <c:y val="7.9178696412948377E-2"/>
          <c:w val="0.92080771490065361"/>
          <c:h val="0.737507879546597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Hoja1!$A$17:$A$27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        (5 AÑOS)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        (1 AÑO)</c:v>
                </c:pt>
                <c:pt idx="10">
                  <c:v>2025</c:v>
                </c:pt>
              </c:strCache>
            </c:strRef>
          </c:cat>
          <c:val>
            <c:numRef>
              <c:f>Hoja1!$B$17:$B$27</c:f>
              <c:numCache>
                <c:formatCode>0.0%</c:formatCode>
                <c:ptCount val="11"/>
                <c:pt idx="0">
                  <c:v>5.7507597193943182E-2</c:v>
                </c:pt>
                <c:pt idx="1">
                  <c:v>6.5260945522615507E-2</c:v>
                </c:pt>
                <c:pt idx="2">
                  <c:v>7.5669032912805384E-2</c:v>
                </c:pt>
                <c:pt idx="3">
                  <c:v>7.8468156968720948E-2</c:v>
                </c:pt>
                <c:pt idx="4">
                  <c:v>8.3282855764196168E-2</c:v>
                </c:pt>
                <c:pt idx="5">
                  <c:v>9.2884819889745868E-2</c:v>
                </c:pt>
                <c:pt idx="6">
                  <c:v>8.375762769462626E-2</c:v>
                </c:pt>
                <c:pt idx="7">
                  <c:v>7.5288658161263011E-2</c:v>
                </c:pt>
                <c:pt idx="8">
                  <c:v>7.0674669867947182E-2</c:v>
                </c:pt>
                <c:pt idx="9">
                  <c:v>6.5096053715137242E-2</c:v>
                </c:pt>
                <c:pt idx="10">
                  <c:v>6.4194711109525002E-2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3E-4974-9A1A-7C0D96A496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425153663"/>
        <c:axId val="424963199"/>
      </c:barChart>
      <c:catAx>
        <c:axId val="425153663"/>
        <c:scaling>
          <c:orientation val="minMax"/>
        </c:scaling>
        <c:delete val="0"/>
        <c:axPos val="b"/>
        <c:numFmt formatCode="[$-C0A]mmmm\-yy;@" sourceLinked="0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4963199"/>
        <c:crosses val="autoZero"/>
        <c:auto val="1"/>
        <c:lblAlgn val="ctr"/>
        <c:lblOffset val="100"/>
        <c:noMultiLvlLbl val="0"/>
      </c:catAx>
      <c:valAx>
        <c:axId val="424963199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425153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ES"/>
    </a:p>
  </c:txPr>
  <c:externalData r:id="rId4">
    <c:autoUpdate val="0"/>
  </c:externalData>
  <c:extLst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4.3567368401295374E-2"/>
          <c:y val="5.6030467323224323E-2"/>
          <c:w val="0.92767768237472259"/>
          <c:h val="0.5935117625164332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543-46A0-89C0-4701DFE96B46}"/>
              </c:ext>
            </c:extLst>
          </c:dPt>
          <c:dPt>
            <c:idx val="3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543-46A0-89C0-4701DFE96B46}"/>
              </c:ext>
            </c:extLst>
          </c:dPt>
          <c:dPt>
            <c:idx val="4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543-46A0-89C0-4701DFE96B46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543-46A0-89C0-4701DFE96B46}"/>
              </c:ext>
            </c:extLst>
          </c:dPt>
          <c:dPt>
            <c:idx val="7"/>
            <c:invertIfNegative val="0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543-46A0-89C0-4701DFE96B46}"/>
              </c:ext>
            </c:extLst>
          </c:dPt>
          <c:dPt>
            <c:idx val="8"/>
            <c:invertIfNegative val="0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543-46A0-89C0-4701DFE96B46}"/>
              </c:ext>
            </c:extLst>
          </c:dPt>
          <c:dPt>
            <c:idx val="15"/>
            <c:invertIfNegative val="0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543-46A0-89C0-4701DFE96B46}"/>
              </c:ext>
            </c:extLst>
          </c:dPt>
          <c:dPt>
            <c:idx val="16"/>
            <c:invertIfNegative val="0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543-46A0-89C0-4701DFE96B46}"/>
              </c:ext>
            </c:extLst>
          </c:dPt>
          <c:dLbls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43-46A0-89C0-4701DFE96B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Hoja1!$A$32:$A$49</c:f>
              <c:strCache>
                <c:ptCount val="18"/>
                <c:pt idx="0">
                  <c:v>Región de Murcia</c:v>
                </c:pt>
                <c:pt idx="1">
                  <c:v>Castilla-La Mancha</c:v>
                </c:pt>
                <c:pt idx="2">
                  <c:v>Madrid</c:v>
                </c:pt>
                <c:pt idx="3">
                  <c:v>Cataluña</c:v>
                </c:pt>
                <c:pt idx="4">
                  <c:v>Comunitat Valenciana</c:v>
                </c:pt>
                <c:pt idx="5">
                  <c:v>Aragón</c:v>
                </c:pt>
                <c:pt idx="6">
                  <c:v>España</c:v>
                </c:pt>
                <c:pt idx="7">
                  <c:v>Cantabria</c:v>
                </c:pt>
                <c:pt idx="8">
                  <c:v>Baleares</c:v>
                </c:pt>
                <c:pt idx="9">
                  <c:v>Asturias</c:v>
                </c:pt>
                <c:pt idx="10">
                  <c:v>La Rioja</c:v>
                </c:pt>
                <c:pt idx="11">
                  <c:v>Canarias</c:v>
                </c:pt>
                <c:pt idx="12">
                  <c:v>Andalucía</c:v>
                </c:pt>
                <c:pt idx="13">
                  <c:v>Navarra</c:v>
                </c:pt>
                <c:pt idx="14">
                  <c:v>País Vasco</c:v>
                </c:pt>
                <c:pt idx="15">
                  <c:v>Extremadura</c:v>
                </c:pt>
                <c:pt idx="16">
                  <c:v>Castilla y León</c:v>
                </c:pt>
                <c:pt idx="17">
                  <c:v>Galicia</c:v>
                </c:pt>
              </c:strCache>
            </c:strRef>
          </c:cat>
          <c:val>
            <c:numRef>
              <c:f>Hoja1!$B$32:$B$49</c:f>
              <c:numCache>
                <c:formatCode>0.0%</c:formatCode>
                <c:ptCount val="18"/>
                <c:pt idx="0">
                  <c:v>7.9421829667686863E-2</c:v>
                </c:pt>
                <c:pt idx="1">
                  <c:v>7.1798953210387706E-2</c:v>
                </c:pt>
                <c:pt idx="2">
                  <c:v>7.1493254113048438E-2</c:v>
                </c:pt>
                <c:pt idx="3">
                  <c:v>7.0474189243206281E-2</c:v>
                </c:pt>
                <c:pt idx="4">
                  <c:v>6.9325817248408292E-2</c:v>
                </c:pt>
                <c:pt idx="5">
                  <c:v>6.4509616627944327E-2</c:v>
                </c:pt>
                <c:pt idx="6">
                  <c:v>6.4194711109525002E-2</c:v>
                </c:pt>
                <c:pt idx="7">
                  <c:v>6.3130320143135576E-2</c:v>
                </c:pt>
                <c:pt idx="8">
                  <c:v>6.1729647682398747E-2</c:v>
                </c:pt>
                <c:pt idx="9">
                  <c:v>6.1257967201844558E-2</c:v>
                </c:pt>
                <c:pt idx="10">
                  <c:v>5.9911983210707898E-2</c:v>
                </c:pt>
                <c:pt idx="11">
                  <c:v>5.932762540013093E-2</c:v>
                </c:pt>
                <c:pt idx="12">
                  <c:v>5.6425607061747873E-2</c:v>
                </c:pt>
                <c:pt idx="13">
                  <c:v>5.1647198224600281E-2</c:v>
                </c:pt>
                <c:pt idx="14">
                  <c:v>5.1174294996549609E-2</c:v>
                </c:pt>
                <c:pt idx="15">
                  <c:v>4.8326519670263392E-2</c:v>
                </c:pt>
                <c:pt idx="16">
                  <c:v>4.7104256122580068E-2</c:v>
                </c:pt>
                <c:pt idx="17">
                  <c:v>4.5139439674223007E-2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543-46A0-89C0-4701DFE96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425153663"/>
        <c:axId val="424963199"/>
      </c:barChart>
      <c:catAx>
        <c:axId val="425153663"/>
        <c:scaling>
          <c:orientation val="minMax"/>
        </c:scaling>
        <c:delete val="0"/>
        <c:axPos val="b"/>
        <c:numFmt formatCode="[$-C0A]mmmm\-yy;@" sourceLinked="0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4963199"/>
        <c:crosses val="autoZero"/>
        <c:auto val="1"/>
        <c:lblAlgn val="ctr"/>
        <c:lblOffset val="100"/>
        <c:noMultiLvlLbl val="0"/>
      </c:catAx>
      <c:valAx>
        <c:axId val="424963199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425153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ES"/>
    </a:p>
  </c:txPr>
  <c:externalData r:id="rId4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0606-EE44-4B4A-AD1D-D286376E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10888</TotalTime>
  <Pages>11</Pages>
  <Words>2296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Urrea Rodriguez</dc:creator>
  <cp:lastModifiedBy>Anais Garcia Lopez</cp:lastModifiedBy>
  <cp:revision>161</cp:revision>
  <dcterms:created xsi:type="dcterms:W3CDTF">2021-02-14T11:41:00Z</dcterms:created>
  <dcterms:modified xsi:type="dcterms:W3CDTF">2026-03-05T21:59:00Z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2024-03-07T17:27:22Z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32155b42-5118-4e37-94f2-fef8b188b727</vt:lpwstr>
  </property>
  <property fmtid="{D5CDD505-2E9C-101B-9397-08002B2CF9AE}" pid="7" name="MSIP_Label_defa4170-0d19-0005-0004-bc88714345d2_ActionId">
    <vt:lpwstr>08fd45ab-bed2-4cca-8c0f-be2a910418c2</vt:lpwstr>
  </property>
  <property fmtid="{D5CDD505-2E9C-101B-9397-08002B2CF9AE}" pid="8" name="MSIP_Label_defa4170-0d19-0005-0004-bc88714345d2_ContentBits">
    <vt:lpwstr>0</vt:lpwstr>
  </property>
</Properties>
</file>