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2F5FD" w14:textId="77777777" w:rsidR="00EB3185" w:rsidRDefault="00000000">
      <w:r>
        <w:rPr>
          <w:noProof/>
        </w:rPr>
        <w:drawing>
          <wp:anchor distT="0" distB="0" distL="114300" distR="114300" simplePos="0" relativeHeight="251658240" behindDoc="0" locked="0" layoutInCell="1" hidden="0" allowOverlap="1" wp14:anchorId="3DB17C4A" wp14:editId="5CF9F933">
            <wp:simplePos x="0" y="0"/>
            <wp:positionH relativeFrom="column">
              <wp:posOffset>-1080116</wp:posOffset>
            </wp:positionH>
            <wp:positionV relativeFrom="paragraph">
              <wp:posOffset>-654665</wp:posOffset>
            </wp:positionV>
            <wp:extent cx="7581265" cy="1019175"/>
            <wp:effectExtent l="0" t="0" r="0" b="0"/>
            <wp:wrapNone/>
            <wp:docPr id="20668166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803D862" w14:textId="77777777" w:rsidR="00EB3185" w:rsidRDefault="00EB3185">
      <w:pPr>
        <w:jc w:val="right"/>
        <w:rPr>
          <w:rFonts w:ascii="National" w:eastAsia="National" w:hAnsi="National" w:cs="National"/>
          <w:color w:val="303AB2"/>
          <w:sz w:val="36"/>
          <w:szCs w:val="36"/>
        </w:rPr>
      </w:pPr>
    </w:p>
    <w:p w14:paraId="0690E98B" w14:textId="77777777" w:rsidR="00EB3185" w:rsidRDefault="00EB3185">
      <w:pPr>
        <w:rPr>
          <w:rFonts w:ascii="National" w:eastAsia="National" w:hAnsi="National" w:cs="National"/>
          <w:color w:val="303AB2"/>
          <w:sz w:val="18"/>
          <w:szCs w:val="18"/>
        </w:rPr>
      </w:pPr>
    </w:p>
    <w:p w14:paraId="005C26FB" w14:textId="77777777" w:rsidR="00EB3185" w:rsidRDefault="00000000">
      <w:pPr>
        <w:jc w:val="center"/>
        <w:rPr>
          <w:rFonts w:ascii="National" w:eastAsia="National" w:hAnsi="National" w:cs="National"/>
          <w:b/>
          <w:bCs/>
          <w:color w:val="303AB2"/>
          <w:sz w:val="46"/>
          <w:szCs w:val="46"/>
        </w:rPr>
      </w:pPr>
      <w:r>
        <w:rPr>
          <w:rFonts w:ascii="National" w:eastAsia="National" w:hAnsi="National" w:cs="National"/>
          <w:b/>
          <w:bCs/>
          <w:color w:val="1DBDC5"/>
          <w:sz w:val="34"/>
          <w:szCs w:val="34"/>
        </w:rPr>
        <w:t>NUEVAS REGULACIONES EN EL MERCADO INMOBILIARIO</w:t>
      </w:r>
    </w:p>
    <w:p w14:paraId="6A502879" w14:textId="77777777" w:rsidR="00EB3185"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55% de los españoles ve en las multas la solución más eficaz contra el fraude en el alquiler temporal</w:t>
      </w:r>
    </w:p>
    <w:p w14:paraId="202D9A21" w14:textId="77777777" w:rsidR="00EB3185" w:rsidRDefault="00EB3185">
      <w:pPr>
        <w:jc w:val="center"/>
        <w:rPr>
          <w:rFonts w:ascii="Open Sans" w:eastAsia="Open Sans" w:hAnsi="Open Sans" w:cs="Open Sans"/>
          <w:color w:val="303AB2"/>
        </w:rPr>
      </w:pPr>
    </w:p>
    <w:p w14:paraId="107EA2A2" w14:textId="77777777" w:rsidR="00EB3185"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Más de la mitad de la población respalda el control de los alquileres temporales con sanciones para frenar el fraude en este tipo de contratos</w:t>
      </w:r>
    </w:p>
    <w:p w14:paraId="6531CEA1" w14:textId="77777777" w:rsidR="00EB3185"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53% considera eficiente limitar el precio del alquiler de habitaciones para evitar que la suma de rentas supere el precio la vivienda completa</w:t>
      </w:r>
    </w:p>
    <w:p w14:paraId="42D0F604" w14:textId="77777777" w:rsidR="00EB3185"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bonificación fiscal del 100% en el IRPF para propietarios que no suban el alquiler en renovaciones de contrato obtiene un respaldo del 47%</w:t>
      </w:r>
    </w:p>
    <w:p w14:paraId="657AD722" w14:textId="77777777" w:rsidR="00EB3185" w:rsidRDefault="00EB3185">
      <w:pPr>
        <w:pBdr>
          <w:top w:val="nil"/>
          <w:left w:val="nil"/>
          <w:bottom w:val="nil"/>
          <w:right w:val="nil"/>
          <w:between w:val="nil"/>
        </w:pBdr>
        <w:spacing w:line="276" w:lineRule="auto"/>
        <w:jc w:val="both"/>
        <w:rPr>
          <w:rFonts w:ascii="Open Sans Light" w:eastAsia="Open Sans Light" w:hAnsi="Open Sans Light" w:cs="Open Sans Light"/>
          <w:b/>
          <w:bCs/>
          <w:color w:val="303AB2"/>
        </w:rPr>
      </w:pPr>
    </w:p>
    <w:p w14:paraId="349C31D5" w14:textId="77777777" w:rsidR="00EB3185"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19 de marzo de 2026</w:t>
      </w:r>
      <w:r>
        <w:rPr>
          <w:rFonts w:ascii="Open Sans Light" w:eastAsia="Open Sans Light" w:hAnsi="Open Sans Light" w:cs="Open Sans Light"/>
          <w:b/>
          <w:bCs/>
          <w:color w:val="303AB2"/>
        </w:rPr>
        <w:tab/>
      </w:r>
    </w:p>
    <w:p w14:paraId="6730833B" w14:textId="77777777" w:rsidR="00EB3185" w:rsidRDefault="00EB3185">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4B2759E1" w14:textId="78262803" w:rsidR="00EB318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creciente tensión en el mercado del alquiler ha situado en el centro del debate público distintas propuestas normativas y fiscales orientadas a regular el acceso a la vivienda para los inquilinos. En este contexto, la ciudadanía muestra una </w:t>
      </w:r>
      <w:r>
        <w:rPr>
          <w:rFonts w:ascii="Open Sans" w:eastAsia="Open Sans" w:hAnsi="Open Sans" w:cs="Open Sans"/>
          <w:b/>
          <w:bCs/>
        </w:rPr>
        <w:t>valoración mayoritariamente positiva</w:t>
      </w:r>
      <w:r>
        <w:rPr>
          <w:rFonts w:ascii="Open Sans" w:eastAsia="Open Sans" w:hAnsi="Open Sans" w:cs="Open Sans"/>
        </w:rPr>
        <w:t xml:space="preserve"> hacia algunas de las medidas que se están planteando a nivel político o que ya se han introducido de forma efectiva para intervenir el mercado. </w:t>
      </w:r>
      <w:r>
        <w:rPr>
          <w:rFonts w:ascii="Open Sans" w:eastAsia="Open Sans" w:hAnsi="Open Sans" w:cs="Open Sans"/>
          <w:b/>
          <w:bCs/>
        </w:rPr>
        <w:t xml:space="preserve">Según los datos extraídos a partir de una encuesta de </w:t>
      </w:r>
      <w:hyperlink r:id="rId9">
        <w:r w:rsidR="00EB3185">
          <w:rPr>
            <w:rFonts w:ascii="Open Sans" w:eastAsia="Open Sans" w:hAnsi="Open Sans" w:cs="Open Sans"/>
            <w:b/>
            <w:bCs/>
            <w:color w:val="0000FF"/>
            <w:u w:val="single"/>
          </w:rPr>
          <w:t>Fotocasa Research</w:t>
        </w:r>
      </w:hyperlink>
      <w:r>
        <w:rPr>
          <w:rFonts w:ascii="Open Sans" w:eastAsia="Open Sans" w:hAnsi="Open Sans" w:cs="Open Sans"/>
          <w:b/>
          <w:bCs/>
        </w:rPr>
        <w:t xml:space="preserve"> realizada en febrero de 2026</w:t>
      </w:r>
      <w:r>
        <w:rPr>
          <w:rFonts w:ascii="Open Sans" w:eastAsia="Open Sans" w:hAnsi="Open Sans" w:cs="Open Sans"/>
        </w:rPr>
        <w:t>, el control de los alquileres temporales con sanciones para evitar el fraude es la medida que obtiene un mayor nivel de respaldo ciudadano. En concreto, más del 55% de los españoles considera que esta herramienta sería eficiente para combatir este tipo de prácticas. Frente a esta valoración positiva, un 27% la considera una medida neutral, mientras que un 18% cree que es poco o nada efectiva.</w:t>
      </w:r>
    </w:p>
    <w:p w14:paraId="3FAFF8B6" w14:textId="77777777" w:rsidR="00EB3185" w:rsidRDefault="00EB3185">
      <w:pPr>
        <w:pBdr>
          <w:top w:val="nil"/>
          <w:left w:val="nil"/>
          <w:bottom w:val="nil"/>
          <w:right w:val="nil"/>
          <w:between w:val="nil"/>
        </w:pBdr>
        <w:spacing w:line="276" w:lineRule="auto"/>
        <w:jc w:val="both"/>
        <w:rPr>
          <w:rFonts w:ascii="Open Sans" w:eastAsia="Open Sans" w:hAnsi="Open Sans" w:cs="Open Sans"/>
        </w:rPr>
      </w:pPr>
    </w:p>
    <w:p w14:paraId="5CE52E24" w14:textId="61B99CE0" w:rsidR="00EB318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Actualmente se encuentran en vigor varios controles sobre los alquileres temporales, que se han desarrollado a partir del Real Decreto 1312/2024, que estableció el marco legal para el Registro Único de Arrendamientos y la Ventanilla Única Digital en España. </w:t>
      </w:r>
      <w:r>
        <w:rPr>
          <w:rFonts w:ascii="Open Sans" w:eastAsia="Open Sans" w:hAnsi="Open Sans" w:cs="Open Sans"/>
          <w:b/>
          <w:bCs/>
        </w:rPr>
        <w:t>Esta normativa busca regular los alquileres de corta duración (turísticos, de temporada y habitaciones)</w:t>
      </w:r>
      <w:r w:rsidR="005612D1">
        <w:rPr>
          <w:rFonts w:ascii="Open Sans" w:eastAsia="Open Sans" w:hAnsi="Open Sans" w:cs="Open Sans"/>
          <w:b/>
          <w:bCs/>
        </w:rPr>
        <w:t xml:space="preserve"> no prohibiéndo</w:t>
      </w:r>
      <w:r w:rsidR="005612D1" w:rsidRPr="005612D1">
        <w:rPr>
          <w:rFonts w:ascii="Open Sans" w:eastAsia="Open Sans" w:hAnsi="Open Sans" w:cs="Open Sans"/>
          <w:b/>
          <w:bCs/>
        </w:rPr>
        <w:t xml:space="preserve"> el alquiler, sino que obliga a justificar la causa de la temporalidad</w:t>
      </w:r>
      <w:r>
        <w:rPr>
          <w:rFonts w:ascii="Open Sans" w:eastAsia="Open Sans" w:hAnsi="Open Sans" w:cs="Open Sans"/>
          <w:b/>
          <w:bCs/>
        </w:rPr>
        <w:t>.</w:t>
      </w:r>
      <w:r>
        <w:rPr>
          <w:rFonts w:ascii="Open Sans" w:eastAsia="Open Sans" w:hAnsi="Open Sans" w:cs="Open Sans"/>
        </w:rPr>
        <w:t xml:space="preserve"> </w:t>
      </w:r>
      <w:r>
        <w:t xml:space="preserve"> </w:t>
      </w:r>
      <w:r>
        <w:rPr>
          <w:rFonts w:ascii="Open Sans" w:eastAsia="Open Sans" w:hAnsi="Open Sans" w:cs="Open Sans"/>
        </w:rPr>
        <w:t xml:space="preserve">Por ejemplo, </w:t>
      </w:r>
      <w:r>
        <w:rPr>
          <w:rFonts w:ascii="Open Sans" w:eastAsia="Open Sans" w:hAnsi="Open Sans" w:cs="Open Sans"/>
        </w:rPr>
        <w:lastRenderedPageBreak/>
        <w:t>a partir del 1 de julio de 2025, las autoridades pueden imponer multas a propietarios, gestoras o plataformas de alquiler temporal por operar sin el Número de Registro Único de Arrendamientos (NRUA) o por no cumplir con el deber de información. Igualmente, en los últimos meses se han debatido en el Congreso iniciativas para limitar adicionalmente este tipo de alquileres por temporada, unas medidas que todavía no han logrado la aprobación.</w:t>
      </w:r>
    </w:p>
    <w:p w14:paraId="5F27F49E" w14:textId="77777777" w:rsidR="00EB3185" w:rsidRDefault="00EB3185">
      <w:pPr>
        <w:pBdr>
          <w:top w:val="nil"/>
          <w:left w:val="nil"/>
          <w:bottom w:val="nil"/>
          <w:right w:val="nil"/>
          <w:between w:val="nil"/>
        </w:pBdr>
        <w:spacing w:line="276" w:lineRule="auto"/>
        <w:jc w:val="both"/>
        <w:rPr>
          <w:rFonts w:ascii="Open Sans" w:eastAsia="Open Sans" w:hAnsi="Open Sans" w:cs="Open Sans"/>
        </w:rPr>
      </w:pPr>
    </w:p>
    <w:p w14:paraId="1AE02D90" w14:textId="6AD9E902" w:rsidR="00EB3185"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"En un mercado marcado por una fuerte tensión entre oferta y demanda es comprensible que exista interés por identificar qué herramientas pueden ayudar a ordenar determinadas prácticas y mejorar su funcionamiento. Las medidas orientadas a reforzar el cumplimiento de la normativa vigente o a evitar posibles distorsiones en algunas modalidades de arrendamiento obtienen un respaldo relevante.  Al mismo tiempo, los datos muestran que no existe una visión única sobre cuáles son las soluciones más adecuadas, especialmente cuando se trata de incentivos fiscales u otras fórmulas de actuación", </w:t>
      </w:r>
      <w:r>
        <w:rPr>
          <w:rFonts w:ascii="Open Sans" w:eastAsia="Open Sans" w:hAnsi="Open Sans" w:cs="Open Sans"/>
          <w:b/>
          <w:bCs/>
        </w:rPr>
        <w:t xml:space="preserve">explica María Matos, directora de Estudios y portavoz de </w:t>
      </w:r>
      <w:hyperlink r:id="rId10">
        <w:r w:rsidR="00EB3185">
          <w:rPr>
            <w:rFonts w:ascii="Open Sans" w:eastAsia="Open Sans" w:hAnsi="Open Sans" w:cs="Open Sans"/>
            <w:b/>
            <w:bCs/>
            <w:color w:val="0000FF"/>
            <w:u w:val="single"/>
          </w:rPr>
          <w:t>Fotocasa</w:t>
        </w:r>
      </w:hyperlink>
      <w:r>
        <w:rPr>
          <w:rFonts w:ascii="Open Sans" w:eastAsia="Open Sans" w:hAnsi="Open Sans" w:cs="Open Sans"/>
          <w:b/>
          <w:bCs/>
        </w:rPr>
        <w:t>.</w:t>
      </w:r>
    </w:p>
    <w:p w14:paraId="2540B0D3" w14:textId="77777777" w:rsidR="00EB3185" w:rsidRDefault="00EB3185">
      <w:pPr>
        <w:pBdr>
          <w:top w:val="nil"/>
          <w:left w:val="nil"/>
          <w:bottom w:val="nil"/>
          <w:right w:val="nil"/>
          <w:between w:val="nil"/>
        </w:pBdr>
        <w:spacing w:line="276" w:lineRule="auto"/>
        <w:jc w:val="both"/>
        <w:rPr>
          <w:rFonts w:ascii="Open Sans" w:eastAsia="Open Sans" w:hAnsi="Open Sans" w:cs="Open Sans"/>
        </w:rPr>
      </w:pPr>
    </w:p>
    <w:p w14:paraId="3DCC5B61" w14:textId="77777777" w:rsidR="00EB318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Limitación del precio del alquiler por habitaciones</w:t>
      </w:r>
    </w:p>
    <w:p w14:paraId="63DA7213" w14:textId="77777777" w:rsidR="00EB3185" w:rsidRDefault="00EB3185">
      <w:pPr>
        <w:pBdr>
          <w:top w:val="nil"/>
          <w:left w:val="nil"/>
          <w:bottom w:val="nil"/>
          <w:right w:val="nil"/>
          <w:between w:val="nil"/>
        </w:pBdr>
        <w:spacing w:line="276" w:lineRule="auto"/>
        <w:jc w:val="both"/>
        <w:rPr>
          <w:rFonts w:ascii="Open Sans" w:eastAsia="Open Sans" w:hAnsi="Open Sans" w:cs="Open Sans"/>
        </w:rPr>
      </w:pPr>
    </w:p>
    <w:p w14:paraId="4E573AF0" w14:textId="77777777" w:rsidR="00EB318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Otra de las medidas que recibe una valoración positiva por parte de los ciudadanos es la limitación del precio del alquiler por habitaciones para evitar que la suma de las rentas individuales supere el precio de alquilar la vivienda completa. </w:t>
      </w:r>
      <w:r>
        <w:rPr>
          <w:rFonts w:ascii="Open Sans" w:eastAsia="Open Sans" w:hAnsi="Open Sans" w:cs="Open Sans"/>
          <w:b/>
          <w:bCs/>
        </w:rPr>
        <w:t>En este caso, casi el 53% de los españoles considera que esta medida sería eficiente para evitar este tipo de fenómenos en el mercado</w:t>
      </w:r>
      <w:r>
        <w:rPr>
          <w:rFonts w:ascii="Open Sans" w:eastAsia="Open Sans" w:hAnsi="Open Sans" w:cs="Open Sans"/>
        </w:rPr>
        <w:t xml:space="preserve">. Por el contrario, un 27% de los encuestados mantiene una posición neutral, mientras que un 20% cree que la medida sería inefectiva. </w:t>
      </w:r>
    </w:p>
    <w:p w14:paraId="037CE295" w14:textId="77777777" w:rsidR="00EB3185" w:rsidRDefault="00EB3185">
      <w:pPr>
        <w:pBdr>
          <w:top w:val="nil"/>
          <w:left w:val="nil"/>
          <w:bottom w:val="nil"/>
          <w:right w:val="nil"/>
          <w:between w:val="nil"/>
        </w:pBdr>
        <w:spacing w:line="276" w:lineRule="auto"/>
        <w:jc w:val="both"/>
        <w:rPr>
          <w:rFonts w:ascii="Open Sans" w:eastAsia="Open Sans" w:hAnsi="Open Sans" w:cs="Open Sans"/>
        </w:rPr>
      </w:pPr>
    </w:p>
    <w:p w14:paraId="690D15FD" w14:textId="77777777" w:rsidR="00EB318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El alquiler por habitaciones ha ganado peso en los últimos años como fórmula para acceder a la vivienda en un contexto de precios elevados, especialmente en determinadas zonas urbanas</w:t>
      </w:r>
      <w:r>
        <w:rPr>
          <w:rFonts w:ascii="Open Sans" w:eastAsia="Open Sans" w:hAnsi="Open Sans" w:cs="Open Sans"/>
          <w:b/>
          <w:bCs/>
        </w:rPr>
        <w:t>. Actualmente, la mencionada limitación de precios al alquiler de habitaciones no está vigente a nivel nacional tras ser bloqueada por el Congreso</w:t>
      </w:r>
      <w:r>
        <w:rPr>
          <w:rFonts w:ascii="Open Sans" w:eastAsia="Open Sans" w:hAnsi="Open Sans" w:cs="Open Sans"/>
        </w:rPr>
        <w:t xml:space="preserve"> una iniciativa prentendía modificar la Ley de Arrendamientos Urbanos (LAU) para que los alquileres temporales y de habitaciones pasen a estar incluidos en la misma regulación que el arrendamiento de vivienda habitual.</w:t>
      </w:r>
    </w:p>
    <w:p w14:paraId="36117D07" w14:textId="77777777" w:rsidR="00EB3185" w:rsidRDefault="00EB3185">
      <w:pPr>
        <w:pBdr>
          <w:top w:val="nil"/>
          <w:left w:val="nil"/>
          <w:bottom w:val="nil"/>
          <w:right w:val="nil"/>
          <w:between w:val="nil"/>
        </w:pBdr>
        <w:spacing w:line="276" w:lineRule="auto"/>
        <w:jc w:val="both"/>
        <w:rPr>
          <w:rFonts w:ascii="Open Sans" w:eastAsia="Open Sans" w:hAnsi="Open Sans" w:cs="Open Sans"/>
        </w:rPr>
      </w:pPr>
    </w:p>
    <w:p w14:paraId="025C2C63" w14:textId="77777777" w:rsidR="004B58C8" w:rsidRDefault="004B58C8">
      <w:pPr>
        <w:pBdr>
          <w:top w:val="nil"/>
          <w:left w:val="nil"/>
          <w:bottom w:val="nil"/>
          <w:right w:val="nil"/>
          <w:between w:val="nil"/>
        </w:pBdr>
        <w:spacing w:line="276" w:lineRule="auto"/>
        <w:jc w:val="both"/>
        <w:rPr>
          <w:rFonts w:ascii="Open Sans" w:eastAsia="Open Sans" w:hAnsi="Open Sans" w:cs="Open Sans"/>
        </w:rPr>
      </w:pPr>
    </w:p>
    <w:p w14:paraId="57F64185" w14:textId="77777777" w:rsidR="00EB318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Los incentivos fiscales generan una valoración más dividida</w:t>
      </w:r>
    </w:p>
    <w:p w14:paraId="1D3C6C33" w14:textId="77777777" w:rsidR="00EB3185" w:rsidRDefault="00EB3185">
      <w:pPr>
        <w:pBdr>
          <w:top w:val="nil"/>
          <w:left w:val="nil"/>
          <w:bottom w:val="nil"/>
          <w:right w:val="nil"/>
          <w:between w:val="nil"/>
        </w:pBdr>
        <w:spacing w:line="276" w:lineRule="auto"/>
        <w:jc w:val="both"/>
        <w:rPr>
          <w:rFonts w:ascii="Open Sans" w:eastAsia="Open Sans" w:hAnsi="Open Sans" w:cs="Open Sans"/>
        </w:rPr>
      </w:pPr>
    </w:p>
    <w:p w14:paraId="320FB50C" w14:textId="77777777" w:rsidR="00EB318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las medidas analizadas por la encuesta de Fotocasa Research también se encuentra la bonificación fiscal del 100% en el IRPF para aquellos propietarios que no incrementen el precio del alquiler en contratos que se renueven en 2026. A diferencia de las dos medidas anteriores, esta propuesta obtiene un respaldo algo más moderado. </w:t>
      </w:r>
      <w:r>
        <w:rPr>
          <w:rFonts w:ascii="Open Sans" w:eastAsia="Open Sans" w:hAnsi="Open Sans" w:cs="Open Sans"/>
          <w:b/>
          <w:bCs/>
        </w:rPr>
        <w:t>El 47% de los españoles considera que sería una herramienta eficiente para contener las subidas del alquiler en las renovaciones contractuales</w:t>
      </w:r>
      <w:r>
        <w:rPr>
          <w:rFonts w:ascii="Open Sans" w:eastAsia="Open Sans" w:hAnsi="Open Sans" w:cs="Open Sans"/>
        </w:rPr>
        <w:t>. Por su parte, el 30% la percibe como una medida neutral y el 23% cree que sería ineficiente.</w:t>
      </w:r>
    </w:p>
    <w:p w14:paraId="1FA16301" w14:textId="77777777" w:rsidR="00EB3185" w:rsidRDefault="00EB3185">
      <w:pPr>
        <w:pBdr>
          <w:top w:val="nil"/>
          <w:left w:val="nil"/>
          <w:bottom w:val="nil"/>
          <w:right w:val="nil"/>
          <w:between w:val="nil"/>
        </w:pBdr>
        <w:spacing w:line="276" w:lineRule="auto"/>
        <w:jc w:val="both"/>
        <w:rPr>
          <w:rFonts w:ascii="Open Sans" w:eastAsia="Open Sans" w:hAnsi="Open Sans" w:cs="Open Sans"/>
        </w:rPr>
      </w:pPr>
    </w:p>
    <w:p w14:paraId="0D5FE872" w14:textId="77777777" w:rsidR="00EB318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Open Sans" w:eastAsia="Open Sans" w:hAnsi="Open Sans" w:cs="Open Sans"/>
        </w:rPr>
        <w:t xml:space="preserve">Los datos reflejan que, aunque los incentivos fiscales también cuentan con una valoración positiva entre una parte importante de la ciudadanía, generan una percepción más heterogénea en comparación con las medidas regulatorias destinadas a limitar determinadas prácticas dentro del mercado del alquiler. </w:t>
      </w:r>
      <w:r>
        <w:rPr>
          <w:rFonts w:ascii="Open Sans" w:eastAsia="Open Sans" w:hAnsi="Open Sans" w:cs="Open Sans"/>
          <w:b/>
          <w:bCs/>
        </w:rPr>
        <w:t>Esta bonificación</w:t>
      </w:r>
      <w:r>
        <w:rPr>
          <w:b/>
          <w:bCs/>
        </w:rPr>
        <w:t xml:space="preserve"> </w:t>
      </w:r>
      <w:r>
        <w:rPr>
          <w:rFonts w:ascii="Open Sans" w:eastAsia="Open Sans" w:hAnsi="Open Sans" w:cs="Open Sans"/>
          <w:b/>
          <w:bCs/>
        </w:rPr>
        <w:t>fiscal a los propietarios del 100%, en el Impuesto de la Renta de las Personas Físicas (IRPF) por congelar el precio del alquiler al renovar el contrato a los inquilinos fue anunciada en enero por el Gobierno, y se encuentra a la espera de desarrollo legislativo</w:t>
      </w:r>
      <w:r>
        <w:rPr>
          <w:rFonts w:ascii="Open Sans" w:eastAsia="Open Sans" w:hAnsi="Open Sans" w:cs="Open Sans"/>
        </w:rPr>
        <w:t xml:space="preserve">. </w:t>
      </w:r>
      <w:r>
        <w:rPr>
          <w:rFonts w:ascii="National" w:eastAsia="National" w:hAnsi="National" w:cs="National"/>
          <w:b/>
          <w:bCs/>
          <w:color w:val="303AB2"/>
          <w:sz w:val="32"/>
          <w:szCs w:val="32"/>
        </w:rPr>
        <w:t xml:space="preserve"> </w:t>
      </w:r>
    </w:p>
    <w:p w14:paraId="3365110A" w14:textId="77777777" w:rsidR="00EB3185" w:rsidRDefault="00EB3185">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474B8C3E" w14:textId="77777777" w:rsidR="00EB3185" w:rsidRDefault="00EB3185">
      <w:pPr>
        <w:pBdr>
          <w:top w:val="nil"/>
          <w:left w:val="nil"/>
          <w:bottom w:val="nil"/>
          <w:right w:val="nil"/>
          <w:between w:val="nil"/>
        </w:pBdr>
        <w:spacing w:line="276" w:lineRule="auto"/>
        <w:jc w:val="both"/>
        <w:rPr>
          <w:rFonts w:ascii="Open Sans" w:eastAsia="Open Sans" w:hAnsi="Open Sans" w:cs="Open Sans"/>
        </w:rPr>
      </w:pPr>
    </w:p>
    <w:p w14:paraId="384FF7AC" w14:textId="77777777" w:rsidR="00EB3185"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6EDD5075" w14:textId="77777777" w:rsidR="00EB3185"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3B648394" w14:textId="77777777" w:rsidR="00EB3185"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1">
        <w:r w:rsidR="00EB3185">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2">
        <w:r w:rsidR="00EB3185">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A188DF9" w14:textId="77777777" w:rsidR="00EB3185"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3">
        <w:r w:rsidR="00EB3185">
          <w:rPr>
            <w:rFonts w:ascii="Open Sans" w:eastAsia="Open Sans" w:hAnsi="Open Sans" w:cs="Open Sans"/>
            <w:b/>
            <w:bCs/>
            <w:color w:val="0000FF"/>
            <w:sz w:val="22"/>
            <w:szCs w:val="22"/>
            <w:u w:val="single"/>
          </w:rPr>
          <w:t>Sala de Prensa</w:t>
        </w:r>
      </w:hyperlink>
    </w:p>
    <w:p w14:paraId="3B0B4EB1" w14:textId="77777777" w:rsidR="00EB3185" w:rsidRDefault="00EB3185">
      <w:pPr>
        <w:spacing w:line="276" w:lineRule="auto"/>
        <w:ind w:right="141"/>
        <w:rPr>
          <w:rFonts w:ascii="Open Sans Light" w:eastAsia="Open Sans Light" w:hAnsi="Open Sans Light" w:cs="Open Sans Light"/>
          <w:b/>
          <w:bCs/>
          <w:color w:val="303AB2"/>
        </w:rPr>
      </w:pPr>
    </w:p>
    <w:p w14:paraId="3BD6AFD9" w14:textId="77777777" w:rsidR="00EB3185"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3624DF9D" w14:textId="77777777" w:rsidR="00EB3185"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lastRenderedPageBreak/>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FA36453" w14:textId="77777777" w:rsidR="00EB3185"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4">
        <w:r w:rsidR="00EB3185">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5">
        <w:r w:rsidR="00EB3185">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6">
        <w:r w:rsidR="00EB3185">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7">
        <w:r w:rsidR="00EB3185">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18">
        <w:r w:rsidR="00EB3185">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19">
        <w:r w:rsidR="00EB3185">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7A4C9945" w14:textId="77777777" w:rsidR="00EB3185"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67A0D317" w14:textId="77777777" w:rsidR="00EB3185" w:rsidRDefault="00000000">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1FCF1045" w14:textId="77777777" w:rsidR="00EB3185" w:rsidRDefault="00EB3185">
      <w:pPr>
        <w:spacing w:line="276" w:lineRule="auto"/>
        <w:ind w:right="141"/>
        <w:jc w:val="both"/>
        <w:rPr>
          <w:rFonts w:ascii="Open Sans" w:eastAsia="Open Sans" w:hAnsi="Open Sans" w:cs="Open Sans"/>
          <w:sz w:val="22"/>
          <w:szCs w:val="22"/>
        </w:rPr>
      </w:pPr>
    </w:p>
    <w:p w14:paraId="65AFE4A8" w14:textId="77777777" w:rsidR="00EB3185"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27E3E6B6" w14:textId="77777777" w:rsidR="00EB3185" w:rsidRDefault="00EB3185">
      <w:pPr>
        <w:pBdr>
          <w:top w:val="nil"/>
          <w:left w:val="nil"/>
          <w:bottom w:val="nil"/>
          <w:right w:val="nil"/>
          <w:between w:val="nil"/>
        </w:pBdr>
        <w:spacing w:line="276" w:lineRule="auto"/>
        <w:ind w:right="141"/>
        <w:jc w:val="both"/>
        <w:rPr>
          <w:rFonts w:ascii="Open Sans" w:eastAsia="Open Sans" w:hAnsi="Open Sans" w:cs="Open Sans"/>
          <w:sz w:val="22"/>
          <w:szCs w:val="22"/>
        </w:rPr>
      </w:pPr>
    </w:p>
    <w:p w14:paraId="6D169A3F" w14:textId="77777777" w:rsidR="00EB3185"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0">
        <w:r w:rsidR="00EB3185">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172863B1" w14:textId="77777777" w:rsidR="00EB3185" w:rsidRDefault="00EB3185">
      <w:pPr>
        <w:pBdr>
          <w:top w:val="nil"/>
          <w:left w:val="nil"/>
          <w:bottom w:val="nil"/>
          <w:right w:val="nil"/>
          <w:between w:val="nil"/>
        </w:pBdr>
        <w:spacing w:line="276" w:lineRule="auto"/>
        <w:ind w:right="141"/>
        <w:jc w:val="both"/>
        <w:rPr>
          <w:rFonts w:ascii="Open Sans" w:eastAsia="Open Sans" w:hAnsi="Open Sans" w:cs="Open Sans"/>
          <w:sz w:val="22"/>
          <w:szCs w:val="22"/>
        </w:rPr>
      </w:pPr>
    </w:p>
    <w:p w14:paraId="03853A12" w14:textId="77777777" w:rsidR="00EB3185"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291183EE" w14:textId="77777777" w:rsidR="00EB3185" w:rsidRDefault="00EB3185">
      <w:pPr>
        <w:spacing w:line="276" w:lineRule="auto"/>
        <w:ind w:right="141"/>
        <w:rPr>
          <w:rFonts w:ascii="Open Sans" w:eastAsia="Open Sans" w:hAnsi="Open Sans" w:cs="Open Sans"/>
        </w:rPr>
      </w:pPr>
    </w:p>
    <w:p w14:paraId="1FFF0E90" w14:textId="77777777" w:rsidR="00EB3185" w:rsidRDefault="00EB3185">
      <w:pPr>
        <w:spacing w:line="276" w:lineRule="auto"/>
        <w:ind w:right="141"/>
        <w:rPr>
          <w:rFonts w:ascii="Open Sans Light" w:eastAsia="Open Sans Light" w:hAnsi="Open Sans Light" w:cs="Open Sans Light"/>
          <w:b/>
          <w:bCs/>
          <w:color w:val="303AB2"/>
          <w:sz w:val="22"/>
          <w:szCs w:val="22"/>
        </w:rPr>
      </w:pPr>
    </w:p>
    <w:p w14:paraId="16DE80A2" w14:textId="77777777" w:rsidR="00EB3185" w:rsidRDefault="00000000">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70F983EA" w14:textId="77777777" w:rsidR="00EB3185" w:rsidRDefault="00000000">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2F46A9A3" w14:textId="77777777" w:rsidR="00EB3185" w:rsidRDefault="00EB3185">
      <w:pPr>
        <w:shd w:val="clear" w:color="auto" w:fill="FFFFFF"/>
        <w:spacing w:line="276" w:lineRule="auto"/>
        <w:ind w:right="141"/>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44E68EFB" w14:textId="77777777" w:rsidR="00EB3185"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C0818EF" w14:textId="77777777" w:rsidR="00EB3185" w:rsidRDefault="00EB3185">
      <w:pPr>
        <w:spacing w:line="276" w:lineRule="auto"/>
        <w:jc w:val="right"/>
        <w:rPr>
          <w:rFonts w:ascii="Open Sans" w:eastAsia="Open Sans" w:hAnsi="Open Sans" w:cs="Open Sans"/>
          <w:color w:val="000000"/>
          <w:sz w:val="22"/>
          <w:szCs w:val="22"/>
        </w:rPr>
      </w:pPr>
    </w:p>
    <w:sectPr w:rsidR="00EB3185">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5B312" w14:textId="77777777" w:rsidR="00160C32" w:rsidRDefault="00160C32">
      <w:r>
        <w:separator/>
      </w:r>
    </w:p>
  </w:endnote>
  <w:endnote w:type="continuationSeparator" w:id="0">
    <w:p w14:paraId="220D095B" w14:textId="77777777" w:rsidR="00160C32" w:rsidRDefault="00160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28B9C8D-5D46-40CA-A194-A54BBD3385B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B623DD4-DA55-469C-A37E-B2A5A7BB4743}"/>
    <w:embedBold r:id="rId3" w:fontKey="{2AF1A9FC-392F-496F-8D28-48A0039A52C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4CB7115-D7B5-46B5-80D7-9CB9C535434E}"/>
  </w:font>
  <w:font w:name="Georgia">
    <w:panose1 w:val="02040502050405020303"/>
    <w:charset w:val="00"/>
    <w:family w:val="roman"/>
    <w:pitch w:val="variable"/>
    <w:sig w:usb0="00000287" w:usb1="00000000" w:usb2="00000000" w:usb3="00000000" w:csb0="0000009F" w:csb1="00000000"/>
    <w:embedItalic r:id="rId5" w:fontKey="{51B964C2-7D08-466B-ABB8-BA413DD6E8D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B744EA4D-099E-4A4D-AFA2-50447554D7B5}"/>
    <w:embedBold r:id="rId7" w:fontKey="{B3638C1E-D34A-4F43-8C20-CDDEE62C041A}"/>
  </w:font>
  <w:font w:name="Open Sans Light">
    <w:charset w:val="00"/>
    <w:family w:val="swiss"/>
    <w:pitch w:val="variable"/>
    <w:sig w:usb0="E00002EF" w:usb1="4000205B" w:usb2="00000028" w:usb3="00000000" w:csb0="0000019F" w:csb1="00000000"/>
    <w:embedBold r:id="rId8" w:fontKey="{5B7DCE75-74F4-4CCE-86BB-3A1551AFF0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99045" w14:textId="77777777" w:rsidR="00EB318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112E18F" wp14:editId="4C63E59E">
          <wp:simplePos x="0" y="0"/>
          <wp:positionH relativeFrom="column">
            <wp:posOffset>-1068040</wp:posOffset>
          </wp:positionH>
          <wp:positionV relativeFrom="paragraph">
            <wp:posOffset>174608</wp:posOffset>
          </wp:positionV>
          <wp:extent cx="7670550" cy="451315"/>
          <wp:effectExtent l="0" t="0" r="0" b="0"/>
          <wp:wrapNone/>
          <wp:docPr id="2066816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A3C63" w14:textId="77777777" w:rsidR="00160C32" w:rsidRDefault="00160C32">
      <w:r>
        <w:separator/>
      </w:r>
    </w:p>
  </w:footnote>
  <w:footnote w:type="continuationSeparator" w:id="0">
    <w:p w14:paraId="6E2C607C" w14:textId="77777777" w:rsidR="00160C32" w:rsidRDefault="00160C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EC27EA"/>
    <w:multiLevelType w:val="multilevel"/>
    <w:tmpl w:val="0C047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2700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185"/>
    <w:rsid w:val="001070D7"/>
    <w:rsid w:val="00160C32"/>
    <w:rsid w:val="0036383F"/>
    <w:rsid w:val="004B58C8"/>
    <w:rsid w:val="004D52BA"/>
    <w:rsid w:val="005612D1"/>
    <w:rsid w:val="00EB3185"/>
    <w:rsid w:val="00EF44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F6A6C"/>
  <w15:docId w15:val="{D213C7DD-EA0E-42CB-81AA-38D524B3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a-Lat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a">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a"/>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4">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5">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6">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research.fotocasa.es" TargetMode="External"/><Relationship Id="rId17"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profesionales.fotocasa.es/" TargetMode="External"/><Relationship Id="rId20" Type="http://schemas.openxmlformats.org/officeDocument/2006/relationships/hyperlink" Target="https://www.immobilienscout24.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inmoweb.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dUc9t2vnipmvOmWP3XhdY65Hlw==">CgMxLjA4AHIhMTBoN2l6N2tZdE9oWk12clV6alQ1WV95d1BKZzFsdXdD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1321</Words>
  <Characters>7267</Characters>
  <Application>Microsoft Office Word</Application>
  <DocSecurity>0</DocSecurity>
  <Lines>60</Lines>
  <Paragraphs>17</Paragraphs>
  <ScaleCrop>false</ScaleCrop>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cp:revision>
  <dcterms:created xsi:type="dcterms:W3CDTF">2024-02-06T13:46:00Z</dcterms:created>
  <dcterms:modified xsi:type="dcterms:W3CDTF">2026-03-16T11:48:00Z</dcterms:modified>
</cp:coreProperties>
</file>