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w:t>
      </w:r>
      <w:r w:rsidDel="00000000" w:rsidR="00000000" w:rsidRPr="00000000">
        <w:drawing>
          <wp:anchor allowOverlap="1" behindDoc="0" distB="0" distT="0" distL="114300" distR="114300" hidden="0" layoutInCell="1" locked="0" relativeHeight="0" simplePos="0">
            <wp:simplePos x="0" y="0"/>
            <wp:positionH relativeFrom="column">
              <wp:posOffset>-1080116</wp:posOffset>
            </wp:positionH>
            <wp:positionV relativeFrom="paragraph">
              <wp:posOffset>-654665</wp:posOffset>
            </wp:positionV>
            <wp:extent cx="7581265" cy="1019175"/>
            <wp:effectExtent b="0" l="0" r="0" t="0"/>
            <wp:wrapNone/>
            <wp:docPr id="20668166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bCs w:val="1"/>
          <w:color w:val="1dbdc5"/>
          <w:sz w:val="34"/>
          <w:szCs w:val="34"/>
        </w:rPr>
      </w:pPr>
      <w:r w:rsidDel="00000000" w:rsidR="00000000" w:rsidRPr="00000000">
        <w:rPr>
          <w:rFonts w:ascii="National" w:cs="National" w:eastAsia="National" w:hAnsi="National"/>
          <w:b w:val="1"/>
          <w:bCs w:val="1"/>
          <w:color w:val="1dbdc5"/>
          <w:sz w:val="30"/>
          <w:szCs w:val="30"/>
          <w:rtl w:val="0"/>
        </w:rPr>
        <w:t xml:space="preserve">PERSPECTIVAS PARA EL MERCADO DEL ARRENDAMIENTO</w:t>
      </w:r>
      <w:r w:rsidDel="00000000" w:rsidR="00000000" w:rsidRPr="00000000">
        <w:rPr>
          <w:rFonts w:ascii="National" w:cs="National" w:eastAsia="National" w:hAnsi="National"/>
          <w:b w:val="1"/>
          <w:bCs w:val="1"/>
          <w:color w:val="1dbdc5"/>
          <w:sz w:val="34"/>
          <w:szCs w:val="34"/>
          <w:rtl w:val="0"/>
        </w:rPr>
        <w:t xml:space="preserve"> </w:t>
      </w:r>
    </w:p>
    <w:p w:rsidR="00000000" w:rsidDel="00000000" w:rsidP="00000000" w:rsidRDefault="00000000" w:rsidRPr="00000000" w14:paraId="00000005">
      <w:pPr>
        <w:jc w:val="center"/>
        <w:rPr>
          <w:rFonts w:ascii="National" w:cs="National" w:eastAsia="National" w:hAnsi="National"/>
          <w:b w:val="1"/>
          <w:bCs w:val="1"/>
          <w:color w:val="303ab2"/>
          <w:sz w:val="46"/>
          <w:szCs w:val="46"/>
        </w:rPr>
      </w:pPr>
      <w:r w:rsidDel="00000000" w:rsidR="00000000" w:rsidRPr="00000000">
        <w:rPr>
          <w:rFonts w:ascii="National" w:cs="National" w:eastAsia="National" w:hAnsi="National"/>
          <w:b w:val="1"/>
          <w:bCs w:val="1"/>
          <w:color w:val="303ab2"/>
          <w:sz w:val="46"/>
          <w:szCs w:val="46"/>
          <w:rtl w:val="0"/>
        </w:rPr>
        <w:t xml:space="preserve">Más de un tercio de los contratos que vencen en un año saldrían del mercado de alquiler de larga duración</w:t>
      </w:r>
    </w:p>
    <w:p w:rsidR="00000000" w:rsidDel="00000000" w:rsidP="00000000" w:rsidRDefault="00000000" w:rsidRPr="00000000" w14:paraId="00000006">
      <w:pPr>
        <w:jc w:val="center"/>
        <w:rPr>
          <w:rFonts w:ascii="National" w:cs="National" w:eastAsia="National" w:hAnsi="National"/>
          <w:b w:val="1"/>
          <w:bCs w:val="1"/>
          <w:color w:val="303ab2"/>
          <w:sz w:val="46"/>
          <w:szCs w:val="46"/>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El 37% de los contratos de arrendamiento vigentes terminarán en un plazo máximo de doce meses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Un 58% de los propietarios señalan que fijarán rentas más altas o buscarán inquilinos con mayor capacidad de pago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El 97% de los propietarios alquilan inmuebles completos, frente a un 3% que optan por arrendar habitaciones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23 de marzo de 2026</w:t>
        <w:tab/>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mercado del alquiler en España podría experimentar nuevos ajustes en la oferta disponible en los próximos meses. Una parte significativa de los contratos actualmente vigentes finalizará en el corto plazo y una proporción relevante de esos inmuebles podría abandonar el mercado del alquiler convencional. En concreto, el 24% de los propietarios señala que el contrato de arrendamiento de su vivienda termina este mismo año, en 2026, mientras que un 13% indica que finalizará dentro de un año. En conjunto, esto supone que el 37% de los contratos de alquiler vigentes actualmente vencerán en un plazo máximo de doce meses, </w:t>
      </w:r>
      <w:r w:rsidDel="00000000" w:rsidR="00000000" w:rsidRPr="00000000">
        <w:rPr>
          <w:rFonts w:ascii="Open Sans" w:cs="Open Sans" w:eastAsia="Open Sans" w:hAnsi="Open Sans"/>
          <w:b w:val="1"/>
          <w:bCs w:val="1"/>
          <w:rtl w:val="0"/>
        </w:rPr>
        <w:t xml:space="preserve">según los datos extraídos a partir de una encuesta de </w:t>
      </w:r>
      <w:hyperlink r:id="rId8">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 realizada en febrero de 2026</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Ante ese escenario, los propietarios contemplan distintas decisiones respecto al futuro de esas viviendas, y una parte notable apuesta por reducir la oferta en el segmento del arrendamiento. Concretamente, </w:t>
      </w:r>
      <w:r w:rsidDel="00000000" w:rsidR="00000000" w:rsidRPr="00000000">
        <w:rPr>
          <w:rFonts w:ascii="Open Sans" w:cs="Open Sans" w:eastAsia="Open Sans" w:hAnsi="Open Sans"/>
          <w:b w:val="1"/>
          <w:bCs w:val="1"/>
          <w:rtl w:val="0"/>
        </w:rPr>
        <w:t xml:space="preserve">más de un tercio de los encuestados (34%) afirman que su vivienda se retirará del mercado del alquiler de larga duraci</w:t>
      </w:r>
      <w:r w:rsidDel="00000000" w:rsidR="00000000" w:rsidRPr="00000000">
        <w:rPr>
          <w:rFonts w:ascii="Open Sans" w:cs="Open Sans" w:eastAsia="Open Sans" w:hAnsi="Open Sans"/>
          <w:b w:val="1"/>
          <w:bCs w:val="1"/>
          <w:rtl w:val="0"/>
        </w:rPr>
        <w:t xml:space="preserve">ón</w:t>
      </w:r>
      <w:r w:rsidDel="00000000" w:rsidR="00000000" w:rsidRPr="00000000">
        <w:rPr>
          <w:rFonts w:ascii="Open Sans" w:cs="Open Sans" w:eastAsia="Open Sans" w:hAnsi="Open Sans"/>
          <w:b w:val="1"/>
          <w:bCs w:val="1"/>
          <w:rtl w:val="0"/>
        </w:rPr>
        <w:t xml:space="preserve"> al finalizar el contrato</w:t>
      </w:r>
      <w:r w:rsidDel="00000000" w:rsidR="00000000" w:rsidRPr="00000000">
        <w:rPr>
          <w:rFonts w:ascii="Open Sans" w:cs="Open Sans" w:eastAsia="Open Sans" w:hAnsi="Open Sans"/>
          <w:rtl w:val="0"/>
        </w:rPr>
        <w:t xml:space="preserve">. Este porcentaje surge de la suma de tres posibles decisiones: vender el inmueble una vez finalice el contrato (24%), destinarlo al alquiler por habitaciones (8%) o reconvertirlo en un apartamento de alquiler vacacional (2%).</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“En un año clave, en el que cerca del 40% de los contratos de alquiler llegarán a su fin, el comportamiento de los propietarios refleja una creciente falta de seguridad y de confianza en el mercado. Muchos optarán por no mantener sus viviendas en alquiler de larga duración, lo que limitará la rotación de inquilinos. Nunca habíamos detectado una fuga de oferta similar en el mercado. Esta retirada de oferta hará que el mercado se vuelva inevitablemente más restrictivo, elevando las exigencias económicas y limitando el acceso de la gran mayoría de los inquilinos”,</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Subidas de rentas y búsqueda de inquilinos con mayor capacidad de pago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Además de retirar sus inmuebles del mercado del alquiler convencional, entre las otras opciones que contemplan los propietarios cuando finalice el contrato actual, una parte relevante apunta a reajustes en el precio del alquiler o en el perfil de los futuros arrendatarios. </w:t>
      </w:r>
      <w:r w:rsidDel="00000000" w:rsidR="00000000" w:rsidRPr="00000000">
        <w:rPr>
          <w:rFonts w:ascii="Open Sans" w:cs="Open Sans" w:eastAsia="Open Sans" w:hAnsi="Open Sans"/>
          <w:b w:val="1"/>
          <w:bCs w:val="1"/>
          <w:rtl w:val="0"/>
        </w:rPr>
        <w:t xml:space="preserve">El 32% afirman que establecerán un precio más alto una vez finalice el contrato vigente, mientras que el 26% señalan que buscarán inquilinos que puedan asumir un pago mayor</w:t>
      </w:r>
      <w:r w:rsidDel="00000000" w:rsidR="00000000" w:rsidRPr="00000000">
        <w:rPr>
          <w:rFonts w:ascii="Open Sans" w:cs="Open Sans" w:eastAsia="Open Sans" w:hAnsi="Open Sans"/>
          <w:rtl w:val="0"/>
        </w:rPr>
        <w:t xml:space="preserve">. Estas decisiones reflejan una tendencia hacia la revisión al alza de las condiciones económicas del alquiler en los próximos contratos, una opción que suma un 58% del total. Asimismo, el 8% de los actuales propietarios de viviendas en alquiler afirman que en el futuro se planteará más seriamente comprar una vivienda como inversión.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Más de un tercio de los contratos vencerá en un año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cuanto a la duración de los contratos actualmente vigentes, como se ha mencionado, la encuesta señala que el 24% de los propietarios tienen contratos que finalizan en 2026, mientras que el 13% indican que su vencimiento se producirá dentro de un año. </w:t>
      </w:r>
      <w:r w:rsidDel="00000000" w:rsidR="00000000" w:rsidRPr="00000000">
        <w:rPr>
          <w:rFonts w:ascii="Open Sans" w:cs="Open Sans" w:eastAsia="Open Sans" w:hAnsi="Open Sans"/>
          <w:b w:val="1"/>
          <w:bCs w:val="1"/>
          <w:rtl w:val="0"/>
        </w:rPr>
        <w:t xml:space="preserve">Por tanto, el 37% de los contratos finalizarán en un plazo máximo de doce meses.</w:t>
      </w:r>
      <w:r w:rsidDel="00000000" w:rsidR="00000000" w:rsidRPr="00000000">
        <w:rPr>
          <w:rFonts w:ascii="Open Sans" w:cs="Open Sans" w:eastAsia="Open Sans" w:hAnsi="Open Sans"/>
          <w:rtl w:val="0"/>
        </w:rPr>
        <w:t xml:space="preserve"> Por otro lado, el 11% de los contratos terminará dentro de dos años, mientras que el 34% lo hará dentro de tres años o más. Además, el 18% de los propietarios reconoce no saber exactamente cuándo finaliza el contrato actual.</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Predominio del alquiler de vivienda completa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encuesta también muestra que el modelo predominante en el mercado del alquiler es actualmente el arrendamiento de la vivienda completa. </w:t>
      </w:r>
      <w:r w:rsidDel="00000000" w:rsidR="00000000" w:rsidRPr="00000000">
        <w:rPr>
          <w:rFonts w:ascii="Open Sans" w:cs="Open Sans" w:eastAsia="Open Sans" w:hAnsi="Open Sans"/>
          <w:b w:val="1"/>
          <w:bCs w:val="1"/>
          <w:rtl w:val="0"/>
        </w:rPr>
        <w:t xml:space="preserve">El 97% de los propietarios que alquilan un inmueble como residencia habitual lo hacen bajo esta modalidad, frente a un 3% que optan por el alquiler por habitaciones</w:t>
      </w:r>
      <w:r w:rsidDel="00000000" w:rsidR="00000000" w:rsidRPr="00000000">
        <w:rPr>
          <w:rFonts w:ascii="Open Sans" w:cs="Open Sans" w:eastAsia="Open Sans" w:hAnsi="Open Sans"/>
          <w:rtl w:val="0"/>
        </w:rPr>
        <w:t xml:space="preserve">. Este dato refleja que el alquiler tradicional de vivienda completa continúa siendo la fórmula mayoritaria en el mercado residencial, aunque algunas de las decisiones previstas por los propietarios podrían modificar parcialmente esta distribución en el futuro.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spacing w:line="276" w:lineRule="auto"/>
        <w:jc w:val="right"/>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1">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2">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3">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0">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1">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4">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2">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5">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6">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3">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4">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8">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9">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A">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B">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C">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19">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31">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3">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4">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5">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6">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7">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-1068040</wp:posOffset>
          </wp:positionH>
          <wp:positionV relativeFrom="paragraph">
            <wp:posOffset>174608</wp:posOffset>
          </wp:positionV>
          <wp:extent cx="7670550" cy="451315"/>
          <wp:effectExtent b="0" l="0" r="0" t="0"/>
          <wp:wrapNone/>
          <wp:docPr id="20668166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a" w:customStyle="1">
    <w:basedOn w:val="TableNormalf7"/>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table" w:styleId="a0" w:customStyle="1">
    <w:basedOn w:val="TableNormalf7"/>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character" w:styleId="Hipervnculo">
    <w:name w:val="Hyperlink"/>
    <w:basedOn w:val="Fuentedeprrafopredeter"/>
    <w:uiPriority w:val="99"/>
    <w:unhideWhenUsed w:val="1"/>
    <w:rsid w:val="00FE7DB6"/>
    <w:rPr>
      <w:color w:val="0000ff" w:themeColor="hyperlink"/>
      <w:u w:val="single"/>
    </w:rPr>
  </w:style>
  <w:style w:type="character" w:styleId="Mencinsinresolver">
    <w:name w:val="Unresolved Mention"/>
    <w:basedOn w:val="Fuentedeprrafopredeter"/>
    <w:uiPriority w:val="99"/>
    <w:semiHidden w:val="1"/>
    <w:unhideWhenUsed w:val="1"/>
    <w:rsid w:val="00FE7DB6"/>
    <w:rPr>
      <w:color w:val="605e5c"/>
      <w:shd w:color="auto" w:fill="e1dfdd" w:val="clear"/>
    </w:rPr>
  </w:style>
  <w:style w:type="paragraph" w:styleId="NormalWeb">
    <w:name w:val="Normal (Web)"/>
    <w:basedOn w:val="Normal"/>
    <w:uiPriority w:val="99"/>
    <w:unhideWhenUsed w:val="1"/>
    <w:rsid w:val="003D48F5"/>
    <w:pPr>
      <w:spacing w:after="100" w:afterAutospacing="1" w:before="100" w:beforeAutospacing="1"/>
    </w:pPr>
    <w:rPr>
      <w:rFonts w:ascii="Times New Roman" w:cs="Times New Roman" w:eastAsia="Times New Roman" w:hAnsi="Times New Roman"/>
      <w:lang w:val="es-ES"/>
    </w:rPr>
  </w:style>
  <w:style w:type="paragraph" w:styleId="Textocomentario">
    <w:name w:val="annotation text"/>
    <w:basedOn w:val="Normal"/>
    <w:link w:val="TextocomentarioCar"/>
    <w:uiPriority w:val="99"/>
    <w:unhideWhenUsed w:val="1"/>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normaltextrun" w:customStyle="1">
    <w:name w:val="normaltextrun"/>
    <w:basedOn w:val="Fuentedeprrafopredeter"/>
    <w:rsid w:val="00A35D58"/>
  </w:style>
  <w:style w:type="table" w:styleId="Tablaconcuadrcula">
    <w:name w:val="Table Grid"/>
    <w:basedOn w:val="Tablanormal"/>
    <w:uiPriority w:val="39"/>
    <w:rsid w:val="00A35D58"/>
    <w:rPr>
      <w:rFonts w:asciiTheme="minorHAnsi" w:cstheme="minorBidi" w:eastAsiaTheme="minorHAnsi" w:hAnsiTheme="minorHAnsi"/>
      <w:kern w:val="2"/>
      <w:sz w:val="22"/>
      <w:szCs w:val="22"/>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f4"/>
    <w:rPr>
      <w:rFonts w:ascii="Cambria" w:cs="Cambria" w:eastAsia="Cambria" w:hAnsi="Cambria"/>
      <w:sz w:val="22"/>
      <w:szCs w:val="22"/>
    </w:rPr>
    <w:tblPr>
      <w:tblStyleRowBandSize w:val="1"/>
      <w:tblStyleColBandSize w:val="1"/>
      <w:tblCellMar>
        <w:left w:w="108.0" w:type="dxa"/>
        <w:right w:w="108.0" w:type="dxa"/>
      </w:tblCellMar>
    </w:tblPr>
  </w:style>
  <w:style w:type="table" w:styleId="a2" w:customStyle="1">
    <w:basedOn w:val="TableNormalf4"/>
    <w:rPr>
      <w:rFonts w:ascii="Cambria" w:cs="Cambria" w:eastAsia="Cambria" w:hAnsi="Cambria"/>
      <w:sz w:val="22"/>
      <w:szCs w:val="22"/>
    </w:rPr>
    <w:tblPr>
      <w:tblStyleRowBandSize w:val="1"/>
      <w:tblStyleColBandSize w:val="1"/>
      <w:tblCellMar>
        <w:left w:w="108.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534008"/>
    <w:rPr>
      <w:b w:val="1"/>
      <w:bCs w:val="1"/>
    </w:rPr>
  </w:style>
  <w:style w:type="character" w:styleId="AsuntodelcomentarioCar" w:customStyle="1">
    <w:name w:val="Asunto del comentario Car"/>
    <w:basedOn w:val="TextocomentarioCar"/>
    <w:link w:val="Asuntodelcomentario"/>
    <w:uiPriority w:val="99"/>
    <w:semiHidden w:val="1"/>
    <w:rsid w:val="00534008"/>
    <w:rPr>
      <w:b w:val="1"/>
      <w:bCs w:val="1"/>
      <w:sz w:val="20"/>
      <w:szCs w:val="20"/>
    </w:rPr>
  </w:style>
  <w:style w:type="paragraph" w:styleId="Prrafodelista">
    <w:name w:val="List Paragraph"/>
    <w:basedOn w:val="Normal"/>
    <w:uiPriority w:val="34"/>
    <w:qFormat w:val="1"/>
    <w:rsid w:val="004C3974"/>
    <w:pPr>
      <w:ind w:left="720"/>
      <w:contextualSpacing w:val="1"/>
    </w:pPr>
  </w:style>
  <w:style w:type="character" w:styleId="Referenciaintensa">
    <w:name w:val="Intense Reference"/>
    <w:basedOn w:val="Fuentedeprrafopredeter"/>
    <w:uiPriority w:val="32"/>
    <w:qFormat w:val="1"/>
    <w:rsid w:val="00A775CB"/>
    <w:rPr>
      <w:b w:val="1"/>
      <w:bCs w:val="1"/>
      <w:smallCaps w:val="1"/>
      <w:color w:val="365f91" w:themeColor="accent1" w:themeShade="0000BF"/>
      <w:spacing w:val="5"/>
    </w:rPr>
  </w:style>
  <w:style w:type="table" w:styleId="a3" w:customStyle="1">
    <w:basedOn w:val="TableNormal9"/>
    <w:tblPr>
      <w:tblStyleRowBandSize w:val="1"/>
      <w:tblStyleColBandSize w:val="1"/>
      <w:tblCellMar>
        <w:left w:w="108.0" w:type="dxa"/>
        <w:right w:w="108.0" w:type="dxa"/>
      </w:tblCellMar>
    </w:tblPr>
    <w:tblStylePr w:type="firstRow">
      <w:rPr>
        <w:b w:val="1"/>
        <w:color w:val="ffffff"/>
      </w:rPr>
      <w:tblPr/>
      <w:tcPr>
        <w:tcBorders>
          <w:top w:color="39d9cd" w:space="0" w:sz="4" w:val="single"/>
          <w:left w:color="39d9cd" w:space="0" w:sz="4" w:val="single"/>
          <w:bottom w:color="39d9cd" w:space="0" w:sz="4" w:val="single"/>
          <w:right w:color="39d9cd" w:space="0" w:sz="4" w:val="single"/>
          <w:insideH w:space="0" w:sz="0" w:val="nil"/>
          <w:insideV w:space="0" w:sz="0" w:val="nil"/>
        </w:tcBorders>
        <w:shd w:color="auto" w:fill="39d9cd" w:val="clear"/>
      </w:tcPr>
    </w:tblStylePr>
    <w:tblStylePr w:type="lastRow">
      <w:rPr>
        <w:b w:val="1"/>
      </w:rPr>
      <w:tblPr/>
      <w:tcPr>
        <w:tcBorders>
          <w:top w:color="39d9cd" w:space="0" w:sz="4" w:val="single"/>
        </w:tcBorders>
      </w:tcPr>
    </w:tblStylePr>
    <w:tblStylePr w:type="firstCol">
      <w:rPr>
        <w:b w:val="1"/>
      </w:rPr>
    </w:tblStylePr>
    <w:tblStylePr w:type="lastCol">
      <w:rPr>
        <w:b w:val="1"/>
      </w:rPr>
    </w:tblStylePr>
    <w:tblStylePr w:type="band1Vert">
      <w:tblPr/>
      <w:tcPr>
        <w:shd w:color="auto" w:fill="d7f7f4" w:val="clear"/>
      </w:tcPr>
    </w:tblStylePr>
    <w:tblStylePr w:type="band1Horz">
      <w:tblPr/>
      <w:tcPr>
        <w:shd w:color="auto" w:fill="d7f7f4" w:val="clear"/>
      </w:tcPr>
    </w:tblStylePr>
  </w:style>
  <w:style w:type="character" w:styleId="Hipervnculovisitado">
    <w:name w:val="FollowedHyperlink"/>
    <w:basedOn w:val="Fuentedeprrafopredeter"/>
    <w:uiPriority w:val="99"/>
    <w:semiHidden w:val="1"/>
    <w:unhideWhenUsed w:val="1"/>
    <w:rsid w:val="009B09EE"/>
    <w:rPr>
      <w:color w:val="800080" w:themeColor="followedHyperlink"/>
      <w:u w:val="single"/>
    </w:rPr>
  </w:style>
  <w:style w:type="table" w:styleId="Tablaconcuadrcula5oscura-nfasis1">
    <w:name w:val="Grid Table 5 Dark Accent 1"/>
    <w:basedOn w:val="Tablanormal"/>
    <w:uiPriority w:val="50"/>
    <w:rsid w:val="00B7768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5oscura-nfasis5">
    <w:name w:val="Grid Table 5 Dark Accent 5"/>
    <w:basedOn w:val="Tablanormal"/>
    <w:uiPriority w:val="50"/>
    <w:rsid w:val="002827A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a4" w:customStyle="1">
    <w:basedOn w:val="TableNormal0"/>
    <w:tblPr>
      <w:tblStyleRowBandSize w:val="1"/>
      <w:tblStyleColBandSize w:val="1"/>
      <w:tblCellMar>
        <w:top w:w="0.0" w:type="dxa"/>
        <w:left w:w="115.0" w:type="dxa"/>
        <w:bottom w:w="0.0" w:type="dxa"/>
        <w:right w:w="115.0" w:type="dxa"/>
      </w:tblCellMar>
    </w:tblPr>
    <w:tcPr>
      <w:shd w:color="auto" w:fill="dbe5f1"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4f81bd"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4f81bd"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4f81bd"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4f81bd" w:val="clear"/>
      </w:tcPr>
    </w:tblStylePr>
    <w:tblStylePr w:type="band1Vert">
      <w:tblPr/>
      <w:tcPr>
        <w:shd w:color="auto" w:fill="b8cce4" w:val="clear"/>
      </w:tcPr>
    </w:tblStylePr>
    <w:tblStylePr w:type="band1Horz">
      <w:tblPr/>
      <w:tcPr>
        <w:shd w:color="auto" w:fill="b8cce4" w:val="clear"/>
      </w:tcPr>
    </w:tblStylePr>
  </w:style>
  <w:style w:type="table" w:styleId="a5" w:customStyle="1">
    <w:basedOn w:val="TableNormal0"/>
    <w:tblPr>
      <w:tblStyleRowBandSize w:val="1"/>
      <w:tblStyleColBandSize w:val="1"/>
      <w:tblCellMar>
        <w:top w:w="0.0" w:type="dxa"/>
        <w:left w:w="115.0" w:type="dxa"/>
        <w:bottom w:w="0.0" w:type="dxa"/>
        <w:right w:w="115.0" w:type="dxa"/>
      </w:tblCellMar>
    </w:tblPr>
    <w:tcPr>
      <w:shd w:color="auto" w:fill="dbe5f1"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4f81bd"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4f81bd"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4f81bd"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4f81bd" w:val="clear"/>
      </w:tcPr>
    </w:tblStylePr>
    <w:tblStylePr w:type="band1Vert">
      <w:tblPr/>
      <w:tcPr>
        <w:shd w:color="auto" w:fill="b8cce4" w:val="clear"/>
      </w:tcPr>
    </w:tblStylePr>
    <w:tblStylePr w:type="band1Horz">
      <w:tblPr/>
      <w:tcPr>
        <w:shd w:color="auto" w:fill="b8cce4" w:val="clear"/>
      </w:tcPr>
    </w:tblStylePr>
  </w:style>
  <w:style w:type="table" w:styleId="a6" w:customStyle="1">
    <w:basedOn w:val="TableNormal0"/>
    <w:tblPr>
      <w:tblStyleRowBandSize w:val="1"/>
      <w:tblStyleColBandSize w:val="1"/>
      <w:tblCellMar>
        <w:top w:w="0.0" w:type="dxa"/>
        <w:left w:w="115.0" w:type="dxa"/>
        <w:bottom w:w="0.0" w:type="dxa"/>
        <w:right w:w="115.0" w:type="dxa"/>
      </w:tblCellMar>
    </w:tblPr>
    <w:tcPr>
      <w:shd w:color="auto" w:fill="dbe5f1"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4f81bd"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4f81bd"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4f81bd"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4f81bd" w:val="clear"/>
      </w:tcPr>
    </w:tblStylePr>
    <w:tblStylePr w:type="band1Vert">
      <w:tblPr/>
      <w:tcPr>
        <w:shd w:color="auto" w:fill="b8cce4" w:val="clear"/>
      </w:tcPr>
    </w:tblStylePr>
    <w:tblStylePr w:type="band1Horz">
      <w:tblPr/>
      <w:tcPr>
        <w:shd w:color="auto" w:fill="b8cce4"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research.fotocasa.es" TargetMode="External"/><Relationship Id="rId10" Type="http://schemas.openxmlformats.org/officeDocument/2006/relationships/hyperlink" Target="https://www.fotocasa.es/indice/" TargetMode="External"/><Relationship Id="rId21" Type="http://schemas.openxmlformats.org/officeDocument/2006/relationships/footer" Target="footer1.xml"/><Relationship Id="rId13" Type="http://schemas.openxmlformats.org/officeDocument/2006/relationships/hyperlink" Target="https://www.fotocasa.es" TargetMode="Externa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profesionales.fotocasa.es/" TargetMode="External"/><Relationship Id="rId14" Type="http://schemas.openxmlformats.org/officeDocument/2006/relationships/hyperlink" Target="https://www.habitaclia.com/" TargetMode="External"/><Relationship Id="rId17" Type="http://schemas.openxmlformats.org/officeDocument/2006/relationships/hyperlink" Target="https://get.witei.com/en/" TargetMode="External"/><Relationship Id="rId16" Type="http://schemas.openxmlformats.org/officeDocument/2006/relationships/hyperlink" Target="https://datavenues.com/" TargetMode="External"/><Relationship Id="rId5" Type="http://schemas.openxmlformats.org/officeDocument/2006/relationships/styles" Target="styles.xml"/><Relationship Id="rId19" Type="http://schemas.openxmlformats.org/officeDocument/2006/relationships/hyperlink" Target="https://www.immobilienscout24.de/" TargetMode="External"/><Relationship Id="rId6" Type="http://schemas.openxmlformats.org/officeDocument/2006/relationships/customXml" Target="../customXML/item1.xml"/><Relationship Id="rId18" Type="http://schemas.openxmlformats.org/officeDocument/2006/relationships/hyperlink" Target="https://www.inmoweb.es/" TargetMode="External"/><Relationship Id="rId7" Type="http://schemas.openxmlformats.org/officeDocument/2006/relationships/image" Target="media/image1.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w+NOEPZjIpOkHm/o2huxlJXxg==">CgMxLjA4AGokChRzdWdnZXN0Lm5zNm05dGFkNnp0NxIMTWFyw61hIE1hdG9zaiMKE3N1Z2dlc3QuNGY3Z29qempuOHcSDE1hcsOtYSBNYXRvc2okChRzdWdnZXN0LmFycnB5bjk2NHRiYxIMTWFyw61hIE1hdG9zaiQKFHN1Z2dlc3QuNXhtMGZ2Z2t2NmpxEgxNYXLDrWEgTWF0b3NyITEtTXdyV1BVQ20yLWpTMERfaTFiTXBYQWR0UTJ2bXd6bA==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2024-02-06T13:46:00Z</dcterms:created>
</cp:coreProperties>
</file>