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566C" w14:textId="77777777" w:rsidR="009F7F41" w:rsidRDefault="00000000">
      <w:r>
        <w:rPr>
          <w:noProof/>
        </w:rPr>
        <w:drawing>
          <wp:anchor distT="0" distB="0" distL="114300" distR="114300" simplePos="0" relativeHeight="251658240" behindDoc="0" locked="0" layoutInCell="1" hidden="0" allowOverlap="1" wp14:anchorId="67F24E16" wp14:editId="55AA80ED">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407740" w14:textId="77777777" w:rsidR="009F7F41" w:rsidRDefault="009F7F41">
      <w:pPr>
        <w:jc w:val="right"/>
        <w:rPr>
          <w:rFonts w:ascii="National" w:eastAsia="National" w:hAnsi="National" w:cs="National"/>
          <w:color w:val="303AB2"/>
          <w:sz w:val="36"/>
          <w:szCs w:val="36"/>
        </w:rPr>
      </w:pPr>
    </w:p>
    <w:p w14:paraId="3A2BC291" w14:textId="77777777" w:rsidR="009F7F41" w:rsidRDefault="009F7F41">
      <w:pPr>
        <w:rPr>
          <w:rFonts w:ascii="National" w:eastAsia="National" w:hAnsi="National" w:cs="National"/>
          <w:color w:val="303AB2"/>
          <w:sz w:val="18"/>
          <w:szCs w:val="18"/>
        </w:rPr>
      </w:pPr>
    </w:p>
    <w:p w14:paraId="3BD4194E" w14:textId="77777777" w:rsidR="009F7F41"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PRECIO DE LA VIVIENDA DE COMPRA CON GARAJE</w:t>
      </w:r>
    </w:p>
    <w:p w14:paraId="52DB9D00" w14:textId="77777777" w:rsidR="009F7F41"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Una plaza de aparcamiento incrementa el valor de una vivienda en un 5,9%</w:t>
      </w:r>
    </w:p>
    <w:p w14:paraId="4E22F6C5" w14:textId="77777777" w:rsidR="009F7F41" w:rsidRDefault="009F7F41">
      <w:pPr>
        <w:jc w:val="center"/>
        <w:rPr>
          <w:rFonts w:ascii="Open Sans" w:eastAsia="Open Sans" w:hAnsi="Open Sans" w:cs="Open Sans"/>
          <w:color w:val="303AB2"/>
        </w:rPr>
      </w:pPr>
    </w:p>
    <w:p w14:paraId="2E61C161" w14:textId="77777777" w:rsidR="009F7F4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precio medio de una vivienda de 80 m2 en España se sitúa en 235.981 euros, mientras que el precio un piso igual con garaje alcanza los 250.013 euros</w:t>
      </w:r>
    </w:p>
    <w:p w14:paraId="77446999" w14:textId="0D19A95B" w:rsidR="009F7F4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Extremadura (14,8%)</w:t>
      </w:r>
      <w:r w:rsidR="0071454A">
        <w:rPr>
          <w:rFonts w:ascii="Open Sans Light" w:eastAsia="Open Sans Light" w:hAnsi="Open Sans Light" w:cs="Open Sans Light"/>
          <w:b/>
          <w:bCs/>
          <w:color w:val="303AB2"/>
        </w:rPr>
        <w:t xml:space="preserve"> </w:t>
      </w:r>
      <w:r>
        <w:rPr>
          <w:rFonts w:ascii="Open Sans Light" w:eastAsia="Open Sans Light" w:hAnsi="Open Sans Light" w:cs="Open Sans Light"/>
          <w:b/>
          <w:bCs/>
          <w:color w:val="303AB2"/>
        </w:rPr>
        <w:t>y Castilla y León (11,0%) son los territorios donde más se incrementa el valor de una vivienda con una plaza de parking</w:t>
      </w:r>
    </w:p>
    <w:p w14:paraId="1693F7BD" w14:textId="77777777" w:rsidR="009F7F4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la mayoría de las comunidades, agregar un aparcamiento a la vivienda incrementa el valor de esta entre el 5% y el 10%</w:t>
      </w:r>
    </w:p>
    <w:p w14:paraId="4593C987" w14:textId="77777777" w:rsidR="009F7F4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Por su lado, Jaén (15,9%), Almería (13,6%) y Huelva (13,2%) lideran el incremento en este campo entre las capitales de provincia</w:t>
      </w:r>
    </w:p>
    <w:p w14:paraId="51A71EE7" w14:textId="77777777" w:rsidR="009F7F41" w:rsidRDefault="009F7F4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3595C1D" w14:textId="77777777" w:rsidR="009F7F4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25 de marzo de 2026</w:t>
      </w:r>
      <w:r>
        <w:rPr>
          <w:rFonts w:ascii="Open Sans Light" w:eastAsia="Open Sans Light" w:hAnsi="Open Sans Light" w:cs="Open Sans Light"/>
          <w:b/>
          <w:bCs/>
          <w:color w:val="303AB2"/>
        </w:rPr>
        <w:tab/>
      </w:r>
    </w:p>
    <w:p w14:paraId="662F6FFE" w14:textId="77777777" w:rsidR="009F7F41" w:rsidRDefault="009F7F4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44E84A99"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Contar con una plaza de garaje sigue aportando valor añadido a la vivienda en propiedad, aunque el impacto de este complemento en el precio final se modera respecto a años anteriores. </w:t>
      </w:r>
      <w:r>
        <w:rPr>
          <w:rFonts w:ascii="Open Sans" w:eastAsia="Open Sans" w:hAnsi="Open Sans" w:cs="Open Sans"/>
          <w:b/>
          <w:bCs/>
        </w:rPr>
        <w:t xml:space="preserve">En febrero de 2026, una plaza de aparcamiento incrementa el valor de un piso en un 5,9% de media en España, según el análisis realizado por el portal inmobiliario </w:t>
      </w:r>
      <w:hyperlink r:id="rId9">
        <w:r w:rsidR="009F7F41">
          <w:rPr>
            <w:rFonts w:ascii="Open Sans" w:eastAsia="Open Sans" w:hAnsi="Open Sans" w:cs="Open Sans"/>
            <w:b/>
            <w:bCs/>
            <w:color w:val="0000FF"/>
            <w:u w:val="single"/>
          </w:rPr>
          <w:t>Fotocasa</w:t>
        </w:r>
      </w:hyperlink>
      <w:r>
        <w:rPr>
          <w:rFonts w:ascii="Open Sans" w:eastAsia="Open Sans" w:hAnsi="Open Sans" w:cs="Open Sans"/>
        </w:rPr>
        <w:t xml:space="preserve"> a partir del precio de compraventa de una vivienda tipo de 80 metros cuadrados. En términos absolutos, el precio medio de una vivienda en España se sitúa en 235.981 euros, mientras que el precio medio de un piso con garaje alcanza los 250.013 euros. El coste medio de una plaza de garaje en compra es actualmente de 14.033 euros.</w:t>
      </w:r>
    </w:p>
    <w:p w14:paraId="1E82BBEE"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187065F7"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términos históricos, el incremento de valor registrado en 2026 (5,9%) por añadir un aparcamiento a un piso de 80 metros cuadrados en oferta supone una moderación respecto a la variación agregada del 7,5% alcanzada en 2025, y se sitúa por debajo de los máximos de la última década. </w:t>
      </w:r>
      <w:r>
        <w:rPr>
          <w:rFonts w:ascii="Open Sans" w:eastAsia="Open Sans" w:hAnsi="Open Sans" w:cs="Open Sans"/>
          <w:b/>
          <w:bCs/>
        </w:rPr>
        <w:t>El mayor impacto del garaje sobre el precio total de la vivienda se registró en 2016, cuando llegó a elevar el valor del inmueble un 10,5%.</w:t>
      </w:r>
      <w:r>
        <w:rPr>
          <w:rFonts w:ascii="Open Sans" w:eastAsia="Open Sans" w:hAnsi="Open Sans" w:cs="Open Sans"/>
        </w:rPr>
        <w:t xml:space="preserve"> </w:t>
      </w:r>
    </w:p>
    <w:p w14:paraId="2B0479AB"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65BC4CCA"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aquel momento, el precio medio de una vivienda era de 128.769 euros, y con garaje ascendía a 142.316 euros (dejando el precio medio de un aparcamiento en los 13.547 euros). Por lo tanto, en líneas generales, </w:t>
      </w:r>
      <w:r>
        <w:rPr>
          <w:rFonts w:ascii="Open Sans" w:eastAsia="Open Sans" w:hAnsi="Open Sans" w:cs="Open Sans"/>
          <w:b/>
          <w:bCs/>
        </w:rPr>
        <w:t>los precios de los aparcamientos se han mantenido relativamente estables en la última década, mientras que, comparativamente, las valoraciones medias de las viviendas se han disparado en España</w:t>
      </w:r>
      <w:r>
        <w:rPr>
          <w:rFonts w:ascii="Open Sans" w:eastAsia="Open Sans" w:hAnsi="Open Sans" w:cs="Open Sans"/>
        </w:rPr>
        <w:t>. Por consiguiente, a nivel tendencial, los aparcamientos aportan ahora menor valor proporcional al precio final de una vivienda.</w:t>
      </w:r>
    </w:p>
    <w:p w14:paraId="03DAE004"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7ED0ABE0" w14:textId="77777777" w:rsidR="009F7F41" w:rsidRDefault="00000000">
      <w:pPr>
        <w:spacing w:line="276" w:lineRule="auto"/>
        <w:ind w:right="-574"/>
        <w:jc w:val="both"/>
        <w:rPr>
          <w:rFonts w:ascii="Open Sans" w:eastAsia="Open Sans" w:hAnsi="Open Sans" w:cs="Open Sans"/>
          <w:b/>
          <w:bCs/>
          <w:color w:val="303AB2"/>
          <w:sz w:val="26"/>
          <w:szCs w:val="26"/>
        </w:rPr>
      </w:pPr>
      <w:r>
        <w:rPr>
          <w:rFonts w:ascii="National" w:eastAsia="National" w:hAnsi="National" w:cs="National"/>
          <w:b/>
          <w:bCs/>
          <w:color w:val="303AB2"/>
          <w:sz w:val="32"/>
          <w:szCs w:val="32"/>
        </w:rPr>
        <w:t xml:space="preserve">     ¿Cuánto incrementa un garaje el valor total de una vivienda?</w:t>
      </w:r>
    </w:p>
    <w:p w14:paraId="265EB9F2"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920E343" wp14:editId="4DBB28AD">
            <wp:extent cx="5773420" cy="3810265"/>
            <wp:effectExtent l="0" t="0" r="0" b="0"/>
            <wp:docPr id="2066816617" name="Gráfico 2066816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103F46"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59582969" w14:textId="77777777" w:rsidR="009F7F4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garaje sigue siendo un activo de gran valor añadido, pero su peso en la transacción final se está moderando. Lo que estamos observando es una brecha de crecimiento, ya que mientras que el precio de la vivienda ha experimentado una escalada intensa en el último año (20%), el coste de las plazas de aparcamiento se ha mantenido mucho más estable. Esta desincronización hace que, aunque contar con parking incremente el precio final en unos 14.000 euros de media, el valor añadido a la vivienda sea hoy menor que hace diez años", </w:t>
      </w:r>
      <w:r>
        <w:rPr>
          <w:rFonts w:ascii="Open Sans" w:eastAsia="Open Sans" w:hAnsi="Open Sans" w:cs="Open Sans"/>
          <w:b/>
          <w:bCs/>
        </w:rPr>
        <w:t xml:space="preserve">explica María Matos, directora de Estudios y portavoz de </w:t>
      </w:r>
      <w:hyperlink r:id="rId11">
        <w:r w:rsidR="009F7F41">
          <w:rPr>
            <w:rFonts w:ascii="Open Sans" w:eastAsia="Open Sans" w:hAnsi="Open Sans" w:cs="Open Sans"/>
            <w:b/>
            <w:bCs/>
            <w:color w:val="0000FF"/>
            <w:u w:val="single"/>
          </w:rPr>
          <w:t>Fotocasa</w:t>
        </w:r>
      </w:hyperlink>
      <w:r>
        <w:rPr>
          <w:rFonts w:ascii="Open Sans" w:eastAsia="Open Sans" w:hAnsi="Open Sans" w:cs="Open Sans"/>
          <w:b/>
          <w:bCs/>
        </w:rPr>
        <w:t>.</w:t>
      </w:r>
    </w:p>
    <w:p w14:paraId="263977D7" w14:textId="77777777" w:rsidR="009F7F41" w:rsidRDefault="009F7F41">
      <w:pPr>
        <w:pBdr>
          <w:top w:val="nil"/>
          <w:left w:val="nil"/>
          <w:bottom w:val="nil"/>
          <w:right w:val="nil"/>
          <w:between w:val="nil"/>
        </w:pBdr>
        <w:spacing w:line="276" w:lineRule="auto"/>
        <w:jc w:val="both"/>
        <w:rPr>
          <w:rFonts w:ascii="Open Sans" w:eastAsia="Open Sans" w:hAnsi="Open Sans" w:cs="Open Sans"/>
          <w:b/>
          <w:bCs/>
        </w:rPr>
      </w:pPr>
    </w:p>
    <w:p w14:paraId="05B72CA7" w14:textId="77777777" w:rsidR="009F7F41" w:rsidRDefault="00000000">
      <w:pPr>
        <w:spacing w:line="276" w:lineRule="auto"/>
        <w:ind w:right="-574"/>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Evolución del precio de la vivienda en España con o sin garaje</w:t>
      </w:r>
    </w:p>
    <w:p w14:paraId="5F38C953" w14:textId="77777777" w:rsidR="009F7F41" w:rsidRDefault="009F7F41">
      <w:pPr>
        <w:spacing w:line="276" w:lineRule="auto"/>
        <w:ind w:right="-574"/>
        <w:rPr>
          <w:rFonts w:ascii="Open Sans" w:eastAsia="Open Sans" w:hAnsi="Open Sans" w:cs="Open Sans"/>
          <w:b/>
          <w:bCs/>
        </w:rPr>
      </w:pPr>
    </w:p>
    <w:tbl>
      <w:tblPr>
        <w:tblStyle w:val="a4"/>
        <w:tblW w:w="836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410"/>
        <w:gridCol w:w="2126"/>
        <w:gridCol w:w="2127"/>
      </w:tblGrid>
      <w:tr w:rsidR="009F7F41" w14:paraId="4308A94F" w14:textId="77777777" w:rsidTr="009F7F4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20905A02"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Año</w:t>
            </w:r>
          </w:p>
        </w:tc>
        <w:tc>
          <w:tcPr>
            <w:tcW w:w="2410" w:type="dxa"/>
          </w:tcPr>
          <w:p w14:paraId="5CD9C4EF"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Precio medio vivienda </w:t>
            </w:r>
          </w:p>
        </w:tc>
        <w:tc>
          <w:tcPr>
            <w:tcW w:w="2126" w:type="dxa"/>
          </w:tcPr>
          <w:p w14:paraId="2964E63C"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medio vivienda + garaje</w:t>
            </w:r>
          </w:p>
        </w:tc>
        <w:tc>
          <w:tcPr>
            <w:tcW w:w="2127" w:type="dxa"/>
          </w:tcPr>
          <w:p w14:paraId="1EE1445F"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Incremento (%)</w:t>
            </w:r>
          </w:p>
        </w:tc>
      </w:tr>
      <w:tr w:rsidR="009F7F41" w14:paraId="0C1C2097"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3E540966"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2015</w:t>
            </w:r>
          </w:p>
        </w:tc>
        <w:tc>
          <w:tcPr>
            <w:tcW w:w="2410" w:type="dxa"/>
          </w:tcPr>
          <w:p w14:paraId="38F975C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rPr>
              <w:t xml:space="preserve"> 130.168 € </w:t>
            </w:r>
          </w:p>
        </w:tc>
        <w:tc>
          <w:tcPr>
            <w:tcW w:w="2126" w:type="dxa"/>
          </w:tcPr>
          <w:p w14:paraId="552755F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rPr>
              <w:t xml:space="preserve"> 142.951 € </w:t>
            </w:r>
          </w:p>
        </w:tc>
        <w:tc>
          <w:tcPr>
            <w:tcW w:w="2127" w:type="dxa"/>
          </w:tcPr>
          <w:p w14:paraId="6118B67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rPr>
              <w:t>9,8%</w:t>
            </w:r>
          </w:p>
        </w:tc>
      </w:tr>
      <w:tr w:rsidR="009F7F41" w14:paraId="274D640B"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2E1AE6EC"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2016</w:t>
            </w:r>
          </w:p>
        </w:tc>
        <w:tc>
          <w:tcPr>
            <w:tcW w:w="2410" w:type="dxa"/>
          </w:tcPr>
          <w:p w14:paraId="5919A9B3"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128.769 € </w:t>
            </w:r>
          </w:p>
        </w:tc>
        <w:tc>
          <w:tcPr>
            <w:tcW w:w="2126" w:type="dxa"/>
          </w:tcPr>
          <w:p w14:paraId="48901A2F"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142.316 € </w:t>
            </w:r>
          </w:p>
        </w:tc>
        <w:tc>
          <w:tcPr>
            <w:tcW w:w="2127" w:type="dxa"/>
          </w:tcPr>
          <w:p w14:paraId="5B4954F7"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10,5%</w:t>
            </w:r>
          </w:p>
        </w:tc>
      </w:tr>
      <w:tr w:rsidR="009F7F41" w14:paraId="4C112115"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5F03CB71"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2017</w:t>
            </w:r>
          </w:p>
        </w:tc>
        <w:tc>
          <w:tcPr>
            <w:tcW w:w="2410" w:type="dxa"/>
          </w:tcPr>
          <w:p w14:paraId="2FA098E6"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132.925 € </w:t>
            </w:r>
          </w:p>
        </w:tc>
        <w:tc>
          <w:tcPr>
            <w:tcW w:w="2126" w:type="dxa"/>
          </w:tcPr>
          <w:p w14:paraId="3F168A2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145.983 € </w:t>
            </w:r>
          </w:p>
        </w:tc>
        <w:tc>
          <w:tcPr>
            <w:tcW w:w="2127" w:type="dxa"/>
          </w:tcPr>
          <w:p w14:paraId="5EBE781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9,8%</w:t>
            </w:r>
          </w:p>
        </w:tc>
      </w:tr>
      <w:tr w:rsidR="009F7F41" w14:paraId="494C5EEC"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482EF49A"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2018</w:t>
            </w:r>
          </w:p>
        </w:tc>
        <w:tc>
          <w:tcPr>
            <w:tcW w:w="2410" w:type="dxa"/>
          </w:tcPr>
          <w:p w14:paraId="4C6A86D8"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139.770 € </w:t>
            </w:r>
          </w:p>
        </w:tc>
        <w:tc>
          <w:tcPr>
            <w:tcW w:w="2126" w:type="dxa"/>
          </w:tcPr>
          <w:p w14:paraId="2DC3F093"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151.617 € </w:t>
            </w:r>
          </w:p>
        </w:tc>
        <w:tc>
          <w:tcPr>
            <w:tcW w:w="2127" w:type="dxa"/>
          </w:tcPr>
          <w:p w14:paraId="50F104A7"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8,5%</w:t>
            </w:r>
          </w:p>
        </w:tc>
      </w:tr>
      <w:tr w:rsidR="009F7F41" w14:paraId="08F7FD81"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11E25EED"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2019</w:t>
            </w:r>
          </w:p>
        </w:tc>
        <w:tc>
          <w:tcPr>
            <w:tcW w:w="2410" w:type="dxa"/>
          </w:tcPr>
          <w:p w14:paraId="34605FB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150.925 € </w:t>
            </w:r>
          </w:p>
        </w:tc>
        <w:tc>
          <w:tcPr>
            <w:tcW w:w="2126" w:type="dxa"/>
          </w:tcPr>
          <w:p w14:paraId="7045FE5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162.091 € </w:t>
            </w:r>
          </w:p>
        </w:tc>
        <w:tc>
          <w:tcPr>
            <w:tcW w:w="2127" w:type="dxa"/>
          </w:tcPr>
          <w:p w14:paraId="483A8B1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7,4%</w:t>
            </w:r>
          </w:p>
        </w:tc>
      </w:tr>
      <w:tr w:rsidR="009F7F41" w14:paraId="560733D3"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2CC4FE27"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2020</w:t>
            </w:r>
          </w:p>
        </w:tc>
        <w:tc>
          <w:tcPr>
            <w:tcW w:w="2410" w:type="dxa"/>
          </w:tcPr>
          <w:p w14:paraId="1C56F22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147.434 € </w:t>
            </w:r>
          </w:p>
        </w:tc>
        <w:tc>
          <w:tcPr>
            <w:tcW w:w="2126" w:type="dxa"/>
          </w:tcPr>
          <w:p w14:paraId="4E95007C"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158.057 € </w:t>
            </w:r>
          </w:p>
        </w:tc>
        <w:tc>
          <w:tcPr>
            <w:tcW w:w="2127" w:type="dxa"/>
          </w:tcPr>
          <w:p w14:paraId="45407CF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7,2%</w:t>
            </w:r>
          </w:p>
        </w:tc>
      </w:tr>
      <w:tr w:rsidR="009F7F41" w14:paraId="2C654953"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6D5BF78C"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2021</w:t>
            </w:r>
          </w:p>
        </w:tc>
        <w:tc>
          <w:tcPr>
            <w:tcW w:w="2410" w:type="dxa"/>
          </w:tcPr>
          <w:p w14:paraId="7C34A42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150.618 € </w:t>
            </w:r>
          </w:p>
        </w:tc>
        <w:tc>
          <w:tcPr>
            <w:tcW w:w="2126" w:type="dxa"/>
          </w:tcPr>
          <w:p w14:paraId="0A8A5466"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161.289 € </w:t>
            </w:r>
          </w:p>
        </w:tc>
        <w:tc>
          <w:tcPr>
            <w:tcW w:w="2127" w:type="dxa"/>
          </w:tcPr>
          <w:p w14:paraId="77D473A4"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7,1%</w:t>
            </w:r>
          </w:p>
        </w:tc>
      </w:tr>
      <w:tr w:rsidR="009F7F41" w14:paraId="09FAA9B4"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44BABA9C"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2022</w:t>
            </w:r>
          </w:p>
        </w:tc>
        <w:tc>
          <w:tcPr>
            <w:tcW w:w="2410" w:type="dxa"/>
          </w:tcPr>
          <w:p w14:paraId="4A95DB1F"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151.844 € </w:t>
            </w:r>
          </w:p>
        </w:tc>
        <w:tc>
          <w:tcPr>
            <w:tcW w:w="2126" w:type="dxa"/>
          </w:tcPr>
          <w:p w14:paraId="7204160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161.804 € </w:t>
            </w:r>
          </w:p>
        </w:tc>
        <w:tc>
          <w:tcPr>
            <w:tcW w:w="2127" w:type="dxa"/>
          </w:tcPr>
          <w:p w14:paraId="21CE7F6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6,6%</w:t>
            </w:r>
          </w:p>
        </w:tc>
      </w:tr>
      <w:tr w:rsidR="009F7F41" w14:paraId="2E635F48"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704D0799"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2023</w:t>
            </w:r>
          </w:p>
        </w:tc>
        <w:tc>
          <w:tcPr>
            <w:tcW w:w="2410" w:type="dxa"/>
          </w:tcPr>
          <w:p w14:paraId="56297509"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166.858 € </w:t>
            </w:r>
          </w:p>
        </w:tc>
        <w:tc>
          <w:tcPr>
            <w:tcW w:w="2126" w:type="dxa"/>
          </w:tcPr>
          <w:p w14:paraId="0F7BCF3C"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rPr>
              <w:t xml:space="preserve"> 178.085 € </w:t>
            </w:r>
          </w:p>
        </w:tc>
        <w:tc>
          <w:tcPr>
            <w:tcW w:w="2127" w:type="dxa"/>
          </w:tcPr>
          <w:p w14:paraId="1BC9F90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6,7%</w:t>
            </w:r>
          </w:p>
        </w:tc>
      </w:tr>
      <w:tr w:rsidR="009F7F41" w14:paraId="79D51DF0"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354B098D"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2024</w:t>
            </w:r>
          </w:p>
        </w:tc>
        <w:tc>
          <w:tcPr>
            <w:tcW w:w="2410" w:type="dxa"/>
          </w:tcPr>
          <w:p w14:paraId="1ABA2923"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178.735 € </w:t>
            </w:r>
          </w:p>
        </w:tc>
        <w:tc>
          <w:tcPr>
            <w:tcW w:w="2126" w:type="dxa"/>
          </w:tcPr>
          <w:p w14:paraId="72C8DF0E"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192.035 € </w:t>
            </w:r>
          </w:p>
        </w:tc>
        <w:tc>
          <w:tcPr>
            <w:tcW w:w="2127" w:type="dxa"/>
          </w:tcPr>
          <w:p w14:paraId="1F2216E5"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7,4%</w:t>
            </w:r>
          </w:p>
        </w:tc>
      </w:tr>
      <w:tr w:rsidR="009F7F41" w14:paraId="37052D8E" w14:textId="77777777" w:rsidTr="009F7F4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01" w:type="dxa"/>
          </w:tcPr>
          <w:p w14:paraId="7FEA7CB7"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2025</w:t>
            </w:r>
          </w:p>
        </w:tc>
        <w:tc>
          <w:tcPr>
            <w:tcW w:w="2410" w:type="dxa"/>
          </w:tcPr>
          <w:p w14:paraId="61BF747C"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196.790 € </w:t>
            </w:r>
          </w:p>
        </w:tc>
        <w:tc>
          <w:tcPr>
            <w:tcW w:w="2126" w:type="dxa"/>
          </w:tcPr>
          <w:p w14:paraId="08E4AA91"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 xml:space="preserve"> 211.526 € </w:t>
            </w:r>
          </w:p>
        </w:tc>
        <w:tc>
          <w:tcPr>
            <w:tcW w:w="2127" w:type="dxa"/>
          </w:tcPr>
          <w:p w14:paraId="4770374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7,5%</w:t>
            </w:r>
          </w:p>
        </w:tc>
      </w:tr>
      <w:tr w:rsidR="009F7F41" w14:paraId="11DDBABB" w14:textId="77777777" w:rsidTr="009F7F41">
        <w:trPr>
          <w:trHeight w:val="283"/>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B1721B" w14:textId="77777777" w:rsidR="009F7F41" w:rsidRDefault="00000000">
            <w:pPr>
              <w:jc w:val="center"/>
              <w:rPr>
                <w:rFonts w:ascii="Open Sans" w:eastAsia="Open Sans" w:hAnsi="Open Sans" w:cs="Open Sans"/>
                <w:sz w:val="22"/>
                <w:szCs w:val="22"/>
              </w:rPr>
            </w:pPr>
            <w:r>
              <w:rPr>
                <w:rFonts w:ascii="Open Sans" w:eastAsia="Open Sans" w:hAnsi="Open Sans" w:cs="Open Sans"/>
                <w:b w:val="0"/>
                <w:bCs w:val="0"/>
                <w:sz w:val="22"/>
                <w:szCs w:val="22"/>
              </w:rPr>
              <w:t>2026</w:t>
            </w:r>
          </w:p>
        </w:tc>
        <w:tc>
          <w:tcPr>
            <w:tcW w:w="2410" w:type="dxa"/>
            <w:vAlign w:val="bottom"/>
          </w:tcPr>
          <w:p w14:paraId="1E7367A1"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235.981 € </w:t>
            </w:r>
          </w:p>
        </w:tc>
        <w:tc>
          <w:tcPr>
            <w:tcW w:w="2126" w:type="dxa"/>
            <w:vAlign w:val="bottom"/>
          </w:tcPr>
          <w:p w14:paraId="4C5B3B98"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250.013 € </w:t>
            </w:r>
          </w:p>
        </w:tc>
        <w:tc>
          <w:tcPr>
            <w:tcW w:w="2127" w:type="dxa"/>
            <w:vAlign w:val="bottom"/>
          </w:tcPr>
          <w:p w14:paraId="630A0138"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5,9%</w:t>
            </w:r>
          </w:p>
        </w:tc>
      </w:tr>
    </w:tbl>
    <w:p w14:paraId="0251554E" w14:textId="77777777" w:rsidR="009F7F41" w:rsidRDefault="009F7F41">
      <w:pPr>
        <w:pBdr>
          <w:top w:val="nil"/>
          <w:left w:val="nil"/>
          <w:bottom w:val="nil"/>
          <w:right w:val="nil"/>
          <w:between w:val="nil"/>
        </w:pBdr>
        <w:spacing w:line="276" w:lineRule="auto"/>
        <w:jc w:val="both"/>
        <w:rPr>
          <w:rFonts w:ascii="Open Sans" w:eastAsia="Open Sans" w:hAnsi="Open Sans" w:cs="Open Sans"/>
          <w:b/>
          <w:bCs/>
        </w:rPr>
      </w:pPr>
    </w:p>
    <w:p w14:paraId="05423BC0" w14:textId="77777777" w:rsidR="009F7F41" w:rsidRDefault="009F7F41">
      <w:pPr>
        <w:pBdr>
          <w:top w:val="nil"/>
          <w:left w:val="nil"/>
          <w:bottom w:val="nil"/>
          <w:right w:val="nil"/>
          <w:between w:val="nil"/>
        </w:pBdr>
        <w:spacing w:line="276" w:lineRule="auto"/>
        <w:jc w:val="both"/>
        <w:rPr>
          <w:rFonts w:ascii="Open Sans" w:eastAsia="Open Sans" w:hAnsi="Open Sans" w:cs="Open Sans"/>
          <w:b/>
          <w:bCs/>
        </w:rPr>
      </w:pPr>
    </w:p>
    <w:p w14:paraId="58FAE0E2" w14:textId="2A04F2E2" w:rsidR="009F7F4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Extremadura, Castilla y León</w:t>
      </w:r>
      <w:r w:rsidR="00BE4A8B">
        <w:rPr>
          <w:rFonts w:ascii="National" w:eastAsia="National" w:hAnsi="National" w:cs="National"/>
          <w:b/>
          <w:bCs/>
          <w:color w:val="303AB2"/>
          <w:sz w:val="32"/>
          <w:szCs w:val="32"/>
        </w:rPr>
        <w:t xml:space="preserve"> y Galicia</w:t>
      </w:r>
      <w:r>
        <w:rPr>
          <w:rFonts w:ascii="National" w:eastAsia="National" w:hAnsi="National" w:cs="National"/>
          <w:b/>
          <w:bCs/>
          <w:color w:val="303AB2"/>
          <w:sz w:val="32"/>
          <w:szCs w:val="32"/>
        </w:rPr>
        <w:t>, donde más se incrementa el valor de la vivienda con garaje</w:t>
      </w:r>
    </w:p>
    <w:p w14:paraId="2B922E69"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220B476A" w14:textId="4ED8E754"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por comunidades autónomas muestra diferencias significativas en el impacto del garaje sobre el precio final de la vivienda. </w:t>
      </w:r>
      <w:r>
        <w:rPr>
          <w:rFonts w:ascii="Open Sans" w:eastAsia="Open Sans" w:hAnsi="Open Sans" w:cs="Open Sans"/>
          <w:b/>
          <w:bCs/>
        </w:rPr>
        <w:t>En febrero de 2026, Extremadura (14,8%) es el territorio donde más se incrementa el valor de la vivienda al incorporar una plaza de garaje</w:t>
      </w:r>
      <w:r>
        <w:rPr>
          <w:rFonts w:ascii="Open Sans" w:eastAsia="Open Sans" w:hAnsi="Open Sans" w:cs="Open Sans"/>
        </w:rPr>
        <w:t>. Le siguen Castilla y León (11,0%), que también superan con holgura la media nacional del 5,9%</w:t>
      </w:r>
      <w:r w:rsidR="00BE4A8B">
        <w:rPr>
          <w:rFonts w:ascii="Open Sans" w:eastAsia="Open Sans" w:hAnsi="Open Sans" w:cs="Open Sans"/>
        </w:rPr>
        <w:t xml:space="preserve">, Galicia (9,6%) y Castilla y La Mancha (9%). </w:t>
      </w:r>
      <w:r>
        <w:rPr>
          <w:rFonts w:ascii="Open Sans" w:eastAsia="Open Sans" w:hAnsi="Open Sans" w:cs="Open Sans"/>
        </w:rPr>
        <w:t xml:space="preserve">Por detrás se sitúan </w:t>
      </w:r>
      <w:r w:rsidR="00BE4A8B">
        <w:rPr>
          <w:rFonts w:ascii="Open Sans" w:eastAsia="Open Sans" w:hAnsi="Open Sans" w:cs="Open Sans"/>
        </w:rPr>
        <w:t>Cantabria (8,4%)</w:t>
      </w:r>
      <w:r w:rsidR="00BE4A8B">
        <w:rPr>
          <w:rFonts w:ascii="Open Sans" w:eastAsia="Open Sans" w:hAnsi="Open Sans" w:cs="Open Sans"/>
        </w:rPr>
        <w:t xml:space="preserve">, </w:t>
      </w:r>
      <w:r>
        <w:rPr>
          <w:rFonts w:ascii="Open Sans" w:eastAsia="Open Sans" w:hAnsi="Open Sans" w:cs="Open Sans"/>
        </w:rPr>
        <w:t>Aragón (8,1%), Asturias (7,9%), La Rioja (7,9%)</w:t>
      </w:r>
      <w:r w:rsidR="00BE4A8B">
        <w:rPr>
          <w:rFonts w:ascii="Open Sans" w:eastAsia="Open Sans" w:hAnsi="Open Sans" w:cs="Open Sans"/>
        </w:rPr>
        <w:t xml:space="preserve"> y Andalucía y País Vasco donde se incrementa el valor un 7% en ambas comunidades</w:t>
      </w:r>
      <w:r>
        <w:rPr>
          <w:rFonts w:ascii="Open Sans" w:eastAsia="Open Sans" w:hAnsi="Open Sans" w:cs="Open Sans"/>
        </w:rPr>
        <w:t xml:space="preserve">. </w:t>
      </w:r>
    </w:p>
    <w:p w14:paraId="25BF7C1C"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3E090667" w14:textId="2D3655E5"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lado contrario, </w:t>
      </w:r>
      <w:r>
        <w:rPr>
          <w:rFonts w:ascii="Open Sans" w:eastAsia="Open Sans" w:hAnsi="Open Sans" w:cs="Open Sans"/>
          <w:b/>
          <w:bCs/>
        </w:rPr>
        <w:t>Madrid es la comunidad autónoma en la que menos diferencia existe entre el precio de una vivienda sin garaje y una con plaza de aparcamiento, con un incremento del 3,2%</w:t>
      </w:r>
      <w:r>
        <w:rPr>
          <w:rFonts w:ascii="Open Sans" w:eastAsia="Open Sans" w:hAnsi="Open Sans" w:cs="Open Sans"/>
        </w:rPr>
        <w:t>. También se sitúan por debajo de la media Baleares (4,8%), Cataluña (5,2%), y la Comunidad Valenciana (5,7%). Por su lado, Canarias (6,0%) y Región de Murcia (6,2%) se encuentran más cerca de la media nacional. En términos absolutos, los precios más elevados de una plaza de aparcamiento se registran en País Vasco (20.748 euros) y Baleares (20.260 euros).</w:t>
      </w:r>
    </w:p>
    <w:p w14:paraId="004C69ED" w14:textId="77777777" w:rsidR="009F7F41" w:rsidRDefault="00000000">
      <w:pPr>
        <w:spacing w:line="276" w:lineRule="auto"/>
        <w:ind w:right="-574"/>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Incremento del precio de la vivienda con garaje por CCAA</w:t>
      </w:r>
    </w:p>
    <w:p w14:paraId="0E886C29" w14:textId="77777777" w:rsidR="009F7F41" w:rsidRDefault="009F7F41">
      <w:pPr>
        <w:spacing w:line="276" w:lineRule="auto"/>
        <w:ind w:right="-574"/>
        <w:jc w:val="both"/>
        <w:rPr>
          <w:rFonts w:ascii="National" w:eastAsia="National" w:hAnsi="National" w:cs="National"/>
          <w:b/>
          <w:bCs/>
          <w:color w:val="303AB2"/>
          <w:sz w:val="32"/>
          <w:szCs w:val="32"/>
        </w:rPr>
      </w:pPr>
    </w:p>
    <w:tbl>
      <w:tblPr>
        <w:tblStyle w:val="a5"/>
        <w:tblW w:w="8918"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127"/>
        <w:gridCol w:w="2177"/>
        <w:gridCol w:w="1784"/>
      </w:tblGrid>
      <w:tr w:rsidR="009F7F41" w14:paraId="7B9386DB" w14:textId="77777777" w:rsidTr="009F7F41">
        <w:trPr>
          <w:cnfStyle w:val="100000000000" w:firstRow="1" w:lastRow="0" w:firstColumn="0" w:lastColumn="0" w:oddVBand="0" w:evenVBand="0" w:oddHBand="0"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2AA2A2E" w14:textId="77777777" w:rsidR="009F7F41" w:rsidRDefault="00000000">
            <w:pPr>
              <w:jc w:val="center"/>
              <w:rPr>
                <w:rFonts w:ascii="Open Sans" w:eastAsia="Open Sans" w:hAnsi="Open Sans" w:cs="Open Sans"/>
              </w:rPr>
            </w:pPr>
            <w:r>
              <w:rPr>
                <w:rFonts w:ascii="Open Sans" w:eastAsia="Open Sans" w:hAnsi="Open Sans" w:cs="Open Sans"/>
              </w:rPr>
              <w:t>CCAA</w:t>
            </w:r>
          </w:p>
        </w:tc>
        <w:tc>
          <w:tcPr>
            <w:tcW w:w="2127" w:type="dxa"/>
            <w:vAlign w:val="center"/>
          </w:tcPr>
          <w:p w14:paraId="7520DAEA"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medio vivienda </w:t>
            </w:r>
          </w:p>
        </w:tc>
        <w:tc>
          <w:tcPr>
            <w:tcW w:w="2177" w:type="dxa"/>
            <w:vAlign w:val="center"/>
          </w:tcPr>
          <w:p w14:paraId="087B3BDF"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Precio medio vivienda + garaje</w:t>
            </w:r>
          </w:p>
        </w:tc>
        <w:tc>
          <w:tcPr>
            <w:tcW w:w="1784" w:type="dxa"/>
            <w:vAlign w:val="center"/>
          </w:tcPr>
          <w:p w14:paraId="7AB48D09"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Incremento (%)</w:t>
            </w:r>
          </w:p>
        </w:tc>
      </w:tr>
      <w:tr w:rsidR="009F7F41" w14:paraId="192B38CE"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65A971AC" w14:textId="77777777" w:rsidR="009F7F41" w:rsidRDefault="00000000">
            <w:pPr>
              <w:rPr>
                <w:rFonts w:ascii="Open Sans" w:eastAsia="Open Sans" w:hAnsi="Open Sans" w:cs="Open Sans"/>
              </w:rPr>
            </w:pPr>
            <w:r>
              <w:rPr>
                <w:rFonts w:ascii="Open Sans" w:eastAsia="Open Sans" w:hAnsi="Open Sans" w:cs="Open Sans"/>
              </w:rPr>
              <w:t xml:space="preserve"> Extremadura </w:t>
            </w:r>
          </w:p>
        </w:tc>
        <w:tc>
          <w:tcPr>
            <w:tcW w:w="2127" w:type="dxa"/>
          </w:tcPr>
          <w:p w14:paraId="307AC5E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104.993 €</w:t>
            </w:r>
          </w:p>
        </w:tc>
        <w:tc>
          <w:tcPr>
            <w:tcW w:w="2177" w:type="dxa"/>
          </w:tcPr>
          <w:p w14:paraId="7106F06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120.577 €</w:t>
            </w:r>
          </w:p>
        </w:tc>
        <w:tc>
          <w:tcPr>
            <w:tcW w:w="1784" w:type="dxa"/>
          </w:tcPr>
          <w:p w14:paraId="3241962E"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14,8%</w:t>
            </w:r>
          </w:p>
        </w:tc>
      </w:tr>
      <w:tr w:rsidR="009F7F41" w14:paraId="18EFD845"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0974DA2B" w14:textId="77777777" w:rsidR="009F7F41" w:rsidRDefault="00000000">
            <w:pPr>
              <w:rPr>
                <w:rFonts w:ascii="Open Sans" w:eastAsia="Open Sans" w:hAnsi="Open Sans" w:cs="Open Sans"/>
              </w:rPr>
            </w:pPr>
            <w:r>
              <w:rPr>
                <w:rFonts w:ascii="Open Sans" w:eastAsia="Open Sans" w:hAnsi="Open Sans" w:cs="Open Sans"/>
              </w:rPr>
              <w:t xml:space="preserve"> Castilla y León </w:t>
            </w:r>
          </w:p>
        </w:tc>
        <w:tc>
          <w:tcPr>
            <w:tcW w:w="2127" w:type="dxa"/>
          </w:tcPr>
          <w:p w14:paraId="62E24BB5"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137.059 €</w:t>
            </w:r>
          </w:p>
        </w:tc>
        <w:tc>
          <w:tcPr>
            <w:tcW w:w="2177" w:type="dxa"/>
          </w:tcPr>
          <w:p w14:paraId="1E7F3F6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152.114 €</w:t>
            </w:r>
          </w:p>
        </w:tc>
        <w:tc>
          <w:tcPr>
            <w:tcW w:w="1784" w:type="dxa"/>
          </w:tcPr>
          <w:p w14:paraId="12B08520"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11,0%</w:t>
            </w:r>
          </w:p>
        </w:tc>
      </w:tr>
      <w:tr w:rsidR="009F7F41" w14:paraId="6F6931E0"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44489905" w14:textId="77777777" w:rsidR="009F7F41" w:rsidRDefault="00000000">
            <w:pPr>
              <w:rPr>
                <w:rFonts w:ascii="Open Sans" w:eastAsia="Open Sans" w:hAnsi="Open Sans" w:cs="Open Sans"/>
              </w:rPr>
            </w:pPr>
            <w:r>
              <w:rPr>
                <w:rFonts w:ascii="Open Sans" w:eastAsia="Open Sans" w:hAnsi="Open Sans" w:cs="Open Sans"/>
              </w:rPr>
              <w:t xml:space="preserve"> Galicia </w:t>
            </w:r>
          </w:p>
        </w:tc>
        <w:tc>
          <w:tcPr>
            <w:tcW w:w="2127" w:type="dxa"/>
          </w:tcPr>
          <w:p w14:paraId="3023395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174.215 €</w:t>
            </w:r>
          </w:p>
        </w:tc>
        <w:tc>
          <w:tcPr>
            <w:tcW w:w="2177" w:type="dxa"/>
          </w:tcPr>
          <w:p w14:paraId="525CC23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190.902 €</w:t>
            </w:r>
          </w:p>
        </w:tc>
        <w:tc>
          <w:tcPr>
            <w:tcW w:w="1784" w:type="dxa"/>
          </w:tcPr>
          <w:p w14:paraId="4B935D2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9,6%</w:t>
            </w:r>
          </w:p>
        </w:tc>
      </w:tr>
      <w:tr w:rsidR="009F7F41" w14:paraId="166DD994"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31AB4B9F" w14:textId="77777777" w:rsidR="009F7F41" w:rsidRDefault="00000000">
            <w:pPr>
              <w:rPr>
                <w:rFonts w:ascii="Open Sans" w:eastAsia="Open Sans" w:hAnsi="Open Sans" w:cs="Open Sans"/>
              </w:rPr>
            </w:pPr>
            <w:r>
              <w:rPr>
                <w:rFonts w:ascii="Open Sans" w:eastAsia="Open Sans" w:hAnsi="Open Sans" w:cs="Open Sans"/>
              </w:rPr>
              <w:t xml:space="preserve"> Castilla-La Mancha </w:t>
            </w:r>
          </w:p>
        </w:tc>
        <w:tc>
          <w:tcPr>
            <w:tcW w:w="2127" w:type="dxa"/>
          </w:tcPr>
          <w:p w14:paraId="1380E64F"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108.595 €</w:t>
            </w:r>
          </w:p>
        </w:tc>
        <w:tc>
          <w:tcPr>
            <w:tcW w:w="2177" w:type="dxa"/>
          </w:tcPr>
          <w:p w14:paraId="53102C7B"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118.411 €</w:t>
            </w:r>
          </w:p>
        </w:tc>
        <w:tc>
          <w:tcPr>
            <w:tcW w:w="1784" w:type="dxa"/>
          </w:tcPr>
          <w:p w14:paraId="2E8744F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9,0%</w:t>
            </w:r>
          </w:p>
        </w:tc>
      </w:tr>
      <w:tr w:rsidR="009F7F41" w14:paraId="62D01A42"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0F40C36F" w14:textId="77777777" w:rsidR="009F7F41" w:rsidRDefault="00000000">
            <w:pPr>
              <w:rPr>
                <w:rFonts w:ascii="Open Sans" w:eastAsia="Open Sans" w:hAnsi="Open Sans" w:cs="Open Sans"/>
              </w:rPr>
            </w:pPr>
            <w:r>
              <w:rPr>
                <w:rFonts w:ascii="Open Sans" w:eastAsia="Open Sans" w:hAnsi="Open Sans" w:cs="Open Sans"/>
              </w:rPr>
              <w:t xml:space="preserve"> Cantabria </w:t>
            </w:r>
          </w:p>
        </w:tc>
        <w:tc>
          <w:tcPr>
            <w:tcW w:w="2127" w:type="dxa"/>
          </w:tcPr>
          <w:p w14:paraId="4296236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203.444 €</w:t>
            </w:r>
          </w:p>
        </w:tc>
        <w:tc>
          <w:tcPr>
            <w:tcW w:w="2177" w:type="dxa"/>
          </w:tcPr>
          <w:p w14:paraId="14DA365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220.433 €</w:t>
            </w:r>
          </w:p>
        </w:tc>
        <w:tc>
          <w:tcPr>
            <w:tcW w:w="1784" w:type="dxa"/>
          </w:tcPr>
          <w:p w14:paraId="12625E8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8,4%</w:t>
            </w:r>
          </w:p>
        </w:tc>
      </w:tr>
      <w:tr w:rsidR="009F7F41" w14:paraId="0532B4A0"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648C33EF" w14:textId="77777777" w:rsidR="009F7F41" w:rsidRDefault="00000000">
            <w:pPr>
              <w:rPr>
                <w:rFonts w:ascii="Open Sans" w:eastAsia="Open Sans" w:hAnsi="Open Sans" w:cs="Open Sans"/>
              </w:rPr>
            </w:pPr>
            <w:r>
              <w:rPr>
                <w:rFonts w:ascii="Open Sans" w:eastAsia="Open Sans" w:hAnsi="Open Sans" w:cs="Open Sans"/>
              </w:rPr>
              <w:t xml:space="preserve"> Aragón </w:t>
            </w:r>
          </w:p>
        </w:tc>
        <w:tc>
          <w:tcPr>
            <w:tcW w:w="2127" w:type="dxa"/>
          </w:tcPr>
          <w:p w14:paraId="71B14F7B"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150.042 €</w:t>
            </w:r>
          </w:p>
        </w:tc>
        <w:tc>
          <w:tcPr>
            <w:tcW w:w="2177" w:type="dxa"/>
          </w:tcPr>
          <w:p w14:paraId="3A4324F5"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162.158 €</w:t>
            </w:r>
          </w:p>
        </w:tc>
        <w:tc>
          <w:tcPr>
            <w:tcW w:w="1784" w:type="dxa"/>
          </w:tcPr>
          <w:p w14:paraId="3CEDADD6"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8,1%</w:t>
            </w:r>
          </w:p>
        </w:tc>
      </w:tr>
      <w:tr w:rsidR="009F7F41" w14:paraId="2AE9B3E0"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0548155A" w14:textId="77777777" w:rsidR="009F7F41" w:rsidRDefault="00000000">
            <w:pPr>
              <w:rPr>
                <w:rFonts w:ascii="Open Sans" w:eastAsia="Open Sans" w:hAnsi="Open Sans" w:cs="Open Sans"/>
              </w:rPr>
            </w:pPr>
            <w:r>
              <w:rPr>
                <w:rFonts w:ascii="Open Sans" w:eastAsia="Open Sans" w:hAnsi="Open Sans" w:cs="Open Sans"/>
              </w:rPr>
              <w:t xml:space="preserve"> La Rioja </w:t>
            </w:r>
          </w:p>
        </w:tc>
        <w:tc>
          <w:tcPr>
            <w:tcW w:w="2127" w:type="dxa"/>
          </w:tcPr>
          <w:p w14:paraId="3967CC2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145.206 €</w:t>
            </w:r>
          </w:p>
        </w:tc>
        <w:tc>
          <w:tcPr>
            <w:tcW w:w="2177" w:type="dxa"/>
          </w:tcPr>
          <w:p w14:paraId="5E0FBF5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156.735 €</w:t>
            </w:r>
          </w:p>
        </w:tc>
        <w:tc>
          <w:tcPr>
            <w:tcW w:w="1784" w:type="dxa"/>
          </w:tcPr>
          <w:p w14:paraId="1D2B8DC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7,9%</w:t>
            </w:r>
          </w:p>
        </w:tc>
      </w:tr>
      <w:tr w:rsidR="009F7F41" w14:paraId="4CCE4CA4"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62A669E5" w14:textId="77777777" w:rsidR="009F7F41" w:rsidRDefault="00000000">
            <w:pPr>
              <w:rPr>
                <w:rFonts w:ascii="Open Sans" w:eastAsia="Open Sans" w:hAnsi="Open Sans" w:cs="Open Sans"/>
              </w:rPr>
            </w:pPr>
            <w:r>
              <w:rPr>
                <w:rFonts w:ascii="Open Sans" w:eastAsia="Open Sans" w:hAnsi="Open Sans" w:cs="Open Sans"/>
              </w:rPr>
              <w:t xml:space="preserve"> Asturias </w:t>
            </w:r>
          </w:p>
        </w:tc>
        <w:tc>
          <w:tcPr>
            <w:tcW w:w="2127" w:type="dxa"/>
          </w:tcPr>
          <w:p w14:paraId="25396802"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181.903 €</w:t>
            </w:r>
          </w:p>
        </w:tc>
        <w:tc>
          <w:tcPr>
            <w:tcW w:w="2177" w:type="dxa"/>
          </w:tcPr>
          <w:p w14:paraId="2657EB32"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196.188 €</w:t>
            </w:r>
          </w:p>
        </w:tc>
        <w:tc>
          <w:tcPr>
            <w:tcW w:w="1784" w:type="dxa"/>
          </w:tcPr>
          <w:p w14:paraId="15E6A82C"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7,9%</w:t>
            </w:r>
          </w:p>
        </w:tc>
      </w:tr>
      <w:tr w:rsidR="009F7F41" w14:paraId="718418C2"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215F134F" w14:textId="77777777" w:rsidR="009F7F41" w:rsidRDefault="00000000">
            <w:pPr>
              <w:rPr>
                <w:rFonts w:ascii="Open Sans" w:eastAsia="Open Sans" w:hAnsi="Open Sans" w:cs="Open Sans"/>
              </w:rPr>
            </w:pPr>
            <w:r>
              <w:rPr>
                <w:rFonts w:ascii="Open Sans" w:eastAsia="Open Sans" w:hAnsi="Open Sans" w:cs="Open Sans"/>
              </w:rPr>
              <w:t xml:space="preserve"> Andalucía </w:t>
            </w:r>
          </w:p>
        </w:tc>
        <w:tc>
          <w:tcPr>
            <w:tcW w:w="2127" w:type="dxa"/>
          </w:tcPr>
          <w:p w14:paraId="57748E79"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223.792 €</w:t>
            </w:r>
          </w:p>
        </w:tc>
        <w:tc>
          <w:tcPr>
            <w:tcW w:w="2177" w:type="dxa"/>
          </w:tcPr>
          <w:p w14:paraId="2D8A8A74"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239.538 €</w:t>
            </w:r>
          </w:p>
        </w:tc>
        <w:tc>
          <w:tcPr>
            <w:tcW w:w="1784" w:type="dxa"/>
          </w:tcPr>
          <w:p w14:paraId="36EE5D7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7,0%</w:t>
            </w:r>
          </w:p>
        </w:tc>
      </w:tr>
      <w:tr w:rsidR="009F7F41" w14:paraId="242AEF20"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73B6C0B6" w14:textId="77777777" w:rsidR="009F7F41" w:rsidRDefault="00000000">
            <w:pPr>
              <w:rPr>
                <w:rFonts w:ascii="Open Sans" w:eastAsia="Open Sans" w:hAnsi="Open Sans" w:cs="Open Sans"/>
              </w:rPr>
            </w:pPr>
            <w:r>
              <w:rPr>
                <w:rFonts w:ascii="Open Sans" w:eastAsia="Open Sans" w:hAnsi="Open Sans" w:cs="Open Sans"/>
              </w:rPr>
              <w:t xml:space="preserve"> País Vasco </w:t>
            </w:r>
          </w:p>
        </w:tc>
        <w:tc>
          <w:tcPr>
            <w:tcW w:w="2127" w:type="dxa"/>
          </w:tcPr>
          <w:p w14:paraId="450BF83C"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296.753 €</w:t>
            </w:r>
          </w:p>
        </w:tc>
        <w:tc>
          <w:tcPr>
            <w:tcW w:w="2177" w:type="dxa"/>
          </w:tcPr>
          <w:p w14:paraId="773EE1D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317.501 €</w:t>
            </w:r>
          </w:p>
        </w:tc>
        <w:tc>
          <w:tcPr>
            <w:tcW w:w="1784" w:type="dxa"/>
          </w:tcPr>
          <w:p w14:paraId="426B29AF"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7,0%</w:t>
            </w:r>
          </w:p>
        </w:tc>
      </w:tr>
      <w:tr w:rsidR="009F7F41" w14:paraId="18155EBE"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1E245C38" w14:textId="77777777" w:rsidR="009F7F41" w:rsidRDefault="00000000">
            <w:pPr>
              <w:rPr>
                <w:rFonts w:ascii="Open Sans" w:eastAsia="Open Sans" w:hAnsi="Open Sans" w:cs="Open Sans"/>
              </w:rPr>
            </w:pPr>
            <w:r>
              <w:rPr>
                <w:rFonts w:ascii="Open Sans" w:eastAsia="Open Sans" w:hAnsi="Open Sans" w:cs="Open Sans"/>
              </w:rPr>
              <w:t xml:space="preserve"> Navarra </w:t>
            </w:r>
          </w:p>
        </w:tc>
        <w:tc>
          <w:tcPr>
            <w:tcW w:w="2127" w:type="dxa"/>
          </w:tcPr>
          <w:p w14:paraId="73F28FA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184.751 €</w:t>
            </w:r>
          </w:p>
        </w:tc>
        <w:tc>
          <w:tcPr>
            <w:tcW w:w="2177" w:type="dxa"/>
          </w:tcPr>
          <w:p w14:paraId="3B7E0C8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197.420 €</w:t>
            </w:r>
          </w:p>
        </w:tc>
        <w:tc>
          <w:tcPr>
            <w:tcW w:w="1784" w:type="dxa"/>
          </w:tcPr>
          <w:p w14:paraId="6DB3717B"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6,9%</w:t>
            </w:r>
          </w:p>
        </w:tc>
      </w:tr>
      <w:tr w:rsidR="009F7F41" w14:paraId="51625E4A"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06E05799" w14:textId="77777777" w:rsidR="009F7F41" w:rsidRDefault="00000000">
            <w:pPr>
              <w:rPr>
                <w:rFonts w:ascii="Open Sans" w:eastAsia="Open Sans" w:hAnsi="Open Sans" w:cs="Open Sans"/>
              </w:rPr>
            </w:pPr>
            <w:r>
              <w:rPr>
                <w:rFonts w:ascii="Open Sans" w:eastAsia="Open Sans" w:hAnsi="Open Sans" w:cs="Open Sans"/>
              </w:rPr>
              <w:t xml:space="preserve"> Región de Murcia </w:t>
            </w:r>
          </w:p>
        </w:tc>
        <w:tc>
          <w:tcPr>
            <w:tcW w:w="2127" w:type="dxa"/>
          </w:tcPr>
          <w:p w14:paraId="678D4160"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155.622 €</w:t>
            </w:r>
          </w:p>
        </w:tc>
        <w:tc>
          <w:tcPr>
            <w:tcW w:w="2177" w:type="dxa"/>
          </w:tcPr>
          <w:p w14:paraId="3111F3F1"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165.315 €</w:t>
            </w:r>
          </w:p>
        </w:tc>
        <w:tc>
          <w:tcPr>
            <w:tcW w:w="1784" w:type="dxa"/>
          </w:tcPr>
          <w:p w14:paraId="18C825E4"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6,2%</w:t>
            </w:r>
          </w:p>
        </w:tc>
      </w:tr>
      <w:tr w:rsidR="009F7F41" w14:paraId="2C84ED81" w14:textId="77777777" w:rsidTr="009F7F41">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Pr>
          <w:p w14:paraId="45C81B24" w14:textId="77777777" w:rsidR="009F7F41" w:rsidRDefault="00000000">
            <w:pPr>
              <w:rPr>
                <w:rFonts w:ascii="Open Sans" w:eastAsia="Open Sans" w:hAnsi="Open Sans" w:cs="Open Sans"/>
              </w:rPr>
            </w:pPr>
            <w:r>
              <w:rPr>
                <w:rFonts w:ascii="Open Sans" w:eastAsia="Open Sans" w:hAnsi="Open Sans" w:cs="Open Sans"/>
              </w:rPr>
              <w:t xml:space="preserve"> Canarias </w:t>
            </w:r>
          </w:p>
        </w:tc>
        <w:tc>
          <w:tcPr>
            <w:tcW w:w="2127" w:type="dxa"/>
          </w:tcPr>
          <w:p w14:paraId="28C6214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268.447 €</w:t>
            </w:r>
          </w:p>
        </w:tc>
        <w:tc>
          <w:tcPr>
            <w:tcW w:w="2177" w:type="dxa"/>
          </w:tcPr>
          <w:p w14:paraId="53F660AD"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284.677 €</w:t>
            </w:r>
          </w:p>
        </w:tc>
        <w:tc>
          <w:tcPr>
            <w:tcW w:w="1784" w:type="dxa"/>
          </w:tcPr>
          <w:p w14:paraId="2DE7B12E"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6,0%</w:t>
            </w:r>
          </w:p>
        </w:tc>
      </w:tr>
      <w:tr w:rsidR="009F7F41" w14:paraId="0B1CDD5C"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029845C2" w14:textId="77777777" w:rsidR="009F7F41" w:rsidRDefault="00000000">
            <w:pPr>
              <w:rPr>
                <w:rFonts w:ascii="Open Sans" w:eastAsia="Open Sans" w:hAnsi="Open Sans" w:cs="Open Sans"/>
              </w:rPr>
            </w:pPr>
            <w:r>
              <w:rPr>
                <w:rFonts w:ascii="Open Sans" w:eastAsia="Open Sans" w:hAnsi="Open Sans" w:cs="Open Sans"/>
              </w:rPr>
              <w:t xml:space="preserve"> C. Valenciana </w:t>
            </w:r>
          </w:p>
        </w:tc>
        <w:tc>
          <w:tcPr>
            <w:tcW w:w="2127" w:type="dxa"/>
          </w:tcPr>
          <w:p w14:paraId="26B8D96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211.882 €</w:t>
            </w:r>
          </w:p>
        </w:tc>
        <w:tc>
          <w:tcPr>
            <w:tcW w:w="2177" w:type="dxa"/>
          </w:tcPr>
          <w:p w14:paraId="1C79FC0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223.975 €</w:t>
            </w:r>
          </w:p>
        </w:tc>
        <w:tc>
          <w:tcPr>
            <w:tcW w:w="1784" w:type="dxa"/>
          </w:tcPr>
          <w:p w14:paraId="0EC733D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5,7%</w:t>
            </w:r>
          </w:p>
        </w:tc>
      </w:tr>
      <w:tr w:rsidR="009F7F41" w14:paraId="1EE4B668" w14:textId="77777777" w:rsidTr="009F7F4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6D64B782" w14:textId="77777777" w:rsidR="009F7F41" w:rsidRDefault="00000000">
            <w:pPr>
              <w:rPr>
                <w:rFonts w:ascii="Open Sans" w:eastAsia="Open Sans" w:hAnsi="Open Sans" w:cs="Open Sans"/>
              </w:rPr>
            </w:pPr>
            <w:r>
              <w:rPr>
                <w:rFonts w:ascii="Open Sans" w:eastAsia="Open Sans" w:hAnsi="Open Sans" w:cs="Open Sans"/>
              </w:rPr>
              <w:t xml:space="preserve"> Cataluña </w:t>
            </w:r>
          </w:p>
        </w:tc>
        <w:tc>
          <w:tcPr>
            <w:tcW w:w="2127" w:type="dxa"/>
          </w:tcPr>
          <w:p w14:paraId="4BE0F30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265.067 €</w:t>
            </w:r>
          </w:p>
        </w:tc>
        <w:tc>
          <w:tcPr>
            <w:tcW w:w="2177" w:type="dxa"/>
          </w:tcPr>
          <w:p w14:paraId="0FD9519B"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278.808 €</w:t>
            </w:r>
          </w:p>
        </w:tc>
        <w:tc>
          <w:tcPr>
            <w:tcW w:w="1784" w:type="dxa"/>
          </w:tcPr>
          <w:p w14:paraId="1F1C61E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5,2%</w:t>
            </w:r>
          </w:p>
        </w:tc>
      </w:tr>
      <w:tr w:rsidR="009F7F41" w14:paraId="427B849F"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4736854E" w14:textId="77777777" w:rsidR="009F7F41" w:rsidRDefault="00000000">
            <w:pPr>
              <w:rPr>
                <w:rFonts w:ascii="Open Sans" w:eastAsia="Open Sans" w:hAnsi="Open Sans" w:cs="Open Sans"/>
              </w:rPr>
            </w:pPr>
            <w:r>
              <w:rPr>
                <w:rFonts w:ascii="Open Sans" w:eastAsia="Open Sans" w:hAnsi="Open Sans" w:cs="Open Sans"/>
              </w:rPr>
              <w:t xml:space="preserve"> Baleares </w:t>
            </w:r>
          </w:p>
        </w:tc>
        <w:tc>
          <w:tcPr>
            <w:tcW w:w="2127" w:type="dxa"/>
          </w:tcPr>
          <w:p w14:paraId="11A4CCCB"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425.378 €</w:t>
            </w:r>
          </w:p>
        </w:tc>
        <w:tc>
          <w:tcPr>
            <w:tcW w:w="2177" w:type="dxa"/>
          </w:tcPr>
          <w:p w14:paraId="7A5137D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445.638 €</w:t>
            </w:r>
          </w:p>
        </w:tc>
        <w:tc>
          <w:tcPr>
            <w:tcW w:w="1784" w:type="dxa"/>
          </w:tcPr>
          <w:p w14:paraId="18D87134"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4,8%</w:t>
            </w:r>
          </w:p>
        </w:tc>
      </w:tr>
      <w:tr w:rsidR="009F7F41" w14:paraId="48057D73" w14:textId="77777777" w:rsidTr="009F7F4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30" w:type="dxa"/>
          </w:tcPr>
          <w:p w14:paraId="179BB276" w14:textId="77777777" w:rsidR="009F7F41" w:rsidRDefault="00000000">
            <w:pPr>
              <w:rPr>
                <w:rFonts w:ascii="Open Sans" w:eastAsia="Open Sans" w:hAnsi="Open Sans" w:cs="Open Sans"/>
              </w:rPr>
            </w:pPr>
            <w:r>
              <w:rPr>
                <w:rFonts w:ascii="Open Sans" w:eastAsia="Open Sans" w:hAnsi="Open Sans" w:cs="Open Sans"/>
              </w:rPr>
              <w:t xml:space="preserve"> Madrid </w:t>
            </w:r>
          </w:p>
        </w:tc>
        <w:tc>
          <w:tcPr>
            <w:tcW w:w="2127" w:type="dxa"/>
          </w:tcPr>
          <w:p w14:paraId="4B1A258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423.726 €</w:t>
            </w:r>
          </w:p>
        </w:tc>
        <w:tc>
          <w:tcPr>
            <w:tcW w:w="2177" w:type="dxa"/>
          </w:tcPr>
          <w:p w14:paraId="451E323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437.183 €</w:t>
            </w:r>
          </w:p>
        </w:tc>
        <w:tc>
          <w:tcPr>
            <w:tcW w:w="1784" w:type="dxa"/>
          </w:tcPr>
          <w:p w14:paraId="3278313B"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3,2%</w:t>
            </w:r>
          </w:p>
        </w:tc>
      </w:tr>
      <w:tr w:rsidR="009F7F41" w14:paraId="105C63D7" w14:textId="77777777" w:rsidTr="009F7F41">
        <w:trPr>
          <w:trHeight w:val="330"/>
          <w:jc w:val="center"/>
        </w:trPr>
        <w:tc>
          <w:tcPr>
            <w:cnfStyle w:val="001000000000" w:firstRow="0" w:lastRow="0" w:firstColumn="1" w:lastColumn="0" w:oddVBand="0" w:evenVBand="0" w:oddHBand="0" w:evenHBand="0" w:firstRowFirstColumn="0" w:firstRowLastColumn="0" w:lastRowFirstColumn="0" w:lastRowLastColumn="0"/>
            <w:tcW w:w="2830" w:type="dxa"/>
          </w:tcPr>
          <w:p w14:paraId="15AA7687" w14:textId="77777777" w:rsidR="009F7F41" w:rsidRDefault="00000000">
            <w:pPr>
              <w:rPr>
                <w:rFonts w:ascii="Open Sans" w:eastAsia="Open Sans" w:hAnsi="Open Sans" w:cs="Open Sans"/>
                <w:i/>
                <w:iCs/>
              </w:rPr>
            </w:pPr>
            <w:r>
              <w:rPr>
                <w:rFonts w:ascii="Open Sans" w:eastAsia="Open Sans" w:hAnsi="Open Sans" w:cs="Open Sans"/>
                <w:i/>
                <w:iCs/>
              </w:rPr>
              <w:t xml:space="preserve"> España </w:t>
            </w:r>
          </w:p>
        </w:tc>
        <w:tc>
          <w:tcPr>
            <w:tcW w:w="2127" w:type="dxa"/>
          </w:tcPr>
          <w:p w14:paraId="4791D30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iCs/>
                <w:color w:val="000000"/>
              </w:rPr>
            </w:pPr>
            <w:r>
              <w:rPr>
                <w:rFonts w:ascii="Open Sans" w:eastAsia="Open Sans" w:hAnsi="Open Sans" w:cs="Open Sans"/>
                <w:i/>
                <w:iCs/>
                <w:color w:val="000000"/>
              </w:rPr>
              <w:t>235.981 €</w:t>
            </w:r>
          </w:p>
        </w:tc>
        <w:tc>
          <w:tcPr>
            <w:tcW w:w="2177" w:type="dxa"/>
          </w:tcPr>
          <w:p w14:paraId="4059F0B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iCs/>
                <w:color w:val="000000"/>
              </w:rPr>
            </w:pPr>
            <w:r>
              <w:rPr>
                <w:rFonts w:ascii="Open Sans" w:eastAsia="Open Sans" w:hAnsi="Open Sans" w:cs="Open Sans"/>
                <w:i/>
                <w:iCs/>
                <w:color w:val="000000"/>
              </w:rPr>
              <w:t>250.013 €</w:t>
            </w:r>
          </w:p>
        </w:tc>
        <w:tc>
          <w:tcPr>
            <w:tcW w:w="1784" w:type="dxa"/>
          </w:tcPr>
          <w:p w14:paraId="55754EC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iCs/>
                <w:color w:val="000000"/>
              </w:rPr>
            </w:pPr>
            <w:r>
              <w:rPr>
                <w:rFonts w:ascii="Open Sans" w:eastAsia="Open Sans" w:hAnsi="Open Sans" w:cs="Open Sans"/>
                <w:i/>
                <w:iCs/>
                <w:color w:val="000000"/>
              </w:rPr>
              <w:t>5,9%</w:t>
            </w:r>
          </w:p>
        </w:tc>
      </w:tr>
    </w:tbl>
    <w:p w14:paraId="436EFB62"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13AEB4FF"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30625EAC" w14:textId="77777777" w:rsidR="009F7F4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Jaén, Almería y Huelva, las capitales donde más valor aporta el garaje</w:t>
      </w:r>
    </w:p>
    <w:p w14:paraId="48D6C3A0"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721BB47A"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el análisis se realiza por capitales de provincia, las diferencias también son notables. </w:t>
      </w:r>
      <w:r>
        <w:rPr>
          <w:rFonts w:ascii="Open Sans" w:eastAsia="Open Sans" w:hAnsi="Open Sans" w:cs="Open Sans"/>
          <w:b/>
          <w:bCs/>
        </w:rPr>
        <w:t>Jaén es la ciudad en la que más se incrementa el valor de una vivienda al incorporar un garaje, con un aumento del 15,9%</w:t>
      </w:r>
      <w:r>
        <w:rPr>
          <w:rFonts w:ascii="Open Sans" w:eastAsia="Open Sans" w:hAnsi="Open Sans" w:cs="Open Sans"/>
        </w:rPr>
        <w:t>. El precio medio de un piso de 80 metros cuadrados se sitúa en 136.751 euros y asciende hasta los 158.479 euros con plaza de aparcamiento. Le siguen Almería, donde el incremento alcanza el 13,6% (de 149.668 euros a 169.974 euros), y Huelva, con un 13,2% (de 137.249 euros a 155.387 euros). También destacan Ourense (13,0%), Córdoba (12,6%), Cáceres (12,5%), Cuenca (12,5%), Badajoz (12,4%), Palencia (12,2%) y Zamora (11,7%), todas ellas con incrementos superiores al 11%.</w:t>
      </w:r>
    </w:p>
    <w:p w14:paraId="2BE7A6FB"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70FDABFE" w14:textId="77777777" w:rsidR="009F7F4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el extremo opuesto, </w:t>
      </w:r>
      <w:r>
        <w:rPr>
          <w:rFonts w:ascii="Open Sans" w:eastAsia="Open Sans" w:hAnsi="Open Sans" w:cs="Open Sans"/>
          <w:b/>
          <w:bCs/>
        </w:rPr>
        <w:t>Madrid es la capital donde menos repercute el garaje en el precio final de la vivienda, con un incremento del 3,6%</w:t>
      </w:r>
      <w:r>
        <w:rPr>
          <w:rFonts w:ascii="Open Sans" w:eastAsia="Open Sans" w:hAnsi="Open Sans" w:cs="Open Sans"/>
        </w:rPr>
        <w:t>, pasando de 526.791 euros a 545.728 euros. Barcelona también se sitúa entre las ciudades con menor impacto porcentual, con un 4,1%, al pasar de 434.710 euros a 452.478 euros. Estos datos evidencian que, aunque el garaje continúa siendo un elemento que incrementa el valor de la vivienda en todo el territorio nacional, su peso relativo en el precio final de un inmueble se ha reducido en 2026, especialmente en los mercados más tensionados, donde el valor del metro cuadrado residencial tiene un mayor protagonismo en la configuración del precio total.</w:t>
      </w:r>
    </w:p>
    <w:p w14:paraId="4EBC340C"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2525851B" w14:textId="77777777" w:rsidR="009F7F41" w:rsidRDefault="00000000">
      <w:pPr>
        <w:spacing w:line="276" w:lineRule="auto"/>
        <w:ind w:right="-574"/>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 xml:space="preserve">Incremento del precio de la vivienda con garaje por capitales </w:t>
      </w:r>
    </w:p>
    <w:p w14:paraId="2B7020FF"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tbl>
      <w:tblPr>
        <w:tblStyle w:val="a6"/>
        <w:tblW w:w="933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96"/>
        <w:gridCol w:w="2061"/>
        <w:gridCol w:w="1842"/>
        <w:gridCol w:w="2537"/>
      </w:tblGrid>
      <w:tr w:rsidR="009F7F41" w14:paraId="0BC2ECE0" w14:textId="77777777" w:rsidTr="009F7F41">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896" w:type="dxa"/>
            <w:vAlign w:val="center"/>
          </w:tcPr>
          <w:p w14:paraId="07AE955B" w14:textId="77777777" w:rsidR="009F7F41" w:rsidRDefault="00000000">
            <w:pPr>
              <w:jc w:val="center"/>
              <w:rPr>
                <w:rFonts w:ascii="Open Sans" w:eastAsia="Open Sans" w:hAnsi="Open Sans" w:cs="Open Sans"/>
              </w:rPr>
            </w:pPr>
            <w:r>
              <w:rPr>
                <w:rFonts w:ascii="Open Sans" w:eastAsia="Open Sans" w:hAnsi="Open Sans" w:cs="Open Sans"/>
              </w:rPr>
              <w:t>Municipios</w:t>
            </w:r>
          </w:p>
        </w:tc>
        <w:tc>
          <w:tcPr>
            <w:tcW w:w="2061" w:type="dxa"/>
            <w:vAlign w:val="center"/>
          </w:tcPr>
          <w:p w14:paraId="4FA478CF"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medio vivienda </w:t>
            </w:r>
          </w:p>
        </w:tc>
        <w:tc>
          <w:tcPr>
            <w:tcW w:w="1842" w:type="dxa"/>
            <w:vAlign w:val="center"/>
          </w:tcPr>
          <w:p w14:paraId="73BB723D"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Precio medio vivienda + garaje</w:t>
            </w:r>
          </w:p>
        </w:tc>
        <w:tc>
          <w:tcPr>
            <w:tcW w:w="2537" w:type="dxa"/>
            <w:vAlign w:val="center"/>
          </w:tcPr>
          <w:p w14:paraId="791A9494" w14:textId="77777777" w:rsidR="009F7F41"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Incremento (%)</w:t>
            </w:r>
          </w:p>
        </w:tc>
      </w:tr>
      <w:tr w:rsidR="009F7F41" w14:paraId="248F2955"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00611A2" w14:textId="77777777" w:rsidR="009F7F41" w:rsidRDefault="00000000">
            <w:pPr>
              <w:rPr>
                <w:rFonts w:ascii="Open Sans" w:eastAsia="Open Sans" w:hAnsi="Open Sans" w:cs="Open Sans"/>
              </w:rPr>
            </w:pPr>
            <w:r>
              <w:rPr>
                <w:rFonts w:ascii="Open Sans" w:eastAsia="Open Sans" w:hAnsi="Open Sans" w:cs="Open Sans"/>
              </w:rPr>
              <w:t>Jaén</w:t>
            </w:r>
          </w:p>
        </w:tc>
        <w:tc>
          <w:tcPr>
            <w:tcW w:w="2061" w:type="dxa"/>
          </w:tcPr>
          <w:p w14:paraId="13DF5FE7"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136.751 € </w:t>
            </w:r>
          </w:p>
        </w:tc>
        <w:tc>
          <w:tcPr>
            <w:tcW w:w="1842" w:type="dxa"/>
          </w:tcPr>
          <w:p w14:paraId="7B6ED18B"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158.479 € </w:t>
            </w:r>
          </w:p>
        </w:tc>
        <w:tc>
          <w:tcPr>
            <w:tcW w:w="2537" w:type="dxa"/>
          </w:tcPr>
          <w:p w14:paraId="6569BD4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15,9%</w:t>
            </w:r>
          </w:p>
        </w:tc>
      </w:tr>
      <w:tr w:rsidR="009F7F41" w14:paraId="68BF199C"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33161DF" w14:textId="77777777" w:rsidR="009F7F41" w:rsidRDefault="00000000">
            <w:pPr>
              <w:rPr>
                <w:rFonts w:ascii="Open Sans" w:eastAsia="Open Sans" w:hAnsi="Open Sans" w:cs="Open Sans"/>
              </w:rPr>
            </w:pPr>
            <w:r>
              <w:rPr>
                <w:rFonts w:ascii="Open Sans" w:eastAsia="Open Sans" w:hAnsi="Open Sans" w:cs="Open Sans"/>
              </w:rPr>
              <w:t>Almería</w:t>
            </w:r>
          </w:p>
        </w:tc>
        <w:tc>
          <w:tcPr>
            <w:tcW w:w="2061" w:type="dxa"/>
          </w:tcPr>
          <w:p w14:paraId="38846022"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149.668 € </w:t>
            </w:r>
          </w:p>
        </w:tc>
        <w:tc>
          <w:tcPr>
            <w:tcW w:w="1842" w:type="dxa"/>
          </w:tcPr>
          <w:p w14:paraId="4968D410"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169.974 € </w:t>
            </w:r>
          </w:p>
        </w:tc>
        <w:tc>
          <w:tcPr>
            <w:tcW w:w="2537" w:type="dxa"/>
          </w:tcPr>
          <w:p w14:paraId="559C503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13,6%</w:t>
            </w:r>
          </w:p>
        </w:tc>
      </w:tr>
      <w:tr w:rsidR="009F7F41" w14:paraId="7E6E6D8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64673A1" w14:textId="77777777" w:rsidR="009F7F41" w:rsidRDefault="00000000">
            <w:pPr>
              <w:rPr>
                <w:rFonts w:ascii="Open Sans" w:eastAsia="Open Sans" w:hAnsi="Open Sans" w:cs="Open Sans"/>
              </w:rPr>
            </w:pPr>
            <w:r>
              <w:rPr>
                <w:rFonts w:ascii="Open Sans" w:eastAsia="Open Sans" w:hAnsi="Open Sans" w:cs="Open Sans"/>
              </w:rPr>
              <w:t>Huelva</w:t>
            </w:r>
          </w:p>
        </w:tc>
        <w:tc>
          <w:tcPr>
            <w:tcW w:w="2061" w:type="dxa"/>
          </w:tcPr>
          <w:p w14:paraId="57CEA7ED"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137.249 € </w:t>
            </w:r>
          </w:p>
        </w:tc>
        <w:tc>
          <w:tcPr>
            <w:tcW w:w="1842" w:type="dxa"/>
          </w:tcPr>
          <w:p w14:paraId="2E0D1108"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155.387 € </w:t>
            </w:r>
          </w:p>
        </w:tc>
        <w:tc>
          <w:tcPr>
            <w:tcW w:w="2537" w:type="dxa"/>
          </w:tcPr>
          <w:p w14:paraId="465322E4"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13,2%</w:t>
            </w:r>
          </w:p>
        </w:tc>
      </w:tr>
      <w:tr w:rsidR="009F7F41" w14:paraId="27A756AE"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D6BBE2F" w14:textId="77777777" w:rsidR="009F7F41" w:rsidRDefault="00000000">
            <w:pPr>
              <w:rPr>
                <w:rFonts w:ascii="Open Sans" w:eastAsia="Open Sans" w:hAnsi="Open Sans" w:cs="Open Sans"/>
              </w:rPr>
            </w:pPr>
            <w:r>
              <w:rPr>
                <w:rFonts w:ascii="Open Sans" w:eastAsia="Open Sans" w:hAnsi="Open Sans" w:cs="Open Sans"/>
              </w:rPr>
              <w:t>Ourense</w:t>
            </w:r>
          </w:p>
        </w:tc>
        <w:tc>
          <w:tcPr>
            <w:tcW w:w="2061" w:type="dxa"/>
          </w:tcPr>
          <w:p w14:paraId="596C067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166.058 € </w:t>
            </w:r>
          </w:p>
        </w:tc>
        <w:tc>
          <w:tcPr>
            <w:tcW w:w="1842" w:type="dxa"/>
          </w:tcPr>
          <w:p w14:paraId="2041B52A"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187.569 € </w:t>
            </w:r>
          </w:p>
        </w:tc>
        <w:tc>
          <w:tcPr>
            <w:tcW w:w="2537" w:type="dxa"/>
          </w:tcPr>
          <w:p w14:paraId="13CFD83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13,0%</w:t>
            </w:r>
          </w:p>
        </w:tc>
      </w:tr>
      <w:tr w:rsidR="009F7F41" w14:paraId="0B12F41E"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9B525BB" w14:textId="77777777" w:rsidR="009F7F41" w:rsidRDefault="00000000">
            <w:pPr>
              <w:rPr>
                <w:rFonts w:ascii="Open Sans" w:eastAsia="Open Sans" w:hAnsi="Open Sans" w:cs="Open Sans"/>
              </w:rPr>
            </w:pPr>
            <w:r>
              <w:rPr>
                <w:rFonts w:ascii="Open Sans" w:eastAsia="Open Sans" w:hAnsi="Open Sans" w:cs="Open Sans"/>
              </w:rPr>
              <w:t>Córdoba</w:t>
            </w:r>
          </w:p>
        </w:tc>
        <w:tc>
          <w:tcPr>
            <w:tcW w:w="2061" w:type="dxa"/>
          </w:tcPr>
          <w:p w14:paraId="15754C9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162.310 € </w:t>
            </w:r>
          </w:p>
        </w:tc>
        <w:tc>
          <w:tcPr>
            <w:tcW w:w="1842" w:type="dxa"/>
          </w:tcPr>
          <w:p w14:paraId="500794D8"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182.691 € </w:t>
            </w:r>
          </w:p>
        </w:tc>
        <w:tc>
          <w:tcPr>
            <w:tcW w:w="2537" w:type="dxa"/>
          </w:tcPr>
          <w:p w14:paraId="4DE5FC7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12,6%</w:t>
            </w:r>
          </w:p>
        </w:tc>
      </w:tr>
      <w:tr w:rsidR="009F7F41" w14:paraId="000A300E"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12BCDAE" w14:textId="77777777" w:rsidR="009F7F41" w:rsidRDefault="00000000">
            <w:pPr>
              <w:rPr>
                <w:rFonts w:ascii="Open Sans" w:eastAsia="Open Sans" w:hAnsi="Open Sans" w:cs="Open Sans"/>
              </w:rPr>
            </w:pPr>
            <w:r>
              <w:rPr>
                <w:rFonts w:ascii="Open Sans" w:eastAsia="Open Sans" w:hAnsi="Open Sans" w:cs="Open Sans"/>
              </w:rPr>
              <w:t>Cáceres</w:t>
            </w:r>
          </w:p>
        </w:tc>
        <w:tc>
          <w:tcPr>
            <w:tcW w:w="2061" w:type="dxa"/>
          </w:tcPr>
          <w:p w14:paraId="387E818D"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137.896 € </w:t>
            </w:r>
          </w:p>
        </w:tc>
        <w:tc>
          <w:tcPr>
            <w:tcW w:w="1842" w:type="dxa"/>
          </w:tcPr>
          <w:p w14:paraId="683CC314"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155.175 € </w:t>
            </w:r>
          </w:p>
        </w:tc>
        <w:tc>
          <w:tcPr>
            <w:tcW w:w="2537" w:type="dxa"/>
          </w:tcPr>
          <w:p w14:paraId="7E14D3B1"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12,5%</w:t>
            </w:r>
          </w:p>
        </w:tc>
      </w:tr>
      <w:tr w:rsidR="009F7F41" w14:paraId="1928B398"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1E23B37" w14:textId="77777777" w:rsidR="009F7F41" w:rsidRDefault="00000000">
            <w:pPr>
              <w:rPr>
                <w:rFonts w:ascii="Open Sans" w:eastAsia="Open Sans" w:hAnsi="Open Sans" w:cs="Open Sans"/>
              </w:rPr>
            </w:pPr>
            <w:r>
              <w:rPr>
                <w:rFonts w:ascii="Open Sans" w:eastAsia="Open Sans" w:hAnsi="Open Sans" w:cs="Open Sans"/>
              </w:rPr>
              <w:t>Cuenca</w:t>
            </w:r>
          </w:p>
        </w:tc>
        <w:tc>
          <w:tcPr>
            <w:tcW w:w="2061" w:type="dxa"/>
          </w:tcPr>
          <w:p w14:paraId="7F06744F"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145.074 € </w:t>
            </w:r>
          </w:p>
        </w:tc>
        <w:tc>
          <w:tcPr>
            <w:tcW w:w="1842" w:type="dxa"/>
          </w:tcPr>
          <w:p w14:paraId="35A9058B"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163.213 € </w:t>
            </w:r>
          </w:p>
        </w:tc>
        <w:tc>
          <w:tcPr>
            <w:tcW w:w="2537" w:type="dxa"/>
          </w:tcPr>
          <w:p w14:paraId="30466F4D"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12,5%</w:t>
            </w:r>
          </w:p>
        </w:tc>
      </w:tr>
      <w:tr w:rsidR="009F7F41" w14:paraId="7680B697"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97E80CC" w14:textId="77777777" w:rsidR="009F7F41" w:rsidRDefault="00000000">
            <w:pPr>
              <w:rPr>
                <w:rFonts w:ascii="Open Sans" w:eastAsia="Open Sans" w:hAnsi="Open Sans" w:cs="Open Sans"/>
              </w:rPr>
            </w:pPr>
            <w:r>
              <w:rPr>
                <w:rFonts w:ascii="Open Sans" w:eastAsia="Open Sans" w:hAnsi="Open Sans" w:cs="Open Sans"/>
              </w:rPr>
              <w:t>Badajoz</w:t>
            </w:r>
          </w:p>
        </w:tc>
        <w:tc>
          <w:tcPr>
            <w:tcW w:w="2061" w:type="dxa"/>
          </w:tcPr>
          <w:p w14:paraId="151FDCE4"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148.749 € </w:t>
            </w:r>
          </w:p>
        </w:tc>
        <w:tc>
          <w:tcPr>
            <w:tcW w:w="1842" w:type="dxa"/>
          </w:tcPr>
          <w:p w14:paraId="0269D4F3"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167.242 € </w:t>
            </w:r>
          </w:p>
        </w:tc>
        <w:tc>
          <w:tcPr>
            <w:tcW w:w="2537" w:type="dxa"/>
          </w:tcPr>
          <w:p w14:paraId="311B11A5"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12,4%</w:t>
            </w:r>
          </w:p>
        </w:tc>
      </w:tr>
      <w:tr w:rsidR="009F7F41" w14:paraId="6FEC595E"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2E9B2EB" w14:textId="77777777" w:rsidR="009F7F41" w:rsidRDefault="00000000">
            <w:pPr>
              <w:rPr>
                <w:rFonts w:ascii="Open Sans" w:eastAsia="Open Sans" w:hAnsi="Open Sans" w:cs="Open Sans"/>
              </w:rPr>
            </w:pPr>
            <w:r>
              <w:rPr>
                <w:rFonts w:ascii="Open Sans" w:eastAsia="Open Sans" w:hAnsi="Open Sans" w:cs="Open Sans"/>
              </w:rPr>
              <w:t>Palencia</w:t>
            </w:r>
          </w:p>
        </w:tc>
        <w:tc>
          <w:tcPr>
            <w:tcW w:w="2061" w:type="dxa"/>
          </w:tcPr>
          <w:p w14:paraId="1A81C926"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153.348 € </w:t>
            </w:r>
          </w:p>
        </w:tc>
        <w:tc>
          <w:tcPr>
            <w:tcW w:w="1842" w:type="dxa"/>
          </w:tcPr>
          <w:p w14:paraId="000E803D"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172.036 € </w:t>
            </w:r>
          </w:p>
        </w:tc>
        <w:tc>
          <w:tcPr>
            <w:tcW w:w="2537" w:type="dxa"/>
          </w:tcPr>
          <w:p w14:paraId="475A57E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12,2%</w:t>
            </w:r>
          </w:p>
        </w:tc>
      </w:tr>
      <w:tr w:rsidR="009F7F41" w14:paraId="1C817525"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92D680D" w14:textId="77777777" w:rsidR="009F7F41" w:rsidRDefault="00000000">
            <w:pPr>
              <w:rPr>
                <w:rFonts w:ascii="Open Sans" w:eastAsia="Open Sans" w:hAnsi="Open Sans" w:cs="Open Sans"/>
              </w:rPr>
            </w:pPr>
            <w:r>
              <w:rPr>
                <w:rFonts w:ascii="Open Sans" w:eastAsia="Open Sans" w:hAnsi="Open Sans" w:cs="Open Sans"/>
              </w:rPr>
              <w:t>Zamora</w:t>
            </w:r>
          </w:p>
        </w:tc>
        <w:tc>
          <w:tcPr>
            <w:tcW w:w="2061" w:type="dxa"/>
          </w:tcPr>
          <w:p w14:paraId="3DFDB322"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120.332 € </w:t>
            </w:r>
          </w:p>
        </w:tc>
        <w:tc>
          <w:tcPr>
            <w:tcW w:w="1842" w:type="dxa"/>
          </w:tcPr>
          <w:p w14:paraId="48CDF538"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134.437 € </w:t>
            </w:r>
          </w:p>
        </w:tc>
        <w:tc>
          <w:tcPr>
            <w:tcW w:w="2537" w:type="dxa"/>
          </w:tcPr>
          <w:p w14:paraId="20454554"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11,7%</w:t>
            </w:r>
          </w:p>
        </w:tc>
      </w:tr>
      <w:tr w:rsidR="009F7F41" w14:paraId="49FCF08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D77C6D0" w14:textId="77777777" w:rsidR="009F7F41" w:rsidRDefault="00000000">
            <w:pPr>
              <w:rPr>
                <w:rFonts w:ascii="Open Sans" w:eastAsia="Open Sans" w:hAnsi="Open Sans" w:cs="Open Sans"/>
              </w:rPr>
            </w:pPr>
            <w:r>
              <w:rPr>
                <w:rFonts w:ascii="Open Sans" w:eastAsia="Open Sans" w:hAnsi="Open Sans" w:cs="Open Sans"/>
              </w:rPr>
              <w:t>Huesca</w:t>
            </w:r>
          </w:p>
        </w:tc>
        <w:tc>
          <w:tcPr>
            <w:tcW w:w="2061" w:type="dxa"/>
          </w:tcPr>
          <w:p w14:paraId="6712E025"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143.388 € </w:t>
            </w:r>
          </w:p>
        </w:tc>
        <w:tc>
          <w:tcPr>
            <w:tcW w:w="1842" w:type="dxa"/>
          </w:tcPr>
          <w:p w14:paraId="5A2DC953"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159.749 € </w:t>
            </w:r>
          </w:p>
        </w:tc>
        <w:tc>
          <w:tcPr>
            <w:tcW w:w="2537" w:type="dxa"/>
          </w:tcPr>
          <w:p w14:paraId="299165D9"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11,4%</w:t>
            </w:r>
          </w:p>
        </w:tc>
      </w:tr>
      <w:tr w:rsidR="009F7F41" w14:paraId="60E10E28"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7A340F6" w14:textId="77777777" w:rsidR="009F7F41" w:rsidRDefault="00000000">
            <w:pPr>
              <w:rPr>
                <w:rFonts w:ascii="Open Sans" w:eastAsia="Open Sans" w:hAnsi="Open Sans" w:cs="Open Sans"/>
              </w:rPr>
            </w:pPr>
            <w:r>
              <w:rPr>
                <w:rFonts w:ascii="Open Sans" w:eastAsia="Open Sans" w:hAnsi="Open Sans" w:cs="Open Sans"/>
              </w:rPr>
              <w:t>Salamanca</w:t>
            </w:r>
          </w:p>
        </w:tc>
        <w:tc>
          <w:tcPr>
            <w:tcW w:w="2061" w:type="dxa"/>
          </w:tcPr>
          <w:p w14:paraId="1CFFC468"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207.233 € </w:t>
            </w:r>
          </w:p>
        </w:tc>
        <w:tc>
          <w:tcPr>
            <w:tcW w:w="1842" w:type="dxa"/>
          </w:tcPr>
          <w:p w14:paraId="1B1E959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230.823 € </w:t>
            </w:r>
          </w:p>
        </w:tc>
        <w:tc>
          <w:tcPr>
            <w:tcW w:w="2537" w:type="dxa"/>
          </w:tcPr>
          <w:p w14:paraId="7F5E549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11,4%</w:t>
            </w:r>
          </w:p>
        </w:tc>
      </w:tr>
      <w:tr w:rsidR="009F7F41" w14:paraId="0742E871"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34E90FF0" w14:textId="77777777" w:rsidR="009F7F41" w:rsidRDefault="00000000">
            <w:pPr>
              <w:rPr>
                <w:rFonts w:ascii="Open Sans" w:eastAsia="Open Sans" w:hAnsi="Open Sans" w:cs="Open Sans"/>
              </w:rPr>
            </w:pPr>
            <w:r>
              <w:rPr>
                <w:rFonts w:ascii="Open Sans" w:eastAsia="Open Sans" w:hAnsi="Open Sans" w:cs="Open Sans"/>
              </w:rPr>
              <w:t>Ciudad Real</w:t>
            </w:r>
          </w:p>
        </w:tc>
        <w:tc>
          <w:tcPr>
            <w:tcW w:w="2061" w:type="dxa"/>
          </w:tcPr>
          <w:p w14:paraId="6C154A3E"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141.846 € </w:t>
            </w:r>
          </w:p>
        </w:tc>
        <w:tc>
          <w:tcPr>
            <w:tcW w:w="1842" w:type="dxa"/>
          </w:tcPr>
          <w:p w14:paraId="07CE277C"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157.414 € </w:t>
            </w:r>
          </w:p>
        </w:tc>
        <w:tc>
          <w:tcPr>
            <w:tcW w:w="2537" w:type="dxa"/>
          </w:tcPr>
          <w:p w14:paraId="0ACD766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11,0%</w:t>
            </w:r>
          </w:p>
        </w:tc>
      </w:tr>
      <w:tr w:rsidR="009F7F41" w14:paraId="3972B634"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CDBE6EE" w14:textId="77777777" w:rsidR="009F7F41" w:rsidRDefault="00000000">
            <w:pPr>
              <w:rPr>
                <w:rFonts w:ascii="Open Sans" w:eastAsia="Open Sans" w:hAnsi="Open Sans" w:cs="Open Sans"/>
              </w:rPr>
            </w:pPr>
            <w:r>
              <w:rPr>
                <w:rFonts w:ascii="Open Sans" w:eastAsia="Open Sans" w:hAnsi="Open Sans" w:cs="Open Sans"/>
              </w:rPr>
              <w:t>Lugo</w:t>
            </w:r>
          </w:p>
        </w:tc>
        <w:tc>
          <w:tcPr>
            <w:tcW w:w="2061" w:type="dxa"/>
          </w:tcPr>
          <w:p w14:paraId="0B3714ED"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131.020 € </w:t>
            </w:r>
          </w:p>
        </w:tc>
        <w:tc>
          <w:tcPr>
            <w:tcW w:w="1842" w:type="dxa"/>
          </w:tcPr>
          <w:p w14:paraId="5B2A811E"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145.359 € </w:t>
            </w:r>
          </w:p>
        </w:tc>
        <w:tc>
          <w:tcPr>
            <w:tcW w:w="2537" w:type="dxa"/>
          </w:tcPr>
          <w:p w14:paraId="08A83E82"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10,9%</w:t>
            </w:r>
          </w:p>
        </w:tc>
      </w:tr>
      <w:tr w:rsidR="009F7F41" w14:paraId="794FE5EB"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0C4AC7B" w14:textId="77777777" w:rsidR="009F7F41" w:rsidRDefault="00000000">
            <w:pPr>
              <w:rPr>
                <w:rFonts w:ascii="Open Sans" w:eastAsia="Open Sans" w:hAnsi="Open Sans" w:cs="Open Sans"/>
              </w:rPr>
            </w:pPr>
            <w:r>
              <w:rPr>
                <w:rFonts w:ascii="Open Sans" w:eastAsia="Open Sans" w:hAnsi="Open Sans" w:cs="Open Sans"/>
              </w:rPr>
              <w:t>Granada</w:t>
            </w:r>
          </w:p>
        </w:tc>
        <w:tc>
          <w:tcPr>
            <w:tcW w:w="2061" w:type="dxa"/>
          </w:tcPr>
          <w:p w14:paraId="14199805"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234.822 € </w:t>
            </w:r>
          </w:p>
        </w:tc>
        <w:tc>
          <w:tcPr>
            <w:tcW w:w="1842" w:type="dxa"/>
          </w:tcPr>
          <w:p w14:paraId="34E9A72C"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259.611 € </w:t>
            </w:r>
          </w:p>
        </w:tc>
        <w:tc>
          <w:tcPr>
            <w:tcW w:w="2537" w:type="dxa"/>
          </w:tcPr>
          <w:p w14:paraId="02BF2089"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10,6%</w:t>
            </w:r>
          </w:p>
        </w:tc>
      </w:tr>
      <w:tr w:rsidR="009F7F41" w14:paraId="5834C6D9"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9346F23" w14:textId="77777777" w:rsidR="009F7F41" w:rsidRDefault="00000000">
            <w:pPr>
              <w:rPr>
                <w:rFonts w:ascii="Open Sans" w:eastAsia="Open Sans" w:hAnsi="Open Sans" w:cs="Open Sans"/>
              </w:rPr>
            </w:pPr>
            <w:r>
              <w:rPr>
                <w:rFonts w:ascii="Open Sans" w:eastAsia="Open Sans" w:hAnsi="Open Sans" w:cs="Open Sans"/>
              </w:rPr>
              <w:t>Tarragona</w:t>
            </w:r>
          </w:p>
        </w:tc>
        <w:tc>
          <w:tcPr>
            <w:tcW w:w="2061" w:type="dxa"/>
          </w:tcPr>
          <w:p w14:paraId="3B983CCD"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141.291 € </w:t>
            </w:r>
          </w:p>
        </w:tc>
        <w:tc>
          <w:tcPr>
            <w:tcW w:w="1842" w:type="dxa"/>
          </w:tcPr>
          <w:p w14:paraId="5A6148F5"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156.190 € </w:t>
            </w:r>
          </w:p>
        </w:tc>
        <w:tc>
          <w:tcPr>
            <w:tcW w:w="2537" w:type="dxa"/>
          </w:tcPr>
          <w:p w14:paraId="6138B997"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10,5%</w:t>
            </w:r>
          </w:p>
        </w:tc>
      </w:tr>
      <w:tr w:rsidR="009F7F41" w14:paraId="1420EAAB"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BBD495F" w14:textId="77777777" w:rsidR="009F7F41" w:rsidRDefault="00000000">
            <w:pPr>
              <w:rPr>
                <w:rFonts w:ascii="Open Sans" w:eastAsia="Open Sans" w:hAnsi="Open Sans" w:cs="Open Sans"/>
              </w:rPr>
            </w:pPr>
            <w:r>
              <w:rPr>
                <w:rFonts w:ascii="Open Sans" w:eastAsia="Open Sans" w:hAnsi="Open Sans" w:cs="Open Sans"/>
              </w:rPr>
              <w:t>Pontevedra</w:t>
            </w:r>
          </w:p>
        </w:tc>
        <w:tc>
          <w:tcPr>
            <w:tcW w:w="2061" w:type="dxa"/>
          </w:tcPr>
          <w:p w14:paraId="27B4B9D9"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213.734 € </w:t>
            </w:r>
          </w:p>
        </w:tc>
        <w:tc>
          <w:tcPr>
            <w:tcW w:w="1842" w:type="dxa"/>
          </w:tcPr>
          <w:p w14:paraId="5B4A88E1"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236.194 € </w:t>
            </w:r>
          </w:p>
        </w:tc>
        <w:tc>
          <w:tcPr>
            <w:tcW w:w="2537" w:type="dxa"/>
          </w:tcPr>
          <w:p w14:paraId="557211C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10,5%</w:t>
            </w:r>
          </w:p>
        </w:tc>
      </w:tr>
      <w:tr w:rsidR="009F7F41" w14:paraId="03CF19AB"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DD760C3" w14:textId="77777777" w:rsidR="009F7F41" w:rsidRDefault="00000000">
            <w:pPr>
              <w:rPr>
                <w:rFonts w:ascii="Open Sans" w:eastAsia="Open Sans" w:hAnsi="Open Sans" w:cs="Open Sans"/>
              </w:rPr>
            </w:pPr>
            <w:r>
              <w:rPr>
                <w:rFonts w:ascii="Open Sans" w:eastAsia="Open Sans" w:hAnsi="Open Sans" w:cs="Open Sans"/>
              </w:rPr>
              <w:t>Albacete</w:t>
            </w:r>
          </w:p>
        </w:tc>
        <w:tc>
          <w:tcPr>
            <w:tcW w:w="2061" w:type="dxa"/>
          </w:tcPr>
          <w:p w14:paraId="5AA7ECF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166.804 € </w:t>
            </w:r>
          </w:p>
        </w:tc>
        <w:tc>
          <w:tcPr>
            <w:tcW w:w="1842" w:type="dxa"/>
          </w:tcPr>
          <w:p w14:paraId="773B58B5"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184.157 € </w:t>
            </w:r>
          </w:p>
        </w:tc>
        <w:tc>
          <w:tcPr>
            <w:tcW w:w="2537" w:type="dxa"/>
          </w:tcPr>
          <w:p w14:paraId="3AC71DC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w:t>
            </w:r>
          </w:p>
        </w:tc>
      </w:tr>
      <w:tr w:rsidR="009F7F41" w14:paraId="23BD3E21"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3B186095" w14:textId="77777777" w:rsidR="009F7F41" w:rsidRDefault="00000000">
            <w:pPr>
              <w:rPr>
                <w:rFonts w:ascii="Open Sans" w:eastAsia="Open Sans" w:hAnsi="Open Sans" w:cs="Open Sans"/>
              </w:rPr>
            </w:pPr>
            <w:r>
              <w:rPr>
                <w:rFonts w:ascii="Open Sans" w:eastAsia="Open Sans" w:hAnsi="Open Sans" w:cs="Open Sans"/>
              </w:rPr>
              <w:t>Cádiz</w:t>
            </w:r>
          </w:p>
        </w:tc>
        <w:tc>
          <w:tcPr>
            <w:tcW w:w="2061" w:type="dxa"/>
          </w:tcPr>
          <w:p w14:paraId="313DF518"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261.882 € </w:t>
            </w:r>
          </w:p>
        </w:tc>
        <w:tc>
          <w:tcPr>
            <w:tcW w:w="1842" w:type="dxa"/>
          </w:tcPr>
          <w:p w14:paraId="30F05FB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288.649 € </w:t>
            </w:r>
          </w:p>
        </w:tc>
        <w:tc>
          <w:tcPr>
            <w:tcW w:w="2537" w:type="dxa"/>
          </w:tcPr>
          <w:p w14:paraId="109448E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10,2%</w:t>
            </w:r>
          </w:p>
        </w:tc>
      </w:tr>
      <w:tr w:rsidR="009F7F41" w14:paraId="0C98C884"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E052FA9" w14:textId="77777777" w:rsidR="009F7F41" w:rsidRDefault="00000000">
            <w:pPr>
              <w:rPr>
                <w:rFonts w:ascii="Open Sans" w:eastAsia="Open Sans" w:hAnsi="Open Sans" w:cs="Open Sans"/>
              </w:rPr>
            </w:pPr>
            <w:r>
              <w:rPr>
                <w:rFonts w:ascii="Open Sans" w:eastAsia="Open Sans" w:hAnsi="Open Sans" w:cs="Open Sans"/>
              </w:rPr>
              <w:t>Valladolid</w:t>
            </w:r>
          </w:p>
        </w:tc>
        <w:tc>
          <w:tcPr>
            <w:tcW w:w="2061" w:type="dxa"/>
          </w:tcPr>
          <w:p w14:paraId="18023EAA"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186.900 € </w:t>
            </w:r>
          </w:p>
        </w:tc>
        <w:tc>
          <w:tcPr>
            <w:tcW w:w="1842" w:type="dxa"/>
          </w:tcPr>
          <w:p w14:paraId="292AB230"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205.258 € </w:t>
            </w:r>
          </w:p>
        </w:tc>
        <w:tc>
          <w:tcPr>
            <w:tcW w:w="2537" w:type="dxa"/>
          </w:tcPr>
          <w:p w14:paraId="66029847"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9,8%</w:t>
            </w:r>
          </w:p>
        </w:tc>
      </w:tr>
      <w:tr w:rsidR="009F7F41" w14:paraId="06E4F07C"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C5138EF" w14:textId="77777777" w:rsidR="009F7F41" w:rsidRDefault="00000000">
            <w:pPr>
              <w:rPr>
                <w:rFonts w:ascii="Open Sans" w:eastAsia="Open Sans" w:hAnsi="Open Sans" w:cs="Open Sans"/>
              </w:rPr>
            </w:pPr>
            <w:r>
              <w:rPr>
                <w:rFonts w:ascii="Open Sans" w:eastAsia="Open Sans" w:hAnsi="Open Sans" w:cs="Open Sans"/>
              </w:rPr>
              <w:t>León</w:t>
            </w:r>
          </w:p>
        </w:tc>
        <w:tc>
          <w:tcPr>
            <w:tcW w:w="2061" w:type="dxa"/>
          </w:tcPr>
          <w:p w14:paraId="3301FF8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171.458 € </w:t>
            </w:r>
          </w:p>
        </w:tc>
        <w:tc>
          <w:tcPr>
            <w:tcW w:w="1842" w:type="dxa"/>
          </w:tcPr>
          <w:p w14:paraId="6EB44ADC"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187.856 € </w:t>
            </w:r>
          </w:p>
        </w:tc>
        <w:tc>
          <w:tcPr>
            <w:tcW w:w="2537" w:type="dxa"/>
          </w:tcPr>
          <w:p w14:paraId="15A8C6F2"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9,6%</w:t>
            </w:r>
          </w:p>
        </w:tc>
      </w:tr>
      <w:tr w:rsidR="009F7F41" w14:paraId="00D070D1"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17EA6BDD" w14:textId="77777777" w:rsidR="009F7F41" w:rsidRDefault="00000000">
            <w:pPr>
              <w:rPr>
                <w:rFonts w:ascii="Open Sans" w:eastAsia="Open Sans" w:hAnsi="Open Sans" w:cs="Open Sans"/>
              </w:rPr>
            </w:pPr>
            <w:r>
              <w:rPr>
                <w:rFonts w:ascii="Open Sans" w:eastAsia="Open Sans" w:hAnsi="Open Sans" w:cs="Open Sans"/>
              </w:rPr>
              <w:t>Segovia</w:t>
            </w:r>
          </w:p>
        </w:tc>
        <w:tc>
          <w:tcPr>
            <w:tcW w:w="2061" w:type="dxa"/>
          </w:tcPr>
          <w:p w14:paraId="1738B436"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191.532 € </w:t>
            </w:r>
          </w:p>
        </w:tc>
        <w:tc>
          <w:tcPr>
            <w:tcW w:w="1842" w:type="dxa"/>
          </w:tcPr>
          <w:p w14:paraId="7566348F"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209.155 € </w:t>
            </w:r>
          </w:p>
        </w:tc>
        <w:tc>
          <w:tcPr>
            <w:tcW w:w="2537" w:type="dxa"/>
          </w:tcPr>
          <w:p w14:paraId="6CFB53F3"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9,2%</w:t>
            </w:r>
          </w:p>
        </w:tc>
      </w:tr>
      <w:tr w:rsidR="009F7F41" w14:paraId="066F255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784A5D1" w14:textId="77777777" w:rsidR="009F7F41" w:rsidRDefault="00000000">
            <w:pPr>
              <w:rPr>
                <w:rFonts w:ascii="Open Sans" w:eastAsia="Open Sans" w:hAnsi="Open Sans" w:cs="Open Sans"/>
              </w:rPr>
            </w:pPr>
            <w:r>
              <w:rPr>
                <w:rFonts w:ascii="Open Sans" w:eastAsia="Open Sans" w:hAnsi="Open Sans" w:cs="Open Sans"/>
              </w:rPr>
              <w:t>Santa Cruz de T.</w:t>
            </w:r>
          </w:p>
        </w:tc>
        <w:tc>
          <w:tcPr>
            <w:tcW w:w="2061" w:type="dxa"/>
          </w:tcPr>
          <w:p w14:paraId="16DA1CFE"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228.316 € </w:t>
            </w:r>
          </w:p>
        </w:tc>
        <w:tc>
          <w:tcPr>
            <w:tcW w:w="1842" w:type="dxa"/>
          </w:tcPr>
          <w:p w14:paraId="489707F3"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249.027 € </w:t>
            </w:r>
          </w:p>
        </w:tc>
        <w:tc>
          <w:tcPr>
            <w:tcW w:w="2537" w:type="dxa"/>
          </w:tcPr>
          <w:p w14:paraId="6518E0A6"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9,1%</w:t>
            </w:r>
          </w:p>
        </w:tc>
      </w:tr>
      <w:tr w:rsidR="009F7F41" w14:paraId="13A21A41"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0F71BD7" w14:textId="77777777" w:rsidR="009F7F41" w:rsidRDefault="00000000">
            <w:pPr>
              <w:rPr>
                <w:rFonts w:ascii="Open Sans" w:eastAsia="Open Sans" w:hAnsi="Open Sans" w:cs="Open Sans"/>
              </w:rPr>
            </w:pPr>
            <w:r>
              <w:rPr>
                <w:rFonts w:ascii="Open Sans" w:eastAsia="Open Sans" w:hAnsi="Open Sans" w:cs="Open Sans"/>
              </w:rPr>
              <w:t>Lleida</w:t>
            </w:r>
          </w:p>
        </w:tc>
        <w:tc>
          <w:tcPr>
            <w:tcW w:w="2061" w:type="dxa"/>
          </w:tcPr>
          <w:p w14:paraId="52F406A2"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135.141 € </w:t>
            </w:r>
          </w:p>
        </w:tc>
        <w:tc>
          <w:tcPr>
            <w:tcW w:w="1842" w:type="dxa"/>
          </w:tcPr>
          <w:p w14:paraId="76AF54AF"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146.793 € </w:t>
            </w:r>
          </w:p>
        </w:tc>
        <w:tc>
          <w:tcPr>
            <w:tcW w:w="2537" w:type="dxa"/>
          </w:tcPr>
          <w:p w14:paraId="3F50A3A0"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8,6%</w:t>
            </w:r>
          </w:p>
        </w:tc>
      </w:tr>
      <w:tr w:rsidR="009F7F41" w14:paraId="66CCD096"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CD5DD05" w14:textId="77777777" w:rsidR="009F7F41" w:rsidRDefault="00000000">
            <w:pPr>
              <w:rPr>
                <w:rFonts w:ascii="Open Sans" w:eastAsia="Open Sans" w:hAnsi="Open Sans" w:cs="Open Sans"/>
              </w:rPr>
            </w:pPr>
            <w:r>
              <w:rPr>
                <w:rFonts w:ascii="Open Sans" w:eastAsia="Open Sans" w:hAnsi="Open Sans" w:cs="Open Sans"/>
              </w:rPr>
              <w:lastRenderedPageBreak/>
              <w:t>Alicante</w:t>
            </w:r>
          </w:p>
        </w:tc>
        <w:tc>
          <w:tcPr>
            <w:tcW w:w="2061" w:type="dxa"/>
          </w:tcPr>
          <w:p w14:paraId="438CE581"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226.302 € </w:t>
            </w:r>
          </w:p>
        </w:tc>
        <w:tc>
          <w:tcPr>
            <w:tcW w:w="1842" w:type="dxa"/>
          </w:tcPr>
          <w:p w14:paraId="0F4D53CB"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245.625 € </w:t>
            </w:r>
          </w:p>
        </w:tc>
        <w:tc>
          <w:tcPr>
            <w:tcW w:w="2537" w:type="dxa"/>
          </w:tcPr>
          <w:p w14:paraId="249442A1"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8,5%</w:t>
            </w:r>
          </w:p>
        </w:tc>
      </w:tr>
      <w:tr w:rsidR="009F7F41" w14:paraId="0B152C67"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A6AE9E0" w14:textId="77777777" w:rsidR="009F7F41" w:rsidRDefault="00000000">
            <w:pPr>
              <w:rPr>
                <w:rFonts w:ascii="Open Sans" w:eastAsia="Open Sans" w:hAnsi="Open Sans" w:cs="Open Sans"/>
              </w:rPr>
            </w:pPr>
            <w:r>
              <w:rPr>
                <w:rFonts w:ascii="Open Sans" w:eastAsia="Open Sans" w:hAnsi="Open Sans" w:cs="Open Sans"/>
              </w:rPr>
              <w:t>Burgos</w:t>
            </w:r>
          </w:p>
        </w:tc>
        <w:tc>
          <w:tcPr>
            <w:tcW w:w="2061" w:type="dxa"/>
          </w:tcPr>
          <w:p w14:paraId="529B18FB"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188.846 € </w:t>
            </w:r>
          </w:p>
        </w:tc>
        <w:tc>
          <w:tcPr>
            <w:tcW w:w="1842" w:type="dxa"/>
          </w:tcPr>
          <w:p w14:paraId="231A3086"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204.240 € </w:t>
            </w:r>
          </w:p>
        </w:tc>
        <w:tc>
          <w:tcPr>
            <w:tcW w:w="2537" w:type="dxa"/>
          </w:tcPr>
          <w:p w14:paraId="3EC44844"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8,2%</w:t>
            </w:r>
          </w:p>
        </w:tc>
      </w:tr>
      <w:tr w:rsidR="009F7F41" w14:paraId="25D2655D"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6551AC6" w14:textId="77777777" w:rsidR="009F7F41" w:rsidRDefault="00000000">
            <w:pPr>
              <w:rPr>
                <w:rFonts w:ascii="Open Sans" w:eastAsia="Open Sans" w:hAnsi="Open Sans" w:cs="Open Sans"/>
              </w:rPr>
            </w:pPr>
            <w:r>
              <w:rPr>
                <w:rFonts w:ascii="Open Sans" w:eastAsia="Open Sans" w:hAnsi="Open Sans" w:cs="Open Sans"/>
              </w:rPr>
              <w:t>Las Palmas de G. C.</w:t>
            </w:r>
          </w:p>
        </w:tc>
        <w:tc>
          <w:tcPr>
            <w:tcW w:w="2061" w:type="dxa"/>
          </w:tcPr>
          <w:p w14:paraId="49F0EFFA"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252.257 € </w:t>
            </w:r>
          </w:p>
        </w:tc>
        <w:tc>
          <w:tcPr>
            <w:tcW w:w="1842" w:type="dxa"/>
          </w:tcPr>
          <w:p w14:paraId="3B331FB0"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272.666 € </w:t>
            </w:r>
          </w:p>
        </w:tc>
        <w:tc>
          <w:tcPr>
            <w:tcW w:w="2537" w:type="dxa"/>
          </w:tcPr>
          <w:p w14:paraId="335382EC"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8,1%</w:t>
            </w:r>
          </w:p>
        </w:tc>
      </w:tr>
      <w:tr w:rsidR="009F7F41" w14:paraId="58647458"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13875B28" w14:textId="77777777" w:rsidR="009F7F41" w:rsidRDefault="00000000">
            <w:pPr>
              <w:rPr>
                <w:rFonts w:ascii="Open Sans" w:eastAsia="Open Sans" w:hAnsi="Open Sans" w:cs="Open Sans"/>
              </w:rPr>
            </w:pPr>
            <w:r>
              <w:rPr>
                <w:rFonts w:ascii="Open Sans" w:eastAsia="Open Sans" w:hAnsi="Open Sans" w:cs="Open Sans"/>
              </w:rPr>
              <w:t>Oviedo</w:t>
            </w:r>
          </w:p>
        </w:tc>
        <w:tc>
          <w:tcPr>
            <w:tcW w:w="2061" w:type="dxa"/>
          </w:tcPr>
          <w:p w14:paraId="4AC0D41D"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201.673 € </w:t>
            </w:r>
          </w:p>
        </w:tc>
        <w:tc>
          <w:tcPr>
            <w:tcW w:w="1842" w:type="dxa"/>
          </w:tcPr>
          <w:p w14:paraId="62963A6B"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217.783 € </w:t>
            </w:r>
          </w:p>
        </w:tc>
        <w:tc>
          <w:tcPr>
            <w:tcW w:w="2537" w:type="dxa"/>
          </w:tcPr>
          <w:p w14:paraId="384C0B90"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8,0%</w:t>
            </w:r>
          </w:p>
        </w:tc>
      </w:tr>
      <w:tr w:rsidR="009F7F41" w14:paraId="3058BD21"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0D0366D" w14:textId="77777777" w:rsidR="009F7F41" w:rsidRDefault="00000000">
            <w:pPr>
              <w:rPr>
                <w:rFonts w:ascii="Open Sans" w:eastAsia="Open Sans" w:hAnsi="Open Sans" w:cs="Open Sans"/>
              </w:rPr>
            </w:pPr>
            <w:r>
              <w:rPr>
                <w:rFonts w:ascii="Open Sans" w:eastAsia="Open Sans" w:hAnsi="Open Sans" w:cs="Open Sans"/>
              </w:rPr>
              <w:t>Santander</w:t>
            </w:r>
          </w:p>
        </w:tc>
        <w:tc>
          <w:tcPr>
            <w:tcW w:w="2061" w:type="dxa"/>
          </w:tcPr>
          <w:p w14:paraId="6EC4C0FF"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241.293 € </w:t>
            </w:r>
          </w:p>
        </w:tc>
        <w:tc>
          <w:tcPr>
            <w:tcW w:w="1842" w:type="dxa"/>
          </w:tcPr>
          <w:p w14:paraId="0D2CE8D5"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260.146 € </w:t>
            </w:r>
          </w:p>
        </w:tc>
        <w:tc>
          <w:tcPr>
            <w:tcW w:w="2537" w:type="dxa"/>
          </w:tcPr>
          <w:p w14:paraId="0EECDFF7"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7,8%</w:t>
            </w:r>
          </w:p>
        </w:tc>
      </w:tr>
      <w:tr w:rsidR="009F7F41" w14:paraId="54D9756C"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575C6FE2" w14:textId="77777777" w:rsidR="009F7F41" w:rsidRDefault="00000000">
            <w:pPr>
              <w:rPr>
                <w:rFonts w:ascii="Open Sans" w:eastAsia="Open Sans" w:hAnsi="Open Sans" w:cs="Open Sans"/>
              </w:rPr>
            </w:pPr>
            <w:r>
              <w:rPr>
                <w:rFonts w:ascii="Open Sans" w:eastAsia="Open Sans" w:hAnsi="Open Sans" w:cs="Open Sans"/>
              </w:rPr>
              <w:t>Girona</w:t>
            </w:r>
          </w:p>
        </w:tc>
        <w:tc>
          <w:tcPr>
            <w:tcW w:w="2061" w:type="dxa"/>
          </w:tcPr>
          <w:p w14:paraId="103D033A"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240.197 € </w:t>
            </w:r>
          </w:p>
        </w:tc>
        <w:tc>
          <w:tcPr>
            <w:tcW w:w="1842" w:type="dxa"/>
          </w:tcPr>
          <w:p w14:paraId="0FB17E8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258.728 € </w:t>
            </w:r>
          </w:p>
        </w:tc>
        <w:tc>
          <w:tcPr>
            <w:tcW w:w="2537" w:type="dxa"/>
          </w:tcPr>
          <w:p w14:paraId="2750765C"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7,7%</w:t>
            </w:r>
          </w:p>
        </w:tc>
      </w:tr>
      <w:tr w:rsidR="009F7F41" w14:paraId="551288D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357A8D72" w14:textId="77777777" w:rsidR="009F7F41" w:rsidRDefault="00000000">
            <w:pPr>
              <w:rPr>
                <w:rFonts w:ascii="Open Sans" w:eastAsia="Open Sans" w:hAnsi="Open Sans" w:cs="Open Sans"/>
              </w:rPr>
            </w:pPr>
            <w:r>
              <w:rPr>
                <w:rFonts w:ascii="Open Sans" w:eastAsia="Open Sans" w:hAnsi="Open Sans" w:cs="Open Sans"/>
              </w:rPr>
              <w:t>Zaragoza</w:t>
            </w:r>
          </w:p>
        </w:tc>
        <w:tc>
          <w:tcPr>
            <w:tcW w:w="2061" w:type="dxa"/>
          </w:tcPr>
          <w:p w14:paraId="399126C1"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195.566 € </w:t>
            </w:r>
          </w:p>
        </w:tc>
        <w:tc>
          <w:tcPr>
            <w:tcW w:w="1842" w:type="dxa"/>
          </w:tcPr>
          <w:p w14:paraId="108899E0"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210.336 € </w:t>
            </w:r>
          </w:p>
        </w:tc>
        <w:tc>
          <w:tcPr>
            <w:tcW w:w="2537" w:type="dxa"/>
          </w:tcPr>
          <w:p w14:paraId="6383DF1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7,6%</w:t>
            </w:r>
          </w:p>
        </w:tc>
      </w:tr>
      <w:tr w:rsidR="009F7F41" w14:paraId="12A5D938"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3177F62" w14:textId="77777777" w:rsidR="009F7F41" w:rsidRDefault="00000000">
            <w:pPr>
              <w:rPr>
                <w:rFonts w:ascii="Open Sans" w:eastAsia="Open Sans" w:hAnsi="Open Sans" w:cs="Open Sans"/>
              </w:rPr>
            </w:pPr>
            <w:r>
              <w:rPr>
                <w:rFonts w:ascii="Open Sans" w:eastAsia="Open Sans" w:hAnsi="Open Sans" w:cs="Open Sans"/>
              </w:rPr>
              <w:t>Bilbao</w:t>
            </w:r>
          </w:p>
        </w:tc>
        <w:tc>
          <w:tcPr>
            <w:tcW w:w="2061" w:type="dxa"/>
          </w:tcPr>
          <w:p w14:paraId="777EBB0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315.370 € </w:t>
            </w:r>
          </w:p>
        </w:tc>
        <w:tc>
          <w:tcPr>
            <w:tcW w:w="1842" w:type="dxa"/>
          </w:tcPr>
          <w:p w14:paraId="53DAC381"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338.837 € </w:t>
            </w:r>
          </w:p>
        </w:tc>
        <w:tc>
          <w:tcPr>
            <w:tcW w:w="2537" w:type="dxa"/>
          </w:tcPr>
          <w:p w14:paraId="0A8B075B"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7,4%</w:t>
            </w:r>
          </w:p>
        </w:tc>
      </w:tr>
      <w:tr w:rsidR="009F7F41" w14:paraId="7EE22E0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F8B04CB" w14:textId="77777777" w:rsidR="009F7F41" w:rsidRDefault="00000000">
            <w:pPr>
              <w:rPr>
                <w:rFonts w:ascii="Open Sans" w:eastAsia="Open Sans" w:hAnsi="Open Sans" w:cs="Open Sans"/>
              </w:rPr>
            </w:pPr>
            <w:r>
              <w:rPr>
                <w:rFonts w:ascii="Open Sans" w:eastAsia="Open Sans" w:hAnsi="Open Sans" w:cs="Open Sans"/>
              </w:rPr>
              <w:t>Valencia</w:t>
            </w:r>
          </w:p>
        </w:tc>
        <w:tc>
          <w:tcPr>
            <w:tcW w:w="2061" w:type="dxa"/>
          </w:tcPr>
          <w:p w14:paraId="1343DC9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285.622 € </w:t>
            </w:r>
          </w:p>
        </w:tc>
        <w:tc>
          <w:tcPr>
            <w:tcW w:w="1842" w:type="dxa"/>
          </w:tcPr>
          <w:p w14:paraId="2D71E4EC"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306.831 € </w:t>
            </w:r>
          </w:p>
        </w:tc>
        <w:tc>
          <w:tcPr>
            <w:tcW w:w="2537" w:type="dxa"/>
          </w:tcPr>
          <w:p w14:paraId="0567EC55"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7,4%</w:t>
            </w:r>
          </w:p>
        </w:tc>
      </w:tr>
      <w:tr w:rsidR="009F7F41" w14:paraId="66F59931"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460BADE3" w14:textId="77777777" w:rsidR="009F7F41" w:rsidRDefault="00000000">
            <w:pPr>
              <w:rPr>
                <w:rFonts w:ascii="Open Sans" w:eastAsia="Open Sans" w:hAnsi="Open Sans" w:cs="Open Sans"/>
              </w:rPr>
            </w:pPr>
            <w:r>
              <w:rPr>
                <w:rFonts w:ascii="Open Sans" w:eastAsia="Open Sans" w:hAnsi="Open Sans" w:cs="Open Sans"/>
              </w:rPr>
              <w:t>Vitoria</w:t>
            </w:r>
          </w:p>
        </w:tc>
        <w:tc>
          <w:tcPr>
            <w:tcW w:w="2061" w:type="dxa"/>
          </w:tcPr>
          <w:p w14:paraId="491AA8EB"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258.596 € </w:t>
            </w:r>
          </w:p>
        </w:tc>
        <w:tc>
          <w:tcPr>
            <w:tcW w:w="1842" w:type="dxa"/>
          </w:tcPr>
          <w:p w14:paraId="1ECF15D7"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277.407 € </w:t>
            </w:r>
          </w:p>
        </w:tc>
        <w:tc>
          <w:tcPr>
            <w:tcW w:w="2537" w:type="dxa"/>
          </w:tcPr>
          <w:p w14:paraId="0985A41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7,3%</w:t>
            </w:r>
          </w:p>
        </w:tc>
      </w:tr>
      <w:tr w:rsidR="009F7F41" w14:paraId="35805714"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702D087" w14:textId="77777777" w:rsidR="009F7F41" w:rsidRDefault="00000000">
            <w:pPr>
              <w:rPr>
                <w:rFonts w:ascii="Open Sans" w:eastAsia="Open Sans" w:hAnsi="Open Sans" w:cs="Open Sans"/>
              </w:rPr>
            </w:pPr>
            <w:r>
              <w:rPr>
                <w:rFonts w:ascii="Open Sans" w:eastAsia="Open Sans" w:hAnsi="Open Sans" w:cs="Open Sans"/>
              </w:rPr>
              <w:t>Toledo</w:t>
            </w:r>
          </w:p>
        </w:tc>
        <w:tc>
          <w:tcPr>
            <w:tcW w:w="2061" w:type="dxa"/>
          </w:tcPr>
          <w:p w14:paraId="4206C22E"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165.268 € </w:t>
            </w:r>
          </w:p>
        </w:tc>
        <w:tc>
          <w:tcPr>
            <w:tcW w:w="1842" w:type="dxa"/>
          </w:tcPr>
          <w:p w14:paraId="1854315C"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177.071 € </w:t>
            </w:r>
          </w:p>
        </w:tc>
        <w:tc>
          <w:tcPr>
            <w:tcW w:w="2537" w:type="dxa"/>
          </w:tcPr>
          <w:p w14:paraId="70F6574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7,1%</w:t>
            </w:r>
          </w:p>
        </w:tc>
      </w:tr>
      <w:tr w:rsidR="009F7F41" w14:paraId="128F3299"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17996AF7" w14:textId="77777777" w:rsidR="009F7F41" w:rsidRDefault="00000000">
            <w:pPr>
              <w:rPr>
                <w:rFonts w:ascii="Open Sans" w:eastAsia="Open Sans" w:hAnsi="Open Sans" w:cs="Open Sans"/>
              </w:rPr>
            </w:pPr>
            <w:r>
              <w:rPr>
                <w:rFonts w:ascii="Open Sans" w:eastAsia="Open Sans" w:hAnsi="Open Sans" w:cs="Open Sans"/>
              </w:rPr>
              <w:t>Sevilla</w:t>
            </w:r>
          </w:p>
        </w:tc>
        <w:tc>
          <w:tcPr>
            <w:tcW w:w="2061" w:type="dxa"/>
          </w:tcPr>
          <w:p w14:paraId="73A95141"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227.697 € </w:t>
            </w:r>
          </w:p>
        </w:tc>
        <w:tc>
          <w:tcPr>
            <w:tcW w:w="1842" w:type="dxa"/>
          </w:tcPr>
          <w:p w14:paraId="419F2E6A"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243.266 € </w:t>
            </w:r>
          </w:p>
        </w:tc>
        <w:tc>
          <w:tcPr>
            <w:tcW w:w="2537" w:type="dxa"/>
          </w:tcPr>
          <w:p w14:paraId="12C45F78"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6,8%</w:t>
            </w:r>
          </w:p>
        </w:tc>
      </w:tr>
      <w:tr w:rsidR="009F7F41" w14:paraId="49BA5C03"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1A94CD4F" w14:textId="77777777" w:rsidR="009F7F41" w:rsidRDefault="00000000">
            <w:pPr>
              <w:rPr>
                <w:rFonts w:ascii="Open Sans" w:eastAsia="Open Sans" w:hAnsi="Open Sans" w:cs="Open Sans"/>
              </w:rPr>
            </w:pPr>
            <w:r>
              <w:rPr>
                <w:rFonts w:ascii="Open Sans" w:eastAsia="Open Sans" w:hAnsi="Open Sans" w:cs="Open Sans"/>
              </w:rPr>
              <w:t>A Coruña</w:t>
            </w:r>
          </w:p>
        </w:tc>
        <w:tc>
          <w:tcPr>
            <w:tcW w:w="2061" w:type="dxa"/>
          </w:tcPr>
          <w:p w14:paraId="59950C3D"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280.194 € </w:t>
            </w:r>
          </w:p>
        </w:tc>
        <w:tc>
          <w:tcPr>
            <w:tcW w:w="1842" w:type="dxa"/>
          </w:tcPr>
          <w:p w14:paraId="4603775F"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298.183 € </w:t>
            </w:r>
          </w:p>
        </w:tc>
        <w:tc>
          <w:tcPr>
            <w:tcW w:w="2537" w:type="dxa"/>
          </w:tcPr>
          <w:p w14:paraId="0E0750FB"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6,4%</w:t>
            </w:r>
          </w:p>
        </w:tc>
      </w:tr>
      <w:tr w:rsidR="009F7F41" w14:paraId="10FD5944"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D68CD17" w14:textId="77777777" w:rsidR="009F7F41" w:rsidRDefault="00000000">
            <w:pPr>
              <w:rPr>
                <w:rFonts w:ascii="Open Sans" w:eastAsia="Open Sans" w:hAnsi="Open Sans" w:cs="Open Sans"/>
              </w:rPr>
            </w:pPr>
            <w:r>
              <w:rPr>
                <w:rFonts w:ascii="Open Sans" w:eastAsia="Open Sans" w:hAnsi="Open Sans" w:cs="Open Sans"/>
              </w:rPr>
              <w:t>Logroño</w:t>
            </w:r>
          </w:p>
        </w:tc>
        <w:tc>
          <w:tcPr>
            <w:tcW w:w="2061" w:type="dxa"/>
          </w:tcPr>
          <w:p w14:paraId="08909159"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187.422 € </w:t>
            </w:r>
          </w:p>
        </w:tc>
        <w:tc>
          <w:tcPr>
            <w:tcW w:w="1842" w:type="dxa"/>
          </w:tcPr>
          <w:p w14:paraId="2D24BA55"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199.413 € </w:t>
            </w:r>
          </w:p>
        </w:tc>
        <w:tc>
          <w:tcPr>
            <w:tcW w:w="2537" w:type="dxa"/>
          </w:tcPr>
          <w:p w14:paraId="750D0ECA"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6,4%</w:t>
            </w:r>
          </w:p>
        </w:tc>
      </w:tr>
      <w:tr w:rsidR="009F7F41" w14:paraId="38BDCCC6"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2563F2C" w14:textId="77777777" w:rsidR="009F7F41" w:rsidRDefault="00000000">
            <w:pPr>
              <w:rPr>
                <w:rFonts w:ascii="Open Sans" w:eastAsia="Open Sans" w:hAnsi="Open Sans" w:cs="Open Sans"/>
              </w:rPr>
            </w:pPr>
            <w:r>
              <w:rPr>
                <w:rFonts w:ascii="Open Sans" w:eastAsia="Open Sans" w:hAnsi="Open Sans" w:cs="Open Sans"/>
              </w:rPr>
              <w:t>Palma de Mallorca</w:t>
            </w:r>
          </w:p>
        </w:tc>
        <w:tc>
          <w:tcPr>
            <w:tcW w:w="2061" w:type="dxa"/>
          </w:tcPr>
          <w:p w14:paraId="21C2610A"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412.740 € </w:t>
            </w:r>
          </w:p>
        </w:tc>
        <w:tc>
          <w:tcPr>
            <w:tcW w:w="1842" w:type="dxa"/>
          </w:tcPr>
          <w:p w14:paraId="39117F3F"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437.482 € </w:t>
            </w:r>
          </w:p>
        </w:tc>
        <w:tc>
          <w:tcPr>
            <w:tcW w:w="2537" w:type="dxa"/>
          </w:tcPr>
          <w:p w14:paraId="6F4B59B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6,0%</w:t>
            </w:r>
          </w:p>
        </w:tc>
      </w:tr>
      <w:tr w:rsidR="009F7F41" w14:paraId="34F64D8A"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465952E" w14:textId="77777777" w:rsidR="009F7F41" w:rsidRDefault="00000000">
            <w:pPr>
              <w:rPr>
                <w:rFonts w:ascii="Open Sans" w:eastAsia="Open Sans" w:hAnsi="Open Sans" w:cs="Open Sans"/>
              </w:rPr>
            </w:pPr>
            <w:r>
              <w:rPr>
                <w:rFonts w:ascii="Open Sans" w:eastAsia="Open Sans" w:hAnsi="Open Sans" w:cs="Open Sans"/>
              </w:rPr>
              <w:t>Murcia</w:t>
            </w:r>
          </w:p>
        </w:tc>
        <w:tc>
          <w:tcPr>
            <w:tcW w:w="2061" w:type="dxa"/>
          </w:tcPr>
          <w:p w14:paraId="2818E9F7"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157.508 € </w:t>
            </w:r>
          </w:p>
        </w:tc>
        <w:tc>
          <w:tcPr>
            <w:tcW w:w="1842" w:type="dxa"/>
          </w:tcPr>
          <w:p w14:paraId="5ED483EB"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166.793 € </w:t>
            </w:r>
          </w:p>
        </w:tc>
        <w:tc>
          <w:tcPr>
            <w:tcW w:w="2537" w:type="dxa"/>
          </w:tcPr>
          <w:p w14:paraId="19D5AA63"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5,9%</w:t>
            </w:r>
          </w:p>
        </w:tc>
      </w:tr>
      <w:tr w:rsidR="009F7F41" w14:paraId="27C41A00"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8097C19" w14:textId="77777777" w:rsidR="009F7F41" w:rsidRDefault="00000000">
            <w:pPr>
              <w:rPr>
                <w:rFonts w:ascii="Open Sans" w:eastAsia="Open Sans" w:hAnsi="Open Sans" w:cs="Open Sans"/>
              </w:rPr>
            </w:pPr>
            <w:r>
              <w:rPr>
                <w:rFonts w:ascii="Open Sans" w:eastAsia="Open Sans" w:hAnsi="Open Sans" w:cs="Open Sans"/>
              </w:rPr>
              <w:t>Málaga</w:t>
            </w:r>
          </w:p>
        </w:tc>
        <w:tc>
          <w:tcPr>
            <w:tcW w:w="2061" w:type="dxa"/>
          </w:tcPr>
          <w:p w14:paraId="4EEACA89"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340.247 € </w:t>
            </w:r>
          </w:p>
        </w:tc>
        <w:tc>
          <w:tcPr>
            <w:tcW w:w="1842" w:type="dxa"/>
          </w:tcPr>
          <w:p w14:paraId="2068C27D"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359.908 € </w:t>
            </w:r>
          </w:p>
        </w:tc>
        <w:tc>
          <w:tcPr>
            <w:tcW w:w="2537" w:type="dxa"/>
          </w:tcPr>
          <w:p w14:paraId="6DF9EB48"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5,8%</w:t>
            </w:r>
          </w:p>
        </w:tc>
      </w:tr>
      <w:tr w:rsidR="009F7F41" w14:paraId="483BEA18"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9263AC2" w14:textId="77777777" w:rsidR="009F7F41" w:rsidRDefault="00000000">
            <w:pPr>
              <w:rPr>
                <w:rFonts w:ascii="Open Sans" w:eastAsia="Open Sans" w:hAnsi="Open Sans" w:cs="Open Sans"/>
              </w:rPr>
            </w:pPr>
            <w:r>
              <w:rPr>
                <w:rFonts w:ascii="Open Sans" w:eastAsia="Open Sans" w:hAnsi="Open Sans" w:cs="Open Sans"/>
              </w:rPr>
              <w:t>Ávila</w:t>
            </w:r>
          </w:p>
        </w:tc>
        <w:tc>
          <w:tcPr>
            <w:tcW w:w="2061" w:type="dxa"/>
          </w:tcPr>
          <w:p w14:paraId="3AA8E644"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139.494 € </w:t>
            </w:r>
          </w:p>
        </w:tc>
        <w:tc>
          <w:tcPr>
            <w:tcW w:w="1842" w:type="dxa"/>
          </w:tcPr>
          <w:p w14:paraId="7C96849C"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147.278 € </w:t>
            </w:r>
          </w:p>
        </w:tc>
        <w:tc>
          <w:tcPr>
            <w:tcW w:w="2537" w:type="dxa"/>
          </w:tcPr>
          <w:p w14:paraId="356A4092"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5,6%</w:t>
            </w:r>
          </w:p>
        </w:tc>
      </w:tr>
      <w:tr w:rsidR="009F7F41" w14:paraId="1593E844"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3D907861" w14:textId="77777777" w:rsidR="009F7F41" w:rsidRDefault="00000000">
            <w:pPr>
              <w:rPr>
                <w:rFonts w:ascii="Open Sans" w:eastAsia="Open Sans" w:hAnsi="Open Sans" w:cs="Open Sans"/>
              </w:rPr>
            </w:pPr>
            <w:r>
              <w:rPr>
                <w:rFonts w:ascii="Open Sans" w:eastAsia="Open Sans" w:hAnsi="Open Sans" w:cs="Open Sans"/>
              </w:rPr>
              <w:t>Pamplona</w:t>
            </w:r>
          </w:p>
        </w:tc>
        <w:tc>
          <w:tcPr>
            <w:tcW w:w="2061" w:type="dxa"/>
          </w:tcPr>
          <w:p w14:paraId="6A66FD06"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259.606 € </w:t>
            </w:r>
          </w:p>
        </w:tc>
        <w:tc>
          <w:tcPr>
            <w:tcW w:w="1842" w:type="dxa"/>
          </w:tcPr>
          <w:p w14:paraId="0C05BC9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273.624 € </w:t>
            </w:r>
          </w:p>
        </w:tc>
        <w:tc>
          <w:tcPr>
            <w:tcW w:w="2537" w:type="dxa"/>
          </w:tcPr>
          <w:p w14:paraId="532034BC"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5,4%</w:t>
            </w:r>
          </w:p>
        </w:tc>
      </w:tr>
      <w:tr w:rsidR="009F7F41" w14:paraId="6C0AE2BE"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642359E" w14:textId="77777777" w:rsidR="009F7F41" w:rsidRDefault="00000000">
            <w:pPr>
              <w:rPr>
                <w:rFonts w:ascii="Open Sans" w:eastAsia="Open Sans" w:hAnsi="Open Sans" w:cs="Open Sans"/>
              </w:rPr>
            </w:pPr>
            <w:r>
              <w:rPr>
                <w:rFonts w:ascii="Open Sans" w:eastAsia="Open Sans" w:hAnsi="Open Sans" w:cs="Open Sans"/>
              </w:rPr>
              <w:t>Castellón de la Plana</w:t>
            </w:r>
          </w:p>
        </w:tc>
        <w:tc>
          <w:tcPr>
            <w:tcW w:w="2061" w:type="dxa"/>
          </w:tcPr>
          <w:p w14:paraId="150FE217"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153.280 € </w:t>
            </w:r>
          </w:p>
        </w:tc>
        <w:tc>
          <w:tcPr>
            <w:tcW w:w="1842" w:type="dxa"/>
          </w:tcPr>
          <w:p w14:paraId="1D615138"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161.468 € </w:t>
            </w:r>
          </w:p>
        </w:tc>
        <w:tc>
          <w:tcPr>
            <w:tcW w:w="2537" w:type="dxa"/>
          </w:tcPr>
          <w:p w14:paraId="3975820C"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5,3%</w:t>
            </w:r>
          </w:p>
        </w:tc>
      </w:tr>
      <w:tr w:rsidR="009F7F41" w14:paraId="419844EE"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78A991CD" w14:textId="77777777" w:rsidR="009F7F41" w:rsidRDefault="00000000">
            <w:pPr>
              <w:rPr>
                <w:rFonts w:ascii="Open Sans" w:eastAsia="Open Sans" w:hAnsi="Open Sans" w:cs="Open Sans"/>
              </w:rPr>
            </w:pPr>
            <w:r>
              <w:rPr>
                <w:rFonts w:ascii="Open Sans" w:eastAsia="Open Sans" w:hAnsi="Open Sans" w:cs="Open Sans"/>
              </w:rPr>
              <w:t>Guadalajara</w:t>
            </w:r>
          </w:p>
        </w:tc>
        <w:tc>
          <w:tcPr>
            <w:tcW w:w="2061" w:type="dxa"/>
          </w:tcPr>
          <w:p w14:paraId="1C4B4C34"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195.204 € </w:t>
            </w:r>
          </w:p>
        </w:tc>
        <w:tc>
          <w:tcPr>
            <w:tcW w:w="1842" w:type="dxa"/>
          </w:tcPr>
          <w:p w14:paraId="0FB71B92"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205.555 € </w:t>
            </w:r>
          </w:p>
        </w:tc>
        <w:tc>
          <w:tcPr>
            <w:tcW w:w="2537" w:type="dxa"/>
          </w:tcPr>
          <w:p w14:paraId="7EA957BF"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5,3%</w:t>
            </w:r>
          </w:p>
        </w:tc>
      </w:tr>
      <w:tr w:rsidR="009F7F41" w14:paraId="19B3FF42"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099932C2" w14:textId="77777777" w:rsidR="009F7F41" w:rsidRDefault="00000000">
            <w:pPr>
              <w:rPr>
                <w:rFonts w:ascii="Open Sans" w:eastAsia="Open Sans" w:hAnsi="Open Sans" w:cs="Open Sans"/>
              </w:rPr>
            </w:pPr>
            <w:r>
              <w:rPr>
                <w:rFonts w:ascii="Open Sans" w:eastAsia="Open Sans" w:hAnsi="Open Sans" w:cs="Open Sans"/>
              </w:rPr>
              <w:t>San Sebastián</w:t>
            </w:r>
          </w:p>
        </w:tc>
        <w:tc>
          <w:tcPr>
            <w:tcW w:w="2061" w:type="dxa"/>
          </w:tcPr>
          <w:p w14:paraId="553CFD37"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574.081 € </w:t>
            </w:r>
          </w:p>
        </w:tc>
        <w:tc>
          <w:tcPr>
            <w:tcW w:w="1842" w:type="dxa"/>
          </w:tcPr>
          <w:p w14:paraId="1FCAFE6D"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599.441 € </w:t>
            </w:r>
          </w:p>
        </w:tc>
        <w:tc>
          <w:tcPr>
            <w:tcW w:w="2537" w:type="dxa"/>
          </w:tcPr>
          <w:p w14:paraId="498F4E19"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4,4%</w:t>
            </w:r>
          </w:p>
        </w:tc>
      </w:tr>
      <w:tr w:rsidR="009F7F41" w14:paraId="43E26F18" w14:textId="77777777" w:rsidTr="009F7F4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96" w:type="dxa"/>
          </w:tcPr>
          <w:p w14:paraId="29544937" w14:textId="77777777" w:rsidR="009F7F41" w:rsidRDefault="00000000">
            <w:pPr>
              <w:rPr>
                <w:rFonts w:ascii="Open Sans" w:eastAsia="Open Sans" w:hAnsi="Open Sans" w:cs="Open Sans"/>
              </w:rPr>
            </w:pPr>
            <w:r>
              <w:rPr>
                <w:rFonts w:ascii="Open Sans" w:eastAsia="Open Sans" w:hAnsi="Open Sans" w:cs="Open Sans"/>
              </w:rPr>
              <w:t>Barcelona</w:t>
            </w:r>
          </w:p>
        </w:tc>
        <w:tc>
          <w:tcPr>
            <w:tcW w:w="2061" w:type="dxa"/>
          </w:tcPr>
          <w:p w14:paraId="21898C56"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434.710 € </w:t>
            </w:r>
          </w:p>
        </w:tc>
        <w:tc>
          <w:tcPr>
            <w:tcW w:w="1842" w:type="dxa"/>
          </w:tcPr>
          <w:p w14:paraId="34D9926A" w14:textId="77777777" w:rsidR="009F7F41"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452.478 € </w:t>
            </w:r>
          </w:p>
        </w:tc>
        <w:tc>
          <w:tcPr>
            <w:tcW w:w="2537" w:type="dxa"/>
          </w:tcPr>
          <w:p w14:paraId="19D2B7D0" w14:textId="77777777" w:rsidR="009F7F41"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4,1%</w:t>
            </w:r>
          </w:p>
        </w:tc>
      </w:tr>
      <w:tr w:rsidR="009F7F41" w14:paraId="251418F9" w14:textId="77777777" w:rsidTr="009F7F41">
        <w:trPr>
          <w:trHeight w:val="330"/>
        </w:trPr>
        <w:tc>
          <w:tcPr>
            <w:cnfStyle w:val="001000000000" w:firstRow="0" w:lastRow="0" w:firstColumn="1" w:lastColumn="0" w:oddVBand="0" w:evenVBand="0" w:oddHBand="0" w:evenHBand="0" w:firstRowFirstColumn="0" w:firstRowLastColumn="0" w:lastRowFirstColumn="0" w:lastRowLastColumn="0"/>
            <w:tcW w:w="2896" w:type="dxa"/>
          </w:tcPr>
          <w:p w14:paraId="60CCBEF6" w14:textId="77777777" w:rsidR="009F7F41" w:rsidRDefault="00000000">
            <w:pPr>
              <w:rPr>
                <w:rFonts w:ascii="Open Sans" w:eastAsia="Open Sans" w:hAnsi="Open Sans" w:cs="Open Sans"/>
              </w:rPr>
            </w:pPr>
            <w:r>
              <w:rPr>
                <w:rFonts w:ascii="Open Sans" w:eastAsia="Open Sans" w:hAnsi="Open Sans" w:cs="Open Sans"/>
              </w:rPr>
              <w:t>Madrid</w:t>
            </w:r>
          </w:p>
        </w:tc>
        <w:tc>
          <w:tcPr>
            <w:tcW w:w="2061" w:type="dxa"/>
          </w:tcPr>
          <w:p w14:paraId="29C6DC01"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526.791 € </w:t>
            </w:r>
          </w:p>
        </w:tc>
        <w:tc>
          <w:tcPr>
            <w:tcW w:w="1842" w:type="dxa"/>
          </w:tcPr>
          <w:p w14:paraId="4CF2D6C6" w14:textId="77777777" w:rsidR="009F7F41"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545.728 € </w:t>
            </w:r>
          </w:p>
        </w:tc>
        <w:tc>
          <w:tcPr>
            <w:tcW w:w="2537" w:type="dxa"/>
          </w:tcPr>
          <w:p w14:paraId="1B263D8D" w14:textId="77777777" w:rsidR="009F7F41"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3,6%</w:t>
            </w:r>
          </w:p>
        </w:tc>
      </w:tr>
    </w:tbl>
    <w:p w14:paraId="0F0EDEA1"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487F759E" w14:textId="77777777" w:rsidR="009F7F41" w:rsidRDefault="009F7F41">
      <w:pPr>
        <w:pBdr>
          <w:top w:val="nil"/>
          <w:left w:val="nil"/>
          <w:bottom w:val="nil"/>
          <w:right w:val="nil"/>
          <w:between w:val="nil"/>
        </w:pBdr>
        <w:spacing w:line="276" w:lineRule="auto"/>
        <w:jc w:val="both"/>
        <w:rPr>
          <w:rFonts w:ascii="Open Sans" w:eastAsia="Open Sans" w:hAnsi="Open Sans" w:cs="Open Sans"/>
        </w:rPr>
      </w:pPr>
    </w:p>
    <w:p w14:paraId="24D0090F" w14:textId="77777777" w:rsidR="00DC3BFB" w:rsidRDefault="00DC3BFB" w:rsidP="001920AB">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BF837DA"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C837C66"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3">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B484140"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bCs/>
            <w:color w:val="0000FF"/>
            <w:sz w:val="22"/>
            <w:szCs w:val="22"/>
            <w:u w:val="single"/>
          </w:rPr>
          <w:t>Sala de Prensa</w:t>
        </w:r>
      </w:hyperlink>
    </w:p>
    <w:p w14:paraId="5DFC192D" w14:textId="77777777" w:rsidR="00DC3BFB" w:rsidRDefault="00DC3BFB" w:rsidP="001920AB">
      <w:pPr>
        <w:spacing w:line="276" w:lineRule="auto"/>
        <w:ind w:right="-284"/>
        <w:rPr>
          <w:rFonts w:ascii="Open Sans Light" w:eastAsia="Open Sans Light" w:hAnsi="Open Sans Light" w:cs="Open Sans Light"/>
          <w:b/>
          <w:bCs/>
          <w:color w:val="303AB2"/>
        </w:rPr>
      </w:pPr>
    </w:p>
    <w:p w14:paraId="2B5EC6E3" w14:textId="77777777" w:rsidR="00DC3BFB" w:rsidRDefault="00DC3BFB" w:rsidP="001920AB">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6E00CFC0"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02ED80F"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6">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0">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0239317" w14:textId="77777777" w:rsidR="00DC3BFB" w:rsidRDefault="00DC3BFB" w:rsidP="001920AB">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FCE9273" w14:textId="77777777" w:rsidR="00DC3BFB" w:rsidRDefault="00DC3BFB" w:rsidP="001920AB">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w:t>
      </w:r>
      <w:r w:rsidRPr="00D46246">
        <w:rPr>
          <w:rFonts w:ascii="Open Sans" w:eastAsia="Open Sans" w:hAnsi="Open Sans" w:cs="Open Sans"/>
          <w:b/>
          <w:bCs/>
          <w:sz w:val="22"/>
          <w:szCs w:val="22"/>
        </w:rPr>
        <w:t>otocasa Group forma parte de Scout24</w:t>
      </w:r>
      <w:r w:rsidRPr="00D46246">
        <w:rPr>
          <w:rFonts w:ascii="Open Sans" w:eastAsia="Open Sans" w:hAnsi="Open Sans" w:cs="Open Sans"/>
          <w:sz w:val="22"/>
          <w:szCs w:val="22"/>
        </w:rPr>
        <w:t xml:space="preserve">, el grupo tecnológico alemán líder en Europa que opera </w:t>
      </w:r>
      <w:r w:rsidRPr="00D46246">
        <w:rPr>
          <w:rFonts w:ascii="Open Sans" w:eastAsia="Open Sans" w:hAnsi="Open Sans" w:cs="Open Sans"/>
          <w:b/>
          <w:bCs/>
          <w:sz w:val="22"/>
          <w:szCs w:val="22"/>
        </w:rPr>
        <w:t>ImmoScout24</w:t>
      </w:r>
      <w:r w:rsidRPr="00D46246">
        <w:rPr>
          <w:rFonts w:ascii="Open Sans" w:eastAsia="Open Sans" w:hAnsi="Open Sans" w:cs="Open Sans"/>
          <w:sz w:val="22"/>
          <w:szCs w:val="22"/>
        </w:rPr>
        <w:t xml:space="preserve">. </w:t>
      </w:r>
    </w:p>
    <w:p w14:paraId="72D52F59" w14:textId="77777777" w:rsidR="00DC3BFB" w:rsidRDefault="00DC3BFB" w:rsidP="001920AB">
      <w:pPr>
        <w:spacing w:line="276" w:lineRule="auto"/>
        <w:ind w:right="-284"/>
        <w:jc w:val="both"/>
        <w:rPr>
          <w:rFonts w:ascii="Open Sans" w:eastAsia="Open Sans" w:hAnsi="Open Sans" w:cs="Open Sans"/>
          <w:sz w:val="22"/>
          <w:szCs w:val="22"/>
        </w:rPr>
      </w:pPr>
    </w:p>
    <w:p w14:paraId="778666E9" w14:textId="77777777" w:rsidR="00DC3BFB" w:rsidRPr="000D180B" w:rsidRDefault="00DC3BFB" w:rsidP="001920AB">
      <w:pPr>
        <w:spacing w:line="276" w:lineRule="auto"/>
        <w:ind w:right="-284"/>
        <w:jc w:val="right"/>
        <w:rPr>
          <w:rFonts w:ascii="Open Sans Light" w:eastAsia="Open Sans Light" w:hAnsi="Open Sans Light" w:cs="Open Sans Light"/>
          <w:b/>
          <w:bCs/>
          <w:color w:val="303AB2"/>
        </w:rPr>
      </w:pPr>
      <w:r w:rsidRPr="000D180B">
        <w:rPr>
          <w:rFonts w:ascii="Open Sans Light" w:eastAsia="Open Sans Light" w:hAnsi="Open Sans Light" w:cs="Open Sans Light"/>
          <w:b/>
          <w:bCs/>
          <w:color w:val="303AB2"/>
        </w:rPr>
        <w:t>Sobre Scout24</w:t>
      </w:r>
    </w:p>
    <w:p w14:paraId="7A26E2F7" w14:textId="77777777" w:rsidR="00DC3BFB" w:rsidRDefault="00DC3BFB" w:rsidP="001920AB">
      <w:pPr>
        <w:pBdr>
          <w:top w:val="nil"/>
          <w:left w:val="nil"/>
          <w:bottom w:val="nil"/>
          <w:right w:val="nil"/>
          <w:between w:val="nil"/>
        </w:pBdr>
        <w:spacing w:line="276" w:lineRule="auto"/>
        <w:ind w:right="-284"/>
        <w:jc w:val="both"/>
        <w:rPr>
          <w:rFonts w:ascii="Open Sans" w:eastAsia="Open Sans" w:hAnsi="Open Sans" w:cs="Open Sans"/>
          <w:sz w:val="22"/>
          <w:szCs w:val="22"/>
          <w:lang w:val="es-ES"/>
        </w:rPr>
      </w:pPr>
    </w:p>
    <w:p w14:paraId="40DE1458" w14:textId="77777777" w:rsidR="00DC3BFB" w:rsidRDefault="00DC3BFB" w:rsidP="001920AB">
      <w:pPr>
        <w:pBdr>
          <w:top w:val="nil"/>
          <w:left w:val="nil"/>
          <w:bottom w:val="nil"/>
          <w:right w:val="nil"/>
          <w:between w:val="nil"/>
        </w:pBdr>
        <w:spacing w:line="276" w:lineRule="auto"/>
        <w:ind w:right="-284"/>
        <w:jc w:val="both"/>
        <w:rPr>
          <w:rFonts w:ascii="Open Sans" w:eastAsia="Open Sans" w:hAnsi="Open Sans" w:cs="Open Sans"/>
          <w:sz w:val="22"/>
          <w:szCs w:val="22"/>
          <w:lang w:val="es-ES"/>
        </w:rPr>
      </w:pPr>
      <w:r w:rsidRPr="000D180B">
        <w:rPr>
          <w:rFonts w:ascii="Open Sans" w:eastAsia="Open Sans" w:hAnsi="Open Sans" w:cs="Open Sans"/>
          <w:b/>
          <w:bCs/>
          <w:sz w:val="22"/>
          <w:szCs w:val="22"/>
          <w:lang w:val="es-ES"/>
        </w:rPr>
        <w:t>Scout24 es una de las empresas tecnológicas líderes en Alemania</w:t>
      </w:r>
      <w:r w:rsidRPr="000D180B">
        <w:rPr>
          <w:rFonts w:ascii="Open Sans" w:eastAsia="Open Sans" w:hAnsi="Open Sans" w:cs="Open Sans"/>
          <w:sz w:val="22"/>
          <w:szCs w:val="22"/>
          <w:lang w:val="es-ES"/>
        </w:rPr>
        <w:t xml:space="preserve">. Con el </w:t>
      </w:r>
      <w:proofErr w:type="spellStart"/>
      <w:r w:rsidRPr="000D180B">
        <w:rPr>
          <w:rFonts w:ascii="Open Sans" w:eastAsia="Open Sans" w:hAnsi="Open Sans" w:cs="Open Sans"/>
          <w:sz w:val="22"/>
          <w:szCs w:val="22"/>
          <w:lang w:val="es-ES"/>
        </w:rPr>
        <w:t>marketplace</w:t>
      </w:r>
      <w:proofErr w:type="spellEnd"/>
      <w:r w:rsidRPr="000D180B">
        <w:rPr>
          <w:rFonts w:ascii="Open Sans" w:eastAsia="Open Sans" w:hAnsi="Open Sans" w:cs="Open Sans"/>
          <w:sz w:val="22"/>
          <w:szCs w:val="22"/>
          <w:lang w:val="es-ES"/>
        </w:rPr>
        <w:t xml:space="preserve"> </w:t>
      </w:r>
      <w:hyperlink r:id="rId21" w:history="1">
        <w:r w:rsidRPr="000D180B">
          <w:rPr>
            <w:rStyle w:val="Hipervnculo"/>
            <w:rFonts w:ascii="Open Sans" w:eastAsia="Open Sans" w:hAnsi="Open Sans" w:cs="Open Sans"/>
            <w:sz w:val="22"/>
            <w:szCs w:val="22"/>
            <w:lang w:val="es-ES"/>
          </w:rPr>
          <w:t>ImmoScout24</w:t>
        </w:r>
      </w:hyperlink>
      <w:r w:rsidRPr="000D180B">
        <w:rPr>
          <w:rFonts w:ascii="Open Sans" w:eastAsia="Open Sans" w:hAnsi="Open Sans" w:cs="Open Sans"/>
          <w:sz w:val="22"/>
          <w:szCs w:val="22"/>
          <w:lang w:val="es-ES"/>
        </w:rPr>
        <w:t xml:space="preserve">, especializado en el sector residencial y comercial, conectamos con éxito a propietarios, agentes inmobiliarios, inquilinos y compradores desde hace más de 25 años. </w:t>
      </w:r>
    </w:p>
    <w:p w14:paraId="22BF3C20" w14:textId="77777777" w:rsidR="00DC3BFB" w:rsidRDefault="00DC3BFB" w:rsidP="001920AB">
      <w:pPr>
        <w:pBdr>
          <w:top w:val="nil"/>
          <w:left w:val="nil"/>
          <w:bottom w:val="nil"/>
          <w:right w:val="nil"/>
          <w:between w:val="nil"/>
        </w:pBdr>
        <w:spacing w:line="276" w:lineRule="auto"/>
        <w:ind w:right="-284"/>
        <w:jc w:val="both"/>
        <w:rPr>
          <w:rFonts w:ascii="Open Sans" w:eastAsia="Open Sans" w:hAnsi="Open Sans" w:cs="Open Sans"/>
          <w:sz w:val="22"/>
          <w:szCs w:val="22"/>
          <w:lang w:val="es-ES"/>
        </w:rPr>
      </w:pPr>
    </w:p>
    <w:p w14:paraId="1D726E65" w14:textId="77777777" w:rsidR="00DC3BFB" w:rsidRPr="000D180B" w:rsidRDefault="00DC3BFB" w:rsidP="001920AB">
      <w:pPr>
        <w:pBdr>
          <w:top w:val="nil"/>
          <w:left w:val="nil"/>
          <w:bottom w:val="nil"/>
          <w:right w:val="nil"/>
          <w:between w:val="nil"/>
        </w:pBdr>
        <w:spacing w:line="276" w:lineRule="auto"/>
        <w:ind w:right="-284"/>
        <w:jc w:val="both"/>
        <w:rPr>
          <w:rFonts w:ascii="Open Sans" w:eastAsia="Open Sans" w:hAnsi="Open Sans" w:cs="Open Sans"/>
          <w:sz w:val="22"/>
          <w:szCs w:val="22"/>
          <w:lang w:val="es-ES"/>
        </w:rPr>
      </w:pPr>
      <w:r w:rsidRPr="000D180B">
        <w:rPr>
          <w:rFonts w:ascii="Open Sans" w:eastAsia="Open Sans" w:hAnsi="Open Sans" w:cs="Open Sans"/>
          <w:sz w:val="22"/>
          <w:szCs w:val="22"/>
          <w:lang w:val="es-ES"/>
        </w:rPr>
        <w:t xml:space="preserve">Con aproximadamente 19 millones de usuarios al mes en su web o aplicación, </w:t>
      </w:r>
      <w:r w:rsidRPr="000D180B">
        <w:rPr>
          <w:rFonts w:ascii="Open Sans" w:eastAsia="Open Sans" w:hAnsi="Open Sans" w:cs="Open Sans"/>
          <w:b/>
          <w:bCs/>
          <w:sz w:val="22"/>
          <w:szCs w:val="22"/>
          <w:lang w:val="es-ES"/>
        </w:rPr>
        <w:t>ImmoScout24 es el líder del mercado en listados y búsqueda inmobiliaria digital</w:t>
      </w:r>
      <w:r w:rsidRPr="000D180B">
        <w:rPr>
          <w:rFonts w:ascii="Open Sans" w:eastAsia="Open Sans" w:hAnsi="Open Sans" w:cs="Open Sans"/>
          <w:sz w:val="22"/>
          <w:szCs w:val="22"/>
          <w:lang w:val="es-E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A01D934" w14:textId="77777777" w:rsidR="00DC3BFB" w:rsidRPr="00D46246" w:rsidRDefault="00DC3BFB" w:rsidP="001920AB">
      <w:pPr>
        <w:spacing w:line="276" w:lineRule="auto"/>
        <w:ind w:right="-284"/>
        <w:rPr>
          <w:rFonts w:ascii="Open Sans" w:eastAsia="Open Sans" w:hAnsi="Open Sans" w:cs="Open Sans"/>
          <w:lang w:val="es-ES"/>
        </w:rPr>
      </w:pPr>
    </w:p>
    <w:p w14:paraId="43F688CA" w14:textId="77777777" w:rsidR="00DC3BFB" w:rsidRDefault="00DC3BFB" w:rsidP="001920AB">
      <w:pPr>
        <w:spacing w:line="276" w:lineRule="auto"/>
        <w:ind w:right="-284"/>
        <w:rPr>
          <w:rFonts w:ascii="Open Sans Light" w:eastAsia="Open Sans Light" w:hAnsi="Open Sans Light" w:cs="Open Sans Light"/>
          <w:b/>
          <w:bCs/>
          <w:color w:val="303AB2"/>
          <w:sz w:val="22"/>
          <w:szCs w:val="22"/>
        </w:rPr>
      </w:pPr>
    </w:p>
    <w:p w14:paraId="63EA929C" w14:textId="77777777" w:rsidR="00DC3BFB" w:rsidRDefault="00DC3BFB" w:rsidP="001920AB">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90753B9" w14:textId="77777777" w:rsidR="00DC3BFB" w:rsidRDefault="00DC3BFB" w:rsidP="001920AB">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923AD02" w14:textId="77777777" w:rsidR="00DC3BFB" w:rsidRDefault="00DC3BFB" w:rsidP="001920AB">
      <w:pPr>
        <w:shd w:val="clear" w:color="auto" w:fill="FFFFFF"/>
        <w:spacing w:line="276" w:lineRule="auto"/>
        <w:ind w:right="-284"/>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18B10689" w14:textId="77777777" w:rsidR="00DC3BFB" w:rsidRDefault="00DC3BFB" w:rsidP="001920AB">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5513887" w14:textId="6F935100" w:rsidR="009F7F41" w:rsidRDefault="009F7F41" w:rsidP="00DC3BFB">
      <w:pPr>
        <w:spacing w:line="276" w:lineRule="auto"/>
        <w:jc w:val="right"/>
        <w:rPr>
          <w:rFonts w:ascii="Open Sans" w:eastAsia="Open Sans" w:hAnsi="Open Sans" w:cs="Open Sans"/>
          <w:color w:val="000000"/>
          <w:sz w:val="22"/>
          <w:szCs w:val="22"/>
        </w:rPr>
      </w:pPr>
    </w:p>
    <w:sectPr w:rsidR="009F7F41">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BDEA1" w14:textId="77777777" w:rsidR="00CA6992" w:rsidRDefault="00CA6992">
      <w:r>
        <w:separator/>
      </w:r>
    </w:p>
  </w:endnote>
  <w:endnote w:type="continuationSeparator" w:id="0">
    <w:p w14:paraId="6F32918E" w14:textId="77777777" w:rsidR="00CA6992" w:rsidRDefault="00CA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AB4A46-AFA1-420B-9C22-E803183A94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BFF93E-5217-4A8B-AAE0-57829D376177}"/>
    <w:embedBold r:id="rId3" w:fontKey="{FFAE8235-3013-492B-AE18-8F91239D2B1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27FA3FA-9980-489E-805E-77EFF256BD31}"/>
  </w:font>
  <w:font w:name="Georgia">
    <w:panose1 w:val="02040502050405020303"/>
    <w:charset w:val="00"/>
    <w:family w:val="roman"/>
    <w:pitch w:val="variable"/>
    <w:sig w:usb0="00000287" w:usb1="00000000" w:usb2="00000000" w:usb3="00000000" w:csb0="0000009F" w:csb1="00000000"/>
    <w:embedItalic r:id="rId5" w:fontKey="{864DBB51-FA2B-4451-9B15-12932C3F1EF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55599DDD-B204-4B8C-B91B-6F06987558DC}"/>
    <w:embedBold r:id="rId7" w:fontKey="{8E4155C4-8103-45CF-89CF-7AD336E17956}"/>
    <w:embedItalic r:id="rId8" w:fontKey="{1D7FA0E1-3353-4F08-B13B-6F0DEB13EAD1}"/>
    <w:embedBoldItalic r:id="rId9" w:fontKey="{4F34DA82-BA91-4207-A8D6-56A7B43D8C3D}"/>
  </w:font>
  <w:font w:name="Open Sans Light">
    <w:charset w:val="00"/>
    <w:family w:val="swiss"/>
    <w:pitch w:val="variable"/>
    <w:sig w:usb0="E00002EF" w:usb1="4000205B" w:usb2="00000028" w:usb3="00000000" w:csb0="0000019F" w:csb1="00000000"/>
    <w:embedBold r:id="rId10" w:fontKey="{B5DA0C05-B322-45A4-865D-1B19A1AA4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BEA8" w14:textId="77777777" w:rsidR="009F7F4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623AA1" wp14:editId="186FF9AC">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F0EC2" w14:textId="77777777" w:rsidR="00CA6992" w:rsidRDefault="00CA6992">
      <w:r>
        <w:separator/>
      </w:r>
    </w:p>
  </w:footnote>
  <w:footnote w:type="continuationSeparator" w:id="0">
    <w:p w14:paraId="71A7F9B3" w14:textId="77777777" w:rsidR="00CA6992" w:rsidRDefault="00CA6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A6206"/>
    <w:multiLevelType w:val="multilevel"/>
    <w:tmpl w:val="574A1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025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41"/>
    <w:rsid w:val="001920AB"/>
    <w:rsid w:val="004C1DFE"/>
    <w:rsid w:val="00597A27"/>
    <w:rsid w:val="0071454A"/>
    <w:rsid w:val="007B4890"/>
    <w:rsid w:val="009F7459"/>
    <w:rsid w:val="009F7F41"/>
    <w:rsid w:val="00A57CD8"/>
    <w:rsid w:val="00BE4A8B"/>
    <w:rsid w:val="00CA6992"/>
    <w:rsid w:val="00DC3B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400D"/>
  <w15:docId w15:val="{66554267-CF48-46ED-A5E9-774F35AF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https://www.immobilienscout24.de/"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303_Parkings/fotocasa-Incremento%20precio%20viviendas%20con%20garajes%20venta-febrero20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Gráfica!$F$6</c:f>
              <c:strCache>
                <c:ptCount val="1"/>
                <c:pt idx="0">
                  <c:v>Incremento (%)</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Gráfica!$A$7:$A$18</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Gráfica!$F$7:$F$18</c:f>
              <c:numCache>
                <c:formatCode>0.0%</c:formatCode>
                <c:ptCount val="12"/>
                <c:pt idx="0">
                  <c:v>9.8205164513321452E-2</c:v>
                </c:pt>
                <c:pt idx="1">
                  <c:v>0.10520416752634844</c:v>
                </c:pt>
                <c:pt idx="2">
                  <c:v>9.824121555683081E-2</c:v>
                </c:pt>
                <c:pt idx="3">
                  <c:v>8.4759531070419475E-2</c:v>
                </c:pt>
                <c:pt idx="4">
                  <c:v>7.3985734494025041E-2</c:v>
                </c:pt>
                <c:pt idx="5">
                  <c:v>7.2054606276995128E-2</c:v>
                </c:pt>
                <c:pt idx="6">
                  <c:v>7.0851945589359991E-2</c:v>
                </c:pt>
                <c:pt idx="7">
                  <c:v>6.5590474434287754E-2</c:v>
                </c:pt>
                <c:pt idx="8">
                  <c:v>6.7289832767581506E-2</c:v>
                </c:pt>
                <c:pt idx="9">
                  <c:v>7.4413154208012741E-2</c:v>
                </c:pt>
                <c:pt idx="10">
                  <c:v>7.4881904328277571E-2</c:v>
                </c:pt>
                <c:pt idx="11">
                  <c:v>5.9464922569971733E-2</c:v>
                </c:pt>
              </c:numCache>
            </c:numRef>
          </c:val>
          <c:extLst>
            <c:ext xmlns:c16="http://schemas.microsoft.com/office/drawing/2014/chart" uri="{C3380CC4-5D6E-409C-BE32-E72D297353CC}">
              <c16:uniqueId val="{00000000-19F9-4C22-82B6-695BE9AE3456}"/>
            </c:ext>
          </c:extLst>
        </c:ser>
        <c:dLbls>
          <c:showLegendKey val="0"/>
          <c:showVal val="0"/>
          <c:showCatName val="0"/>
          <c:showSerName val="0"/>
          <c:showPercent val="0"/>
          <c:showBubbleSize val="0"/>
        </c:dLbls>
        <c:gapWidth val="219"/>
        <c:axId val="755028768"/>
        <c:axId val="755029248"/>
      </c:barChart>
      <c:catAx>
        <c:axId val="755028768"/>
        <c:scaling>
          <c:orientation val="minMax"/>
        </c:scaling>
        <c:delete val="0"/>
        <c:axPos val="b"/>
        <c:numFmt formatCode="General" sourceLinked="1"/>
        <c:majorTickMark val="cross"/>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S"/>
          </a:p>
        </c:txPr>
        <c:crossAx val="755029248"/>
        <c:crosses val="autoZero"/>
        <c:auto val="1"/>
        <c:lblAlgn val="ctr"/>
        <c:lblOffset val="100"/>
        <c:noMultiLvlLbl val="0"/>
      </c:catAx>
      <c:valAx>
        <c:axId val="755029248"/>
        <c:scaling>
          <c:orientation val="minMax"/>
        </c:scaling>
        <c:delete val="1"/>
        <c:axPos val="l"/>
        <c:numFmt formatCode="0.0%" sourceLinked="1"/>
        <c:majorTickMark val="none"/>
        <c:minorTickMark val="none"/>
        <c:tickLblPos val="nextTo"/>
        <c:crossAx val="755028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V/tpuBkNjD7Ws1pWVN54z2F1w==">CgMxLjA4AHIhMWlHU0xqR3E3dXpGVTljTkQ3enl2c3BxdE0zWS1IMWZT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1990</Words>
  <Characters>10946</Characters>
  <Application>Microsoft Office Word</Application>
  <DocSecurity>0</DocSecurity>
  <Lines>91</Lines>
  <Paragraphs>25</Paragraphs>
  <ScaleCrop>false</ScaleCrop>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Anais Garcia Lopez</cp:lastModifiedBy>
  <cp:revision>7</cp:revision>
  <cp:lastPrinted>2026-03-16T09:29:00Z</cp:lastPrinted>
  <dcterms:created xsi:type="dcterms:W3CDTF">2024-02-06T13:46:00Z</dcterms:created>
  <dcterms:modified xsi:type="dcterms:W3CDTF">2026-03-16T09:35:00Z</dcterms:modified>
</cp:coreProperties>
</file>