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National" w:cs="National" w:eastAsia="National" w:hAnsi="National"/>
          <w:b w:val="1"/>
          <w:bCs w:val="1"/>
          <w:color w:val="303ab2"/>
          <w:sz w:val="56"/>
          <w:szCs w:val="56"/>
        </w:rPr>
      </w:pPr>
      <w:r w:rsidDel="00000000" w:rsidR="00000000" w:rsidRPr="00000000">
        <w:rPr>
          <w:rFonts w:ascii="National" w:cs="National" w:eastAsia="National" w:hAnsi="National"/>
          <w:b w:val="1"/>
          <w:bCs w:val="1"/>
          <w:color w:val="303ab2"/>
          <w:sz w:val="56"/>
          <w:szCs w:val="56"/>
          <w:rtl w:val="0"/>
        </w:rPr>
        <w:t xml:space="preserve">“Las compraventas se mantienen en niveles elevados a las puertas de un cambio de ciclo"</w:t>
      </w:r>
    </w:p>
    <w:p w:rsidR="00000000" w:rsidDel="00000000" w:rsidP="00000000" w:rsidRDefault="00000000" w:rsidRPr="00000000" w14:paraId="00000002">
      <w:pPr>
        <w:spacing w:line="240" w:lineRule="auto"/>
        <w:jc w:val="center"/>
        <w:rPr>
          <w:rFonts w:ascii="National" w:cs="National" w:eastAsia="National" w:hAnsi="National"/>
          <w:b w:val="1"/>
          <w:bCs w:val="1"/>
          <w:color w:val="303ab2"/>
          <w:sz w:val="56"/>
          <w:szCs w:val="5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23 de abril de 2026</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sz w:val="21"/>
          <w:szCs w:val="21"/>
          <w:highlight w:val="white"/>
        </w:rPr>
      </w:pPr>
      <w:r w:rsidDel="00000000" w:rsidR="00000000" w:rsidRPr="00000000">
        <w:rPr>
          <w:rFonts w:ascii="Open Sans" w:cs="Open Sans" w:eastAsia="Open Sans" w:hAnsi="Open Sans"/>
          <w:sz w:val="21"/>
          <w:szCs w:val="21"/>
          <w:rtl w:val="0"/>
        </w:rPr>
        <w:t xml:space="preserve">El dato de transacciones inmobiliarias correspondientes al segundo mes de 2026 dado a conocer hoy por el INE refleja un ascenso mensual del </w:t>
      </w:r>
      <w:r w:rsidDel="00000000" w:rsidR="00000000" w:rsidRPr="00000000">
        <w:rPr>
          <w:rFonts w:ascii="Open Sans" w:cs="Open Sans" w:eastAsia="Open Sans" w:hAnsi="Open Sans"/>
          <w:sz w:val="21"/>
          <w:szCs w:val="21"/>
          <w:highlight w:val="white"/>
          <w:rtl w:val="0"/>
        </w:rPr>
        <w:t xml:space="preserve">3,8%</w:t>
      </w:r>
      <w:r w:rsidDel="00000000" w:rsidR="00000000" w:rsidRPr="00000000">
        <w:rPr>
          <w:rFonts w:ascii="Open Sans" w:cs="Open Sans" w:eastAsia="Open Sans" w:hAnsi="Open Sans"/>
          <w:sz w:val="21"/>
          <w:szCs w:val="21"/>
          <w:rtl w:val="0"/>
        </w:rPr>
        <w:t xml:space="preserve"> y un descenso interanual del </w:t>
      </w:r>
      <w:r w:rsidDel="00000000" w:rsidR="00000000" w:rsidRPr="00000000">
        <w:rPr>
          <w:rFonts w:ascii="Open Sans" w:cs="Open Sans" w:eastAsia="Open Sans" w:hAnsi="Open Sans"/>
          <w:sz w:val="21"/>
          <w:szCs w:val="21"/>
          <w:highlight w:val="white"/>
          <w:rtl w:val="0"/>
        </w:rPr>
        <w:t xml:space="preserve">0,5%. “E</w:t>
      </w:r>
      <w:r w:rsidDel="00000000" w:rsidR="00000000" w:rsidRPr="00000000">
        <w:rPr>
          <w:rFonts w:ascii="Open Sans" w:cs="Open Sans" w:eastAsia="Open Sans" w:hAnsi="Open Sans"/>
          <w:sz w:val="21"/>
          <w:szCs w:val="21"/>
          <w:rtl w:val="0"/>
        </w:rPr>
        <w:t xml:space="preserve">l mercado de la vivienda mantiene un notable dinamismo, con un volumen de compraventas muy elevado que prolonga la inercia positiva iniciada en 2025. Aunque</w:t>
      </w:r>
      <w:r w:rsidDel="00000000" w:rsidR="00000000" w:rsidRPr="00000000">
        <w:rPr>
          <w:rFonts w:ascii="Open Sans" w:cs="Open Sans" w:eastAsia="Open Sans" w:hAnsi="Open Sans"/>
          <w:b w:val="1"/>
          <w:bCs w:val="1"/>
          <w:sz w:val="21"/>
          <w:szCs w:val="21"/>
          <w:rtl w:val="0"/>
        </w:rPr>
        <w:t xml:space="preserve"> </w:t>
      </w:r>
      <w:r w:rsidDel="00000000" w:rsidR="00000000" w:rsidRPr="00000000">
        <w:rPr>
          <w:rFonts w:ascii="Open Sans" w:cs="Open Sans" w:eastAsia="Open Sans" w:hAnsi="Open Sans"/>
          <w:sz w:val="21"/>
          <w:szCs w:val="21"/>
          <w:highlight w:val="white"/>
          <w:rtl w:val="0"/>
        </w:rPr>
        <w:t xml:space="preserve">es importante tener en cuenta el efecto estacional propio del mes de febrero, que </w:t>
      </w:r>
      <w:r w:rsidDel="00000000" w:rsidR="00000000" w:rsidRPr="00000000">
        <w:rPr>
          <w:rFonts w:ascii="Open Sans" w:cs="Open Sans" w:eastAsia="Open Sans" w:hAnsi="Open Sans"/>
          <w:b w:val="1"/>
          <w:bCs w:val="1"/>
          <w:sz w:val="21"/>
          <w:szCs w:val="21"/>
          <w:highlight w:val="white"/>
          <w:rtl w:val="0"/>
        </w:rPr>
        <w:t xml:space="preserve">recoge parte de las compraventas que no se formalizaron durante las primeras semanas de enero</w:t>
      </w:r>
      <w:r w:rsidDel="00000000" w:rsidR="00000000" w:rsidRPr="00000000">
        <w:rPr>
          <w:rFonts w:ascii="Open Sans" w:cs="Open Sans" w:eastAsia="Open Sans" w:hAnsi="Open Sans"/>
          <w:sz w:val="21"/>
          <w:szCs w:val="21"/>
          <w:highlight w:val="white"/>
          <w:rtl w:val="0"/>
        </w:rPr>
        <w:t xml:space="preserve">, un periodo marcado por la menor actividad derivada de las fiestas navideñas. Por tanto, el dato de febrero no solo refleja el pulso real del mercado, sino también este efecto arrastre que concentra operaciones pendientes</w:t>
      </w:r>
      <w:r w:rsidDel="00000000" w:rsidR="00000000" w:rsidRPr="00000000">
        <w:rPr>
          <w:rFonts w:ascii="Open Sans" w:cs="Open Sans" w:eastAsia="Open Sans" w:hAnsi="Open Sans"/>
          <w:sz w:val="21"/>
          <w:szCs w:val="21"/>
          <w:rtl w:val="0"/>
        </w:rPr>
        <w:t xml:space="preserve">”, explica María Matos, directora de Estudios </w:t>
      </w:r>
      <w:r w:rsidDel="00000000" w:rsidR="00000000" w:rsidRPr="00000000">
        <w:rPr>
          <w:rFonts w:ascii="Open Sans" w:cs="Open Sans" w:eastAsia="Open Sans" w:hAnsi="Open Sans"/>
          <w:sz w:val="21"/>
          <w:szCs w:val="21"/>
          <w:highlight w:val="white"/>
          <w:rtl w:val="0"/>
        </w:rPr>
        <w:t xml:space="preserve">de </w:t>
      </w:r>
      <w:hyperlink r:id="rId7">
        <w:r w:rsidDel="00000000" w:rsidR="00000000" w:rsidRPr="00000000">
          <w:rPr>
            <w:rFonts w:ascii="Open Sans" w:cs="Open Sans" w:eastAsia="Open Sans" w:hAnsi="Open Sans"/>
            <w:color w:val="1155cc"/>
            <w:sz w:val="21"/>
            <w:szCs w:val="21"/>
            <w:highlight w:val="white"/>
            <w:u w:val="single"/>
            <w:rtl w:val="0"/>
          </w:rPr>
          <w:t xml:space="preserve">Fotocasa</w:t>
        </w:r>
      </w:hyperlink>
      <w:r w:rsidDel="00000000" w:rsidR="00000000" w:rsidRPr="00000000">
        <w:rPr>
          <w:rFonts w:ascii="Open Sans" w:cs="Open Sans" w:eastAsia="Open Sans" w:hAnsi="Open Sans"/>
          <w:sz w:val="21"/>
          <w:szCs w:val="21"/>
          <w:highlight w:val="white"/>
          <w:rtl w:val="0"/>
        </w:rPr>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sz w:val="21"/>
          <w:szCs w:val="21"/>
          <w:highlight w:val="white"/>
          <w:rtl w:val="0"/>
        </w:rPr>
        <w:t xml:space="preserve">“Febrero ha registrado 59.689 compraventas, lo que confirma que el mercado se mantiene en niveles muy elevados de actividad, cercano al umbral de las 60.000 transacciones mensuales que ha caracterizado el ciclo más reciente. A pesar de que el sector ha entrado en una fase de normalización tras los máximos del pasado ejercicio, la demanda sigue mostrando una fortaleza extraordinaria”, asegura María Matos, portavoz de </w:t>
      </w:r>
      <w:hyperlink r:id="rId8">
        <w:r w:rsidDel="00000000" w:rsidR="00000000" w:rsidRPr="00000000">
          <w:rPr>
            <w:rFonts w:ascii="Open Sans" w:cs="Open Sans" w:eastAsia="Open Sans" w:hAnsi="Open Sans"/>
            <w:color w:val="1155cc"/>
            <w:sz w:val="21"/>
            <w:szCs w:val="21"/>
            <w:highlight w:val="white"/>
            <w:u w:val="single"/>
            <w:rtl w:val="0"/>
          </w:rPr>
          <w:t xml:space="preserve">Fotocasa</w:t>
        </w:r>
      </w:hyperlink>
      <w:r w:rsidDel="00000000" w:rsidR="00000000" w:rsidRPr="00000000">
        <w:rPr>
          <w:rFonts w:ascii="Open Sans" w:cs="Open Sans" w:eastAsia="Open Sans" w:hAnsi="Open Sans"/>
          <w:sz w:val="21"/>
          <w:szCs w:val="21"/>
          <w:highlight w:val="white"/>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color w:val="303ab2"/>
          <w:sz w:val="26"/>
          <w:szCs w:val="26"/>
          <w:rtl w:val="0"/>
        </w:rPr>
        <w:t xml:space="preserve">Normalización tras máximos y cambio de ciclo hipotecario</w:t>
      </w:r>
      <w:r w:rsidDel="00000000" w:rsidR="00000000" w:rsidRPr="00000000">
        <w:rPr>
          <w:rtl w:val="0"/>
        </w:rPr>
      </w:r>
    </w:p>
    <w:p w:rsidR="00000000" w:rsidDel="00000000" w:rsidP="00000000" w:rsidRDefault="00000000" w:rsidRPr="00000000" w14:paraId="00000007">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factor que empuja estos altos volúmenes es la mejora de las condiciones de financiación. Desde el impacto de la bajada de tipos iniciada en junio de 2024, el entorno hipotecario favorable ha permitido reactivar una parte muy relevante de la demanda que había quedado fuera del mercado. De hecho, el crédito continúa siendo el principal motor de este nivel de operaciones” señala la portavoz de </w:t>
      </w:r>
      <w:hyperlink r:id="rId9">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8">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“Sin embargo, debemos de tener en cuenta que tras un 2025 que marcó cifras récord de compraventas, el mercado se encuentra en un proceso de </w:t>
      </w:r>
      <w:r w:rsidDel="00000000" w:rsidR="00000000" w:rsidRPr="00000000">
        <w:rPr>
          <w:rFonts w:ascii="Open Sans" w:cs="Open Sans" w:eastAsia="Open Sans" w:hAnsi="Open Sans"/>
          <w:b w:val="1"/>
          <w:bCs w:val="1"/>
          <w:sz w:val="21"/>
          <w:szCs w:val="21"/>
          <w:rtl w:val="0"/>
        </w:rPr>
        <w:t xml:space="preserve">normalización tras máximos, en el que el volumen de operaciones seguirá siendo elevado, pero con un crecimiento más moderado</w:t>
      </w:r>
      <w:r w:rsidDel="00000000" w:rsidR="00000000" w:rsidRPr="00000000">
        <w:rPr>
          <w:rFonts w:ascii="Open Sans" w:cs="Open Sans" w:eastAsia="Open Sans" w:hAnsi="Open Sans"/>
          <w:sz w:val="21"/>
          <w:szCs w:val="21"/>
          <w:rtl w:val="0"/>
        </w:rPr>
        <w:t xml:space="preserve">. Se trata de una estabilización habitual después de niveles muy altos de actividad”, prevé la directora de Estudios.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paralelo, estamos a las puertas de un </w:t>
      </w:r>
      <w:r w:rsidDel="00000000" w:rsidR="00000000" w:rsidRPr="00000000">
        <w:rPr>
          <w:rFonts w:ascii="Open Sans" w:cs="Open Sans" w:eastAsia="Open Sans" w:hAnsi="Open Sans"/>
          <w:b w:val="1"/>
          <w:bCs w:val="1"/>
          <w:sz w:val="21"/>
          <w:szCs w:val="21"/>
          <w:rtl w:val="0"/>
        </w:rPr>
        <w:t xml:space="preserve">cambio de ciclo impulsado por el mercado hipotecario que comienza a mostrar ciertos ajustes</w:t>
      </w:r>
      <w:r w:rsidDel="00000000" w:rsidR="00000000" w:rsidRPr="00000000">
        <w:rPr>
          <w:rFonts w:ascii="Open Sans" w:cs="Open Sans" w:eastAsia="Open Sans" w:hAnsi="Open Sans"/>
          <w:sz w:val="21"/>
          <w:szCs w:val="21"/>
          <w:rtl w:val="0"/>
        </w:rPr>
        <w:t xml:space="preserve">. Tras un año de intensa competencia bancaria, las entidades están evolucionando hacia una posición más prudente, con productos más equilibrados y adaptados a un entorno de mayor estabilidad monetaria. Este cambio podría traducirse en una ligera moderación del ritmo de concesión de hipotecas en los próximos meses”, añade María Matos.</w:t>
      </w:r>
    </w:p>
    <w:p w:rsidR="00000000" w:rsidDel="00000000" w:rsidP="00000000" w:rsidRDefault="00000000" w:rsidRPr="00000000" w14:paraId="0000000A">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La vivienda de obra nueva supone más del 20% de las ventas</w:t>
      </w:r>
    </w:p>
    <w:p w:rsidR="00000000" w:rsidDel="00000000" w:rsidP="00000000" w:rsidRDefault="00000000" w:rsidRPr="00000000" w14:paraId="0000000B">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Uno de los datos más relevantes es el de las operaciones sobre </w:t>
      </w:r>
      <w:r w:rsidDel="00000000" w:rsidR="00000000" w:rsidRPr="00000000">
        <w:rPr>
          <w:rFonts w:ascii="Open Sans" w:cs="Open Sans" w:eastAsia="Open Sans" w:hAnsi="Open Sans"/>
          <w:b w:val="1"/>
          <w:bCs w:val="1"/>
          <w:sz w:val="21"/>
          <w:szCs w:val="21"/>
          <w:rtl w:val="0"/>
        </w:rPr>
        <w:t xml:space="preserve">viviendas nuevas que reflejan un incremento interanual del 13% y han supuesto 13.808 compraventas, un 23% del total de las compraventas. </w:t>
      </w:r>
      <w:r w:rsidDel="00000000" w:rsidR="00000000" w:rsidRPr="00000000">
        <w:rPr>
          <w:rFonts w:ascii="Open Sans" w:cs="Open Sans" w:eastAsia="Open Sans" w:hAnsi="Open Sans"/>
          <w:sz w:val="21"/>
          <w:szCs w:val="21"/>
          <w:rtl w:val="0"/>
        </w:rPr>
        <w:t xml:space="preserve">“La obra nueva sigue siendo altamente atractiva porque responde mejor a las nuevas prioridades del comprador: eficiencia energética, espacios abiertos y calidad constructiva. De hecho, el 20% de los compradores declara querer exclusivamente vivienda nueva y hasta un 65% se ha planteado esta opción en algún momento del proceso”, señala la portavoz.</w:t>
      </w:r>
    </w:p>
    <w:p w:rsidR="00000000" w:rsidDel="00000000" w:rsidP="00000000" w:rsidRDefault="00000000" w:rsidRPr="00000000" w14:paraId="0000000C">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“Sin embargo, la elevada presión de la demanda sobre un volumen productivo insuficiente mantiene la tensión en precios. La dificultad para encontrar suelo finalista, el encarecimiento de los costes de construcción, la escasez de mano de obra y la carga burocrática siguen limitando la capacidad de respuesta del sector promotor. Mientras no aumente de forma estructural la oferta, la presión al alza sobre los precios persistirá”, advierte Matos, explica la Directora de Estudios, María Matos. </w:t>
      </w:r>
    </w:p>
    <w:p w:rsidR="00000000" w:rsidDel="00000000" w:rsidP="00000000" w:rsidRDefault="00000000" w:rsidRPr="00000000" w14:paraId="0000000D">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Previsiones para el primer semestre de 2026</w:t>
      </w:r>
    </w:p>
    <w:p w:rsidR="00000000" w:rsidDel="00000000" w:rsidP="00000000" w:rsidRDefault="00000000" w:rsidRPr="00000000" w14:paraId="0000000E">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condicionado, en gran medida, por la evolución de los tipos de interés y del Euríbor. El entorno internacional introduce además un nuevo foco de incertidumbre. </w:t>
      </w:r>
      <w:r w:rsidDel="00000000" w:rsidR="00000000" w:rsidRPr="00000000">
        <w:rPr>
          <w:rFonts w:ascii="Open Sans" w:cs="Open Sans" w:eastAsia="Open Sans" w:hAnsi="Open Sans"/>
          <w:b w:val="1"/>
          <w:bCs w:val="1"/>
          <w:sz w:val="21"/>
          <w:szCs w:val="21"/>
          <w:rtl w:val="0"/>
        </w:rPr>
        <w:t xml:space="preserve">Las tensiones geopolíticas podrían derivar en un repunte inflacionista con impacto directo en el mercado inmobiliario</w:t>
      </w:r>
      <w:r w:rsidDel="00000000" w:rsidR="00000000" w:rsidRPr="00000000">
        <w:rPr>
          <w:rFonts w:ascii="Open Sans" w:cs="Open Sans" w:eastAsia="Open Sans" w:hAnsi="Open Sans"/>
          <w:sz w:val="21"/>
          <w:szCs w:val="21"/>
          <w:rtl w:val="0"/>
        </w:rPr>
        <w:t xml:space="preserve">. Un encarecimiento de los costes de construcción dificultaría la generación de nueva oferta y, en paralelo, un posible endurecimiento de la política monetaria por parte del BCE podría encarecer de nuevo la financiación, afectando especialmente a la demanda más dependiente del crédito, que en estos momentos representa al 75% de los compradores”, advierte María Matos, portavoz de Fotocasa.</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se aproxima al </w:t>
      </w:r>
      <w:r w:rsidDel="00000000" w:rsidR="00000000" w:rsidRPr="00000000">
        <w:rPr>
          <w:rFonts w:ascii="Open Sans" w:cs="Open Sans" w:eastAsia="Open Sans" w:hAnsi="Open Sans"/>
          <w:b w:val="1"/>
          <w:bCs w:val="1"/>
          <w:sz w:val="21"/>
          <w:szCs w:val="21"/>
          <w:rtl w:val="0"/>
        </w:rPr>
        <w:t xml:space="preserve">inicio de una fase de estabilización, no tanto por un posible deterioro de la financiación, como por el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explica la portavoz.</w:t>
      </w:r>
    </w:p>
    <w:p w:rsidR="00000000" w:rsidDel="00000000" w:rsidP="00000000" w:rsidRDefault="00000000" w:rsidRPr="00000000" w14:paraId="00000010">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r w:rsidDel="00000000" w:rsidR="00000000" w:rsidRPr="00000000">
        <w:rPr>
          <w:rtl w:val="0"/>
        </w:rPr>
      </w:r>
    </w:p>
    <w:p w:rsidR="00000000" w:rsidDel="00000000" w:rsidP="00000000" w:rsidRDefault="00000000" w:rsidRPr="00000000" w14:paraId="00000011">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tl w:val="0"/>
        </w:rPr>
      </w:r>
    </w:p>
    <w:p w:rsidR="00000000" w:rsidDel="00000000" w:rsidP="00000000" w:rsidRDefault="00000000" w:rsidRPr="00000000" w14:paraId="00000012">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3">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0">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6">
      <w:pPr>
        <w:shd w:fill="ffffff" w:val="clear"/>
        <w:ind w:right="-7"/>
        <w:jc w:val="right"/>
        <w:rPr>
          <w:rFonts w:ascii="Open Sans" w:cs="Open Sans" w:eastAsia="Open Sans" w:hAnsi="Open Sans"/>
          <w:sz w:val="21"/>
          <w:szCs w:val="21"/>
        </w:rPr>
      </w:pPr>
      <w:hyperlink r:id="rId11">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7">
      <w:pPr>
        <w:shd w:fill="ffffff" w:val="clear"/>
        <w:ind w:right="-7"/>
        <w:jc w:val="right"/>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-1916385</wp:posOffset>
          </wp:positionH>
          <wp:positionV relativeFrom="paragraph">
            <wp:posOffset>304800</wp:posOffset>
          </wp:positionV>
          <wp:extent cx="8620125" cy="44767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-339724</wp:posOffset>
          </wp:positionV>
          <wp:extent cx="7711147" cy="1037167"/>
          <wp:effectExtent b="0" l="0" r="0" t="0"/>
          <wp:wrapSquare wrapText="bothSides" distB="0" distT="0" distL="0" distR="0"/>
          <wp:docPr descr="Patrón de fondo&#10;&#10;El contenido generado por IA puede ser incorrecto." id="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prensa.fotocasa.es" TargetMode="External"/><Relationship Id="rId10" Type="http://schemas.openxmlformats.org/officeDocument/2006/relationships/hyperlink" Target="http://comunicacion@fotocas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5bdtr67Nhkbkk2mYzitILoRXzg==">CgMxLjA4AHIhMWNwWXU0bV9HTVBoTTlWaUZzU21hbEtlSldqTUZiRkpm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