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ffffff" w:val="clear"/>
        <w:spacing w:after="225" w:lineRule="auto"/>
        <w:ind w:right="-135"/>
        <w:jc w:val="center"/>
        <w:rPr>
          <w:rFonts w:ascii="Open Sans" w:cs="Open Sans" w:eastAsia="Open Sans" w:hAnsi="Open Sans"/>
          <w:b w:val="1"/>
          <w:bCs w:val="1"/>
          <w:color w:val="303ab2"/>
          <w:sz w:val="20"/>
          <w:szCs w:val="20"/>
        </w:rPr>
      </w:pPr>
      <w:r w:rsidDel="00000000" w:rsidR="00000000" w:rsidRPr="00000000">
        <w:rPr>
          <w:rFonts w:ascii="National" w:cs="National" w:eastAsia="National" w:hAnsi="National"/>
          <w:b w:val="1"/>
          <w:bCs w:val="1"/>
          <w:color w:val="303ab2"/>
          <w:sz w:val="50"/>
          <w:szCs w:val="50"/>
          <w:rtl w:val="0"/>
        </w:rPr>
        <w:t xml:space="preserve">“El mercado hipotecario sigue al alza mientras la banca ajusta condiciones”</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ffffff" w:val="clear"/>
        <w:spacing w:after="225" w:lineRule="auto"/>
        <w:ind w:right="-135"/>
        <w:jc w:val="center"/>
        <w:rPr>
          <w:rFonts w:ascii="Open Sans" w:cs="Open Sans" w:eastAsia="Open Sans" w:hAnsi="Open Sans"/>
          <w:b w:val="1"/>
          <w:bCs w:val="1"/>
          <w:color w:val="303ab2"/>
          <w:sz w:val="20"/>
          <w:szCs w:val="20"/>
        </w:rPr>
      </w:pPr>
      <w:r w:rsidDel="00000000" w:rsidR="00000000" w:rsidRPr="00000000">
        <w:rPr>
          <w:rtl w:val="0"/>
        </w:rPr>
      </w:r>
    </w:p>
    <w:p w:rsidR="00000000" w:rsidDel="00000000" w:rsidP="00000000" w:rsidRDefault="00000000" w:rsidRPr="00000000" w14:paraId="00000004">
      <w:pPr>
        <w:shd w:fill="ffffff" w:val="clear"/>
        <w:tabs>
          <w:tab w:val="left" w:leader="none" w:pos="142"/>
        </w:tabs>
        <w:spacing w:after="225" w:lineRule="auto"/>
        <w:jc w:val="both"/>
        <w:rPr>
          <w:rFonts w:ascii="Open Sans" w:cs="Open Sans" w:eastAsia="Open Sans" w:hAnsi="Open Sans"/>
          <w:b w:val="1"/>
          <w:bCs w:val="1"/>
          <w:color w:val="303ab2"/>
        </w:rPr>
      </w:pPr>
      <w:r w:rsidDel="00000000" w:rsidR="00000000" w:rsidRPr="00000000">
        <w:rPr>
          <w:rFonts w:ascii="Open Sans" w:cs="Open Sans" w:eastAsia="Open Sans" w:hAnsi="Open Sans"/>
          <w:b w:val="1"/>
          <w:bCs w:val="1"/>
          <w:color w:val="303ab2"/>
          <w:rtl w:val="0"/>
        </w:rPr>
        <w:t xml:space="preserve">Madrid, 24 de abril de 2026</w:t>
      </w:r>
    </w:p>
    <w:p w:rsidR="00000000" w:rsidDel="00000000" w:rsidP="00000000" w:rsidRDefault="00000000" w:rsidRPr="00000000" w14:paraId="00000005">
      <w:pPr>
        <w:shd w:fill="ffffff" w:val="clear"/>
        <w:tabs>
          <w:tab w:val="left" w:leader="none" w:pos="142"/>
        </w:tabs>
        <w:spacing w:after="225"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Los datos de constitución de hipotecas sobre vivienda correspondientes a febrero de 2026 publicados por el INE reflejan un ascenso mensual del 15,8% y una subida interanual del 16,3%, lo que confirma que el mercado hipotecario mantiene un fuerte dinamismo en el arranque del año. “Febrero consolida el impulso del mercado hipotecario, que </w:t>
      </w:r>
      <w:r w:rsidDel="00000000" w:rsidR="00000000" w:rsidRPr="00000000">
        <w:rPr>
          <w:rFonts w:ascii="Open Sans" w:cs="Open Sans" w:eastAsia="Open Sans" w:hAnsi="Open Sans"/>
          <w:b w:val="1"/>
          <w:bCs w:val="1"/>
          <w:sz w:val="21"/>
          <w:szCs w:val="21"/>
          <w:rtl w:val="0"/>
        </w:rPr>
        <w:t xml:space="preserve">continúa apoyado en unas condiciones de financiación todavía favorables y que siguen actuando como palanca de activación de la demanda</w:t>
      </w:r>
      <w:r w:rsidDel="00000000" w:rsidR="00000000" w:rsidRPr="00000000">
        <w:rPr>
          <w:rFonts w:ascii="Open Sans" w:cs="Open Sans" w:eastAsia="Open Sans" w:hAnsi="Open Sans"/>
          <w:sz w:val="21"/>
          <w:szCs w:val="21"/>
          <w:rtl w:val="0"/>
        </w:rPr>
        <w:t xml:space="preserve">. El crédito fluye con intensidad y se sitúa en niveles muy elevados, en línea con el dinamismo observado en el último año”, </w:t>
      </w:r>
      <w:r w:rsidDel="00000000" w:rsidR="00000000" w:rsidRPr="00000000">
        <w:rPr>
          <w:rFonts w:ascii="Open Sans" w:cs="Open Sans" w:eastAsia="Open Sans" w:hAnsi="Open Sans"/>
          <w:sz w:val="21"/>
          <w:szCs w:val="21"/>
          <w:rtl w:val="0"/>
        </w:rPr>
        <w:t xml:space="preserve">explica María Matos, directora de Estudios de </w:t>
      </w:r>
      <w:hyperlink r:id="rId7">
        <w:r w:rsidDel="00000000" w:rsidR="00000000" w:rsidRPr="00000000">
          <w:rPr>
            <w:rFonts w:ascii="Open Sans" w:cs="Open Sans" w:eastAsia="Open Sans" w:hAnsi="Open Sans"/>
            <w:color w:val="1155cc"/>
            <w:sz w:val="21"/>
            <w:szCs w:val="21"/>
            <w:u w:val="single"/>
            <w:rtl w:val="0"/>
          </w:rPr>
          <w:t xml:space="preserve">Fotocasa</w:t>
        </w:r>
      </w:hyperlink>
      <w:r w:rsidDel="00000000" w:rsidR="00000000" w:rsidRPr="00000000">
        <w:rPr>
          <w:rFonts w:ascii="Open Sans" w:cs="Open Sans" w:eastAsia="Open Sans" w:hAnsi="Open Sans"/>
          <w:sz w:val="21"/>
          <w:szCs w:val="21"/>
          <w:rtl w:val="0"/>
        </w:rPr>
        <w:t xml:space="preserve">. </w:t>
      </w:r>
    </w:p>
    <w:p w:rsidR="00000000" w:rsidDel="00000000" w:rsidP="00000000" w:rsidRDefault="00000000" w:rsidRPr="00000000" w14:paraId="00000006">
      <w:pPr>
        <w:shd w:fill="ffffff" w:val="clear"/>
        <w:tabs>
          <w:tab w:val="left" w:leader="none" w:pos="142"/>
        </w:tabs>
        <w:spacing w:after="225"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“En febrero se firmaron 45.563 operaciones hipotecarias, una cifra por encima de la media mensual habitual de 40.000 concesiones del pasado año. Este volumen refleja que el mercado sigue atravesando una </w:t>
      </w:r>
      <w:r w:rsidDel="00000000" w:rsidR="00000000" w:rsidRPr="00000000">
        <w:rPr>
          <w:rFonts w:ascii="Open Sans" w:cs="Open Sans" w:eastAsia="Open Sans" w:hAnsi="Open Sans"/>
          <w:b w:val="1"/>
          <w:bCs w:val="1"/>
          <w:sz w:val="21"/>
          <w:szCs w:val="21"/>
          <w:rtl w:val="0"/>
        </w:rPr>
        <w:t xml:space="preserve">fase expansiva, aprovechando el dulce momento antes de que el Banco Central Europeo suba los tipos de interés</w:t>
      </w:r>
      <w:r w:rsidDel="00000000" w:rsidR="00000000" w:rsidRPr="00000000">
        <w:rPr>
          <w:rFonts w:ascii="Open Sans" w:cs="Open Sans" w:eastAsia="Open Sans" w:hAnsi="Open Sans"/>
          <w:sz w:val="21"/>
          <w:szCs w:val="21"/>
          <w:rtl w:val="0"/>
        </w:rPr>
        <w:t xml:space="preserve"> en los próximos meses”, asegura María Matos, portavoz de </w:t>
      </w:r>
      <w:hyperlink r:id="rId8">
        <w:r w:rsidDel="00000000" w:rsidR="00000000" w:rsidRPr="00000000">
          <w:rPr>
            <w:rFonts w:ascii="Open Sans" w:cs="Open Sans" w:eastAsia="Open Sans" w:hAnsi="Open Sans"/>
            <w:color w:val="1155cc"/>
            <w:sz w:val="21"/>
            <w:szCs w:val="21"/>
            <w:u w:val="single"/>
            <w:rtl w:val="0"/>
          </w:rPr>
          <w:t xml:space="preserve">Fotocasa</w:t>
        </w:r>
      </w:hyperlink>
      <w:r w:rsidDel="00000000" w:rsidR="00000000" w:rsidRPr="00000000">
        <w:rPr>
          <w:rFonts w:ascii="Open Sans" w:cs="Open Sans" w:eastAsia="Open Sans" w:hAnsi="Open Sans"/>
          <w:sz w:val="21"/>
          <w:szCs w:val="21"/>
          <w:rtl w:val="0"/>
        </w:rPr>
        <w:t xml:space="preserve">.</w:t>
      </w:r>
    </w:p>
    <w:p w:rsidR="00000000" w:rsidDel="00000000" w:rsidP="00000000" w:rsidRDefault="00000000" w:rsidRPr="00000000" w14:paraId="00000007">
      <w:pPr>
        <w:shd w:fill="ffffff" w:val="clear"/>
        <w:tabs>
          <w:tab w:val="left" w:leader="none" w:pos="142"/>
        </w:tabs>
        <w:spacing w:after="225"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“El momento actual indica una divergencia entre volumen y condiciones porque el mercado sigue creciendo en número de operaciones, pero las condiciones de financiación comienzan a endurecerse de forma gradual. Es decir, el crédito continúa fluyendo, aunque ya no lo hace en las mismas condiciones que hace unos meses. El tipo de interés medio ya se sitúa en el 2,88%. Este comportamiento refleja un momento muy particular del ciclo: </w:t>
      </w:r>
      <w:r w:rsidDel="00000000" w:rsidR="00000000" w:rsidRPr="00000000">
        <w:rPr>
          <w:rFonts w:ascii="Open Sans" w:cs="Open Sans" w:eastAsia="Open Sans" w:hAnsi="Open Sans"/>
          <w:b w:val="1"/>
          <w:bCs w:val="1"/>
          <w:sz w:val="21"/>
          <w:szCs w:val="21"/>
          <w:rtl w:val="0"/>
        </w:rPr>
        <w:t xml:space="preserve">la demanda se mantiene sólida, pero es la banca la que está empezando a redefinir el mercado desde la oferta de crédito</w:t>
      </w:r>
      <w:r w:rsidDel="00000000" w:rsidR="00000000" w:rsidRPr="00000000">
        <w:rPr>
          <w:rFonts w:ascii="Open Sans" w:cs="Open Sans" w:eastAsia="Open Sans" w:hAnsi="Open Sans"/>
          <w:sz w:val="21"/>
          <w:szCs w:val="21"/>
          <w:rtl w:val="0"/>
        </w:rPr>
        <w:t xml:space="preserve">. </w:t>
      </w:r>
      <w:r w:rsidDel="00000000" w:rsidR="00000000" w:rsidRPr="00000000">
        <w:rPr>
          <w:rFonts w:ascii="Open Sans" w:cs="Open Sans" w:eastAsia="Open Sans" w:hAnsi="Open Sans"/>
          <w:b w:val="1"/>
          <w:bCs w:val="1"/>
          <w:sz w:val="21"/>
          <w:szCs w:val="21"/>
          <w:rtl w:val="0"/>
        </w:rPr>
        <w:t xml:space="preserve">Tras un año de fuerte competencia comercial, las entidades están adoptando una posición más prudente</w:t>
      </w:r>
      <w:r w:rsidDel="00000000" w:rsidR="00000000" w:rsidRPr="00000000">
        <w:rPr>
          <w:rFonts w:ascii="Open Sans" w:cs="Open Sans" w:eastAsia="Open Sans" w:hAnsi="Open Sans"/>
          <w:sz w:val="21"/>
          <w:szCs w:val="21"/>
          <w:rtl w:val="0"/>
        </w:rPr>
        <w:t xml:space="preserve">, ajustando precios y condiciones y anticipándose a posibles movimientos futuros en los tipos de interés”, añade María Matos.</w:t>
      </w:r>
    </w:p>
    <w:p w:rsidR="00000000" w:rsidDel="00000000" w:rsidP="00000000" w:rsidRDefault="00000000" w:rsidRPr="00000000" w14:paraId="00000008">
      <w:pPr>
        <w:shd w:fill="ffffff" w:val="clear"/>
        <w:tabs>
          <w:tab w:val="left" w:leader="none" w:pos="142"/>
        </w:tabs>
        <w:spacing w:after="225"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“Debemos de tener en cuenta que a cierre de 2025, el ejercicio se convirtió en el mejor año del mercado hipotecario desde 2010, con más de 500.000 concesiones sobre vivienda. Y aunque todavía seguimos arrastrando esta inercia, todo apunta a que nos encontramos ante el tramo final de este impulso. El mercado hipotecario seguirá mostrando actividad elevada en el corto plazo, pero con unas condiciones cada vez menos expansivas, lo que irá moderando progresivamente el ritmo de crecimiento”, prevé Matos.</w:t>
      </w:r>
    </w:p>
    <w:p w:rsidR="00000000" w:rsidDel="00000000" w:rsidP="00000000" w:rsidRDefault="00000000" w:rsidRPr="00000000" w14:paraId="00000009">
      <w:pPr>
        <w:shd w:fill="ffffff" w:val="clear"/>
        <w:tabs>
          <w:tab w:val="left" w:leader="none" w:pos="142"/>
        </w:tabs>
        <w:spacing w:after="240" w:before="240"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“Las </w:t>
      </w:r>
      <w:r w:rsidDel="00000000" w:rsidR="00000000" w:rsidRPr="00000000">
        <w:rPr>
          <w:rFonts w:ascii="Open Sans" w:cs="Open Sans" w:eastAsia="Open Sans" w:hAnsi="Open Sans"/>
          <w:b w:val="1"/>
          <w:bCs w:val="1"/>
          <w:sz w:val="21"/>
          <w:szCs w:val="21"/>
          <w:rtl w:val="0"/>
        </w:rPr>
        <w:t xml:space="preserve">hipotecas a tipo fijo seguirán siendo las más demandadas (representan actualmente el 64,8% de las firmas mensuales)</w:t>
      </w:r>
      <w:r w:rsidDel="00000000" w:rsidR="00000000" w:rsidRPr="00000000">
        <w:rPr>
          <w:rFonts w:ascii="Open Sans" w:cs="Open Sans" w:eastAsia="Open Sans" w:hAnsi="Open Sans"/>
          <w:sz w:val="21"/>
          <w:szCs w:val="21"/>
          <w:rtl w:val="0"/>
        </w:rPr>
        <w:t xml:space="preserve">, mientras las de tipo variable han sido desincentivadas por la volatilidad del Euríbor. Además, las subrogaciones también están al alza, impulsadas por el interés de muchos hipotecados en mejorar sus condiciones y aprovechar la coyuntura favorable”, asegura la portavoz de </w:t>
      </w:r>
      <w:hyperlink r:id="rId9">
        <w:r w:rsidDel="00000000" w:rsidR="00000000" w:rsidRPr="00000000">
          <w:rPr>
            <w:rFonts w:ascii="Open Sans" w:cs="Open Sans" w:eastAsia="Open Sans" w:hAnsi="Open Sans"/>
            <w:color w:val="1155cc"/>
            <w:sz w:val="21"/>
            <w:szCs w:val="21"/>
            <w:u w:val="single"/>
            <w:rtl w:val="0"/>
          </w:rPr>
          <w:t xml:space="preserve">Fotocasa</w:t>
        </w:r>
      </w:hyperlink>
      <w:r w:rsidDel="00000000" w:rsidR="00000000" w:rsidRPr="00000000">
        <w:rPr>
          <w:rFonts w:ascii="Open Sans" w:cs="Open Sans" w:eastAsia="Open Sans" w:hAnsi="Open Sans"/>
          <w:sz w:val="21"/>
          <w:szCs w:val="21"/>
          <w:rtl w:val="0"/>
        </w:rPr>
        <w:t xml:space="preserve">.</w:t>
      </w:r>
    </w:p>
    <w:p w:rsidR="00000000" w:rsidDel="00000000" w:rsidP="00000000" w:rsidRDefault="00000000" w:rsidRPr="00000000" w14:paraId="0000000A">
      <w:pPr>
        <w:shd w:fill="ffffff" w:val="clear"/>
        <w:tabs>
          <w:tab w:val="left" w:leader="none" w:pos="142"/>
        </w:tabs>
        <w:spacing w:after="225" w:lineRule="auto"/>
        <w:jc w:val="both"/>
        <w:rPr>
          <w:rFonts w:ascii="Open Sans" w:cs="Open Sans" w:eastAsia="Open Sans" w:hAnsi="Open Sans"/>
          <w:sz w:val="21"/>
          <w:szCs w:val="21"/>
        </w:rPr>
      </w:pPr>
      <w:r w:rsidDel="00000000" w:rsidR="00000000" w:rsidRPr="00000000">
        <w:rPr>
          <w:rFonts w:ascii="Open Sans" w:cs="Open Sans" w:eastAsia="Open Sans" w:hAnsi="Open Sans"/>
          <w:b w:val="1"/>
          <w:bCs w:val="1"/>
          <w:color w:val="303ab2"/>
          <w:sz w:val="24"/>
          <w:szCs w:val="24"/>
          <w:rtl w:val="0"/>
        </w:rPr>
        <w:t xml:space="preserve">Cambio en el perfil del comprador</w:t>
      </w:r>
      <w:r w:rsidDel="00000000" w:rsidR="00000000" w:rsidRPr="00000000">
        <w:rPr>
          <w:rtl w:val="0"/>
        </w:rPr>
      </w:r>
    </w:p>
    <w:p w:rsidR="00000000" w:rsidDel="00000000" w:rsidP="00000000" w:rsidRDefault="00000000" w:rsidRPr="00000000" w14:paraId="0000000B">
      <w:pPr>
        <w:shd w:fill="ffffff" w:val="clear"/>
        <w:tabs>
          <w:tab w:val="left" w:leader="none" w:pos="142"/>
        </w:tabs>
        <w:spacing w:after="225"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Este nuevo entorno comienza a trasladarse al comportamiento de la demanda. “Un contexto de financiación menos competitiva tiende a </w:t>
      </w:r>
      <w:r w:rsidDel="00000000" w:rsidR="00000000" w:rsidRPr="00000000">
        <w:rPr>
          <w:rFonts w:ascii="Open Sans" w:cs="Open Sans" w:eastAsia="Open Sans" w:hAnsi="Open Sans"/>
          <w:b w:val="1"/>
          <w:bCs w:val="1"/>
          <w:sz w:val="21"/>
          <w:szCs w:val="21"/>
          <w:rtl w:val="0"/>
        </w:rPr>
        <w:t xml:space="preserve">seleccionar más al comprador, favoreciendo a aquellos perfiles con mayor solvencia y capacidad de ahorro</w:t>
      </w:r>
      <w:r w:rsidDel="00000000" w:rsidR="00000000" w:rsidRPr="00000000">
        <w:rPr>
          <w:rFonts w:ascii="Open Sans" w:cs="Open Sans" w:eastAsia="Open Sans" w:hAnsi="Open Sans"/>
          <w:sz w:val="21"/>
          <w:szCs w:val="21"/>
          <w:rtl w:val="0"/>
        </w:rPr>
        <w:t xml:space="preserve">, mientras que dificulta el acceso a quienes dependen en mayor medida del crédito. Es  relevante la </w:t>
      </w:r>
      <w:r w:rsidDel="00000000" w:rsidR="00000000" w:rsidRPr="00000000">
        <w:rPr>
          <w:rFonts w:ascii="Open Sans" w:cs="Open Sans" w:eastAsia="Open Sans" w:hAnsi="Open Sans"/>
          <w:b w:val="1"/>
          <w:bCs w:val="1"/>
          <w:sz w:val="21"/>
          <w:szCs w:val="21"/>
          <w:rtl w:val="0"/>
        </w:rPr>
        <w:t xml:space="preserve">caída de 5 puntos porcentuales del perfil del comprador inversor, que se sitúa en el 7%</w:t>
      </w:r>
      <w:r w:rsidDel="00000000" w:rsidR="00000000" w:rsidRPr="00000000">
        <w:rPr>
          <w:rFonts w:ascii="Open Sans" w:cs="Open Sans" w:eastAsia="Open Sans" w:hAnsi="Open Sans"/>
          <w:sz w:val="21"/>
          <w:szCs w:val="21"/>
          <w:rtl w:val="0"/>
        </w:rPr>
        <w:t xml:space="preserve"> detectada en </w:t>
      </w:r>
      <w:hyperlink r:id="rId10">
        <w:r w:rsidDel="00000000" w:rsidR="00000000" w:rsidRPr="00000000">
          <w:rPr>
            <w:rFonts w:ascii="Open Sans" w:cs="Open Sans" w:eastAsia="Open Sans" w:hAnsi="Open Sans"/>
            <w:color w:val="1155cc"/>
            <w:sz w:val="21"/>
            <w:szCs w:val="21"/>
            <w:u w:val="single"/>
            <w:rtl w:val="0"/>
          </w:rPr>
          <w:t xml:space="preserve">Fotocasa Research</w:t>
        </w:r>
      </w:hyperlink>
      <w:r w:rsidDel="00000000" w:rsidR="00000000" w:rsidRPr="00000000">
        <w:rPr>
          <w:rFonts w:ascii="Open Sans" w:cs="Open Sans" w:eastAsia="Open Sans" w:hAnsi="Open Sans"/>
          <w:sz w:val="21"/>
          <w:szCs w:val="21"/>
          <w:rtl w:val="0"/>
        </w:rPr>
        <w:t xml:space="preserve">. Este ajuste refleja una menor rentabilidad percibida en un contexto de precios elevados y un encarecimiento progresivo del crédito, lo que reduce el atractivo de la inversión frente a otros momentos del ciclo”, añade.</w:t>
      </w:r>
    </w:p>
    <w:p w:rsidR="00000000" w:rsidDel="00000000" w:rsidP="00000000" w:rsidRDefault="00000000" w:rsidRPr="00000000" w14:paraId="0000000C">
      <w:pPr>
        <w:shd w:fill="ffffff" w:val="clear"/>
        <w:tabs>
          <w:tab w:val="left" w:leader="none" w:pos="142"/>
        </w:tabs>
        <w:spacing w:after="240" w:before="240"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“A la vez, se observa un incremento de </w:t>
      </w:r>
      <w:r w:rsidDel="00000000" w:rsidR="00000000" w:rsidRPr="00000000">
        <w:rPr>
          <w:rFonts w:ascii="Open Sans" w:cs="Open Sans" w:eastAsia="Open Sans" w:hAnsi="Open Sans"/>
          <w:b w:val="1"/>
          <w:bCs w:val="1"/>
          <w:sz w:val="21"/>
          <w:szCs w:val="21"/>
          <w:rtl w:val="0"/>
        </w:rPr>
        <w:t xml:space="preserve">compradores con alta solvencia económica, que necesitan menos financiación</w:t>
      </w:r>
      <w:r w:rsidDel="00000000" w:rsidR="00000000" w:rsidRPr="00000000">
        <w:rPr>
          <w:rFonts w:ascii="Open Sans" w:cs="Open Sans" w:eastAsia="Open Sans" w:hAnsi="Open Sans"/>
          <w:sz w:val="21"/>
          <w:szCs w:val="21"/>
          <w:rtl w:val="0"/>
        </w:rPr>
        <w:t xml:space="preserve"> debido a su mayor poder adquisitivo. Por ello, en los próximos meses, </w:t>
      </w:r>
      <w:r w:rsidDel="00000000" w:rsidR="00000000" w:rsidRPr="00000000">
        <w:rPr>
          <w:rFonts w:ascii="Open Sans" w:cs="Open Sans" w:eastAsia="Open Sans" w:hAnsi="Open Sans"/>
          <w:b w:val="1"/>
          <w:bCs w:val="1"/>
          <w:sz w:val="21"/>
          <w:szCs w:val="21"/>
          <w:rtl w:val="0"/>
        </w:rPr>
        <w:t xml:space="preserve">el porcentaje de compradores que opta por no solicitar hipoteca, actualmente en un 31%, se irá reduciendo</w:t>
      </w:r>
      <w:r w:rsidDel="00000000" w:rsidR="00000000" w:rsidRPr="00000000">
        <w:rPr>
          <w:rFonts w:ascii="Open Sans" w:cs="Open Sans" w:eastAsia="Open Sans" w:hAnsi="Open Sans"/>
          <w:sz w:val="21"/>
          <w:szCs w:val="21"/>
          <w:rtl w:val="0"/>
        </w:rPr>
        <w:t xml:space="preserve">. Este perfil, que busca en la vivienda un valor refugio frente a la incertidumbre geopolítica y económica, está ganando peso en el mercado. Este escenario refleja un posible repunte de la demanda en el corto plazo, impulsado por mejores perspectivas en el mercado hipotecario”, explica la portavoz.</w:t>
      </w:r>
      <w:r w:rsidDel="00000000" w:rsidR="00000000" w:rsidRPr="00000000">
        <w:rPr>
          <w:rtl w:val="0"/>
        </w:rPr>
      </w:r>
    </w:p>
    <w:p w:rsidR="00000000" w:rsidDel="00000000" w:rsidP="00000000" w:rsidRDefault="00000000" w:rsidRPr="00000000" w14:paraId="0000000D">
      <w:pPr>
        <w:shd w:fill="ffffff" w:val="clear"/>
        <w:spacing w:after="225" w:lineRule="auto"/>
        <w:jc w:val="both"/>
        <w:rPr>
          <w:rFonts w:ascii="Open Sans" w:cs="Open Sans" w:eastAsia="Open Sans" w:hAnsi="Open Sans"/>
        </w:rPr>
      </w:pPr>
      <w:r w:rsidDel="00000000" w:rsidR="00000000" w:rsidRPr="00000000">
        <w:rPr>
          <w:rFonts w:ascii="Open Sans" w:cs="Open Sans" w:eastAsia="Open Sans" w:hAnsi="Open Sans"/>
          <w:b w:val="1"/>
          <w:bCs w:val="1"/>
          <w:color w:val="303ab2"/>
          <w:sz w:val="24"/>
          <w:szCs w:val="24"/>
          <w:rtl w:val="0"/>
        </w:rPr>
        <w:t xml:space="preserve">Previsiones de actividad para el primer semestre de 2026</w:t>
      </w:r>
      <w:r w:rsidDel="00000000" w:rsidR="00000000" w:rsidRPr="00000000">
        <w:rPr>
          <w:rtl w:val="0"/>
        </w:rPr>
      </w:r>
    </w:p>
    <w:p w:rsidR="00000000" w:rsidDel="00000000" w:rsidP="00000000" w:rsidRDefault="00000000" w:rsidRPr="00000000" w14:paraId="0000000E">
      <w:pPr>
        <w:shd w:fill="ffffff" w:val="clear"/>
        <w:spacing w:after="280" w:before="280"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“El comportamiento del mercado en los próximos meses estará condicionado, en gran medida, por la evolución de los tipos de interés y del Euríbor. El entorno internacional introduce además un nuevo foco de incertidumbre. </w:t>
      </w:r>
      <w:r w:rsidDel="00000000" w:rsidR="00000000" w:rsidRPr="00000000">
        <w:rPr>
          <w:rFonts w:ascii="Open Sans" w:cs="Open Sans" w:eastAsia="Open Sans" w:hAnsi="Open Sans"/>
          <w:b w:val="1"/>
          <w:bCs w:val="1"/>
          <w:sz w:val="21"/>
          <w:szCs w:val="21"/>
          <w:rtl w:val="0"/>
        </w:rPr>
        <w:t xml:space="preserve">Las tensiones geopolíticas podrían derivar en un repunte inflacionista con impacto directo en el mercado inmobiliario</w:t>
      </w:r>
      <w:r w:rsidDel="00000000" w:rsidR="00000000" w:rsidRPr="00000000">
        <w:rPr>
          <w:rFonts w:ascii="Open Sans" w:cs="Open Sans" w:eastAsia="Open Sans" w:hAnsi="Open Sans"/>
          <w:sz w:val="21"/>
          <w:szCs w:val="21"/>
          <w:rtl w:val="0"/>
        </w:rPr>
        <w:t xml:space="preserve">. Un encarecimiento de los costes de construcción dificultaría la generación de nueva oferta y, en paralelo, un posible endurecimiento de la política monetaria por parte del BCE podría encarecer de nuevo la financiación, afectando especialmente a la demanda más dependiente del crédito, que en estos momentos representa al 75% de los compradores”, advierte María Matos, portavoz de Fotocasa.</w:t>
      </w:r>
    </w:p>
    <w:p w:rsidR="00000000" w:rsidDel="00000000" w:rsidP="00000000" w:rsidRDefault="00000000" w:rsidRPr="00000000" w14:paraId="0000000F">
      <w:pPr>
        <w:shd w:fill="ffffff" w:val="clear"/>
        <w:spacing w:after="240" w:before="240"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“Tras cinco años de crecimiento intenso, el mercado se aproxima al </w:t>
      </w:r>
      <w:r w:rsidDel="00000000" w:rsidR="00000000" w:rsidRPr="00000000">
        <w:rPr>
          <w:rFonts w:ascii="Open Sans" w:cs="Open Sans" w:eastAsia="Open Sans" w:hAnsi="Open Sans"/>
          <w:b w:val="1"/>
          <w:bCs w:val="1"/>
          <w:sz w:val="21"/>
          <w:szCs w:val="21"/>
          <w:rtl w:val="0"/>
        </w:rPr>
        <w:t xml:space="preserve">inicio de una fase de estabilización, no tanto por un posible deterioro de la financiación, como por el alto nivel alcanzado por los precios</w:t>
      </w:r>
      <w:r w:rsidDel="00000000" w:rsidR="00000000" w:rsidRPr="00000000">
        <w:rPr>
          <w:rFonts w:ascii="Open Sans" w:cs="Open Sans" w:eastAsia="Open Sans" w:hAnsi="Open Sans"/>
          <w:sz w:val="21"/>
          <w:szCs w:val="21"/>
          <w:rtl w:val="0"/>
        </w:rPr>
        <w:t xml:space="preserve">, que está tensionando al límite la capacidad de acceso de una parte creciente de la demanda. En muchas zonas, el esfuerzo económico de los hogares se sitúa ya en cotas muy elevadas, lo que reduce el margen de crecimiento adicional y limita la capacidad de absorción del mercado”, explica la portavoz.</w:t>
      </w:r>
    </w:p>
    <w:p w:rsidR="00000000" w:rsidDel="00000000" w:rsidP="00000000" w:rsidRDefault="00000000" w:rsidRPr="00000000" w14:paraId="00000010">
      <w:pPr>
        <w:shd w:fill="ffffff" w:val="clear"/>
        <w:spacing w:after="240" w:before="240"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“Todo ello configura un escenario en el que el mercado apunta a una progresiva ralentización, </w:t>
      </w:r>
      <w:r w:rsidDel="00000000" w:rsidR="00000000" w:rsidRPr="00000000">
        <w:rPr>
          <w:rFonts w:ascii="Open Sans" w:cs="Open Sans" w:eastAsia="Open Sans" w:hAnsi="Open Sans"/>
          <w:b w:val="1"/>
          <w:bCs w:val="1"/>
          <w:sz w:val="21"/>
          <w:szCs w:val="21"/>
          <w:rtl w:val="0"/>
        </w:rPr>
        <w:t xml:space="preserve">marcada por una demanda que pierde capacidad de compra y una oferta que continúa siendo insuficiente</w:t>
      </w:r>
      <w:r w:rsidDel="00000000" w:rsidR="00000000" w:rsidRPr="00000000">
        <w:rPr>
          <w:rFonts w:ascii="Open Sans" w:cs="Open Sans" w:eastAsia="Open Sans" w:hAnsi="Open Sans"/>
          <w:sz w:val="21"/>
          <w:szCs w:val="21"/>
          <w:rtl w:val="0"/>
        </w:rPr>
        <w:t xml:space="preserve">. El resultado será un mercado cada vez más tensionado y con mayores dificultades de acceso, en el que la brecha de accesibilidad seguirá ampliándose”, concluye María Matos.</w:t>
      </w:r>
      <w:r w:rsidDel="00000000" w:rsidR="00000000" w:rsidRPr="00000000">
        <w:rPr>
          <w:rtl w:val="0"/>
        </w:rPr>
      </w:r>
    </w:p>
    <w:p w:rsidR="00000000" w:rsidDel="00000000" w:rsidP="00000000" w:rsidRDefault="00000000" w:rsidRPr="00000000" w14:paraId="00000011">
      <w:pPr>
        <w:shd w:fill="ffffff" w:val="clear"/>
        <w:tabs>
          <w:tab w:val="left" w:leader="none" w:pos="142"/>
        </w:tabs>
        <w:spacing w:after="280" w:before="280" w:lineRule="auto"/>
        <w:jc w:val="both"/>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12">
      <w:pPr>
        <w:shd w:fill="ffffff" w:val="clear"/>
        <w:spacing w:after="280" w:before="280" w:lineRule="auto"/>
        <w:jc w:val="right"/>
        <w:rPr>
          <w:rFonts w:ascii="Open Sans Light" w:cs="Open Sans Light" w:eastAsia="Open Sans Light" w:hAnsi="Open Sans Light"/>
          <w:b w:val="1"/>
          <w:bCs w:val="1"/>
          <w:color w:val="303ab2"/>
          <w:sz w:val="24"/>
          <w:szCs w:val="24"/>
        </w:rPr>
      </w:pPr>
      <w:r w:rsidDel="00000000" w:rsidR="00000000" w:rsidRPr="00000000">
        <w:rPr>
          <w:rFonts w:ascii="Open Sans Light" w:cs="Open Sans Light" w:eastAsia="Open Sans Light" w:hAnsi="Open Sans Light"/>
          <w:b w:val="1"/>
          <w:bCs w:val="1"/>
          <w:color w:val="303ab2"/>
          <w:sz w:val="24"/>
          <w:szCs w:val="24"/>
          <w:rtl w:val="0"/>
        </w:rPr>
        <w:t xml:space="preserve">Departamento de Comunicación de Fotocasa</w:t>
      </w:r>
    </w:p>
    <w:p w:rsidR="00000000" w:rsidDel="00000000" w:rsidP="00000000" w:rsidRDefault="00000000" w:rsidRPr="00000000" w14:paraId="00000013">
      <w:pPr>
        <w:shd w:fill="ffffff" w:val="clear"/>
        <w:ind w:right="-7"/>
        <w:jc w:val="right"/>
        <w:rPr>
          <w:rFonts w:ascii="Open Sans" w:cs="Open Sans" w:eastAsia="Open Sans" w:hAnsi="Open Sans"/>
          <w:b w:val="1"/>
          <w:bCs w:val="1"/>
          <w:sz w:val="21"/>
          <w:szCs w:val="21"/>
        </w:rPr>
      </w:pPr>
      <w:r w:rsidDel="00000000" w:rsidR="00000000" w:rsidRPr="00000000">
        <w:rPr>
          <w:rFonts w:ascii="Open Sans" w:cs="Open Sans" w:eastAsia="Open Sans" w:hAnsi="Open Sans"/>
          <w:b w:val="1"/>
          <w:bCs w:val="1"/>
          <w:sz w:val="21"/>
          <w:szCs w:val="21"/>
          <w:rtl w:val="0"/>
        </w:rPr>
        <w:t xml:space="preserve">Anaïs García</w:t>
      </w:r>
    </w:p>
    <w:p w:rsidR="00000000" w:rsidDel="00000000" w:rsidP="00000000" w:rsidRDefault="00000000" w:rsidRPr="00000000" w14:paraId="00000014">
      <w:pPr>
        <w:shd w:fill="ffffff" w:val="clear"/>
        <w:ind w:right="-7"/>
        <w:jc w:val="right"/>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Móvil: 620 66 29 26</w:t>
      </w:r>
    </w:p>
    <w:p w:rsidR="00000000" w:rsidDel="00000000" w:rsidP="00000000" w:rsidRDefault="00000000" w:rsidRPr="00000000" w14:paraId="00000015">
      <w:pPr>
        <w:shd w:fill="ffffff" w:val="clear"/>
        <w:ind w:right="-7"/>
        <w:jc w:val="right"/>
        <w:rPr>
          <w:rFonts w:ascii="Open Sans" w:cs="Open Sans" w:eastAsia="Open Sans" w:hAnsi="Open Sans"/>
          <w:sz w:val="21"/>
          <w:szCs w:val="21"/>
        </w:rPr>
      </w:pPr>
      <w:hyperlink r:id="rId11">
        <w:r w:rsidDel="00000000" w:rsidR="00000000" w:rsidRPr="00000000">
          <w:rPr>
            <w:rFonts w:ascii="Open Sans" w:cs="Open Sans" w:eastAsia="Open Sans" w:hAnsi="Open Sans"/>
            <w:color w:val="0563c1"/>
            <w:sz w:val="21"/>
            <w:szCs w:val="21"/>
            <w:u w:val="single"/>
            <w:rtl w:val="0"/>
          </w:rPr>
          <w:t xml:space="preserve">comunicacion@fotocasa.es</w:t>
        </w:r>
      </w:hyperlink>
      <w:r w:rsidDel="00000000" w:rsidR="00000000" w:rsidRPr="00000000">
        <w:rPr>
          <w:rtl w:val="0"/>
        </w:rPr>
      </w:r>
    </w:p>
    <w:p w:rsidR="00000000" w:rsidDel="00000000" w:rsidP="00000000" w:rsidRDefault="00000000" w:rsidRPr="00000000" w14:paraId="00000016">
      <w:pPr>
        <w:shd w:fill="ffffff" w:val="clear"/>
        <w:ind w:right="-7"/>
        <w:jc w:val="right"/>
        <w:rPr>
          <w:rFonts w:ascii="Open Sans" w:cs="Open Sans" w:eastAsia="Open Sans" w:hAnsi="Open Sans"/>
          <w:sz w:val="21"/>
          <w:szCs w:val="21"/>
        </w:rPr>
      </w:pPr>
      <w:hyperlink r:id="rId12">
        <w:r w:rsidDel="00000000" w:rsidR="00000000" w:rsidRPr="00000000">
          <w:rPr>
            <w:rFonts w:ascii="Open Sans" w:cs="Open Sans" w:eastAsia="Open Sans" w:hAnsi="Open Sans"/>
            <w:color w:val="0563c1"/>
            <w:sz w:val="21"/>
            <w:szCs w:val="21"/>
            <w:u w:val="single"/>
            <w:rtl w:val="0"/>
          </w:rPr>
          <w:t xml:space="preserve">http://prensa.fotocasa.es</w:t>
        </w:r>
      </w:hyperlink>
      <w:r w:rsidDel="00000000" w:rsidR="00000000" w:rsidRPr="00000000">
        <w:rPr>
          <w:rtl w:val="0"/>
        </w:rPr>
      </w:r>
    </w:p>
    <w:p w:rsidR="00000000" w:rsidDel="00000000" w:rsidP="00000000" w:rsidRDefault="00000000" w:rsidRPr="00000000" w14:paraId="00000017">
      <w:pPr>
        <w:shd w:fill="ffffff" w:val="clear"/>
        <w:ind w:right="-7"/>
        <w:jc w:val="right"/>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twitter: @fotocasa</w:t>
      </w:r>
    </w:p>
    <w:p w:rsidR="00000000" w:rsidDel="00000000" w:rsidP="00000000" w:rsidRDefault="00000000" w:rsidRPr="00000000" w14:paraId="00000018">
      <w:pPr>
        <w:rPr/>
      </w:pPr>
      <w:r w:rsidDel="00000000" w:rsidR="00000000" w:rsidRPr="00000000">
        <w:rPr>
          <w:rtl w:val="0"/>
        </w:rPr>
      </w:r>
    </w:p>
    <w:sectPr>
      <w:headerReference r:id="rId13" w:type="default"/>
      <w:footerReference r:id="rId14"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National"/>
  <w:font w:name="Open Sans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-1916381</wp:posOffset>
          </wp:positionH>
          <wp:positionV relativeFrom="paragraph">
            <wp:posOffset>304800</wp:posOffset>
          </wp:positionV>
          <wp:extent cx="8620125" cy="447675"/>
          <wp:effectExtent b="0" l="0" r="0" t="0"/>
          <wp:wrapSquare wrapText="bothSides" distB="0" distT="0" distL="0" distR="0"/>
          <wp:docPr id="2" name="image1.png"/>
          <a:graphic>
            <a:graphicData uri="http://schemas.openxmlformats.org/drawingml/2006/picture">
              <pic:pic>
                <pic:nvPicPr>
                  <pic:cNvPr id="0" name="image1.png"/>
                  <pic:cNvPicPr preferRelativeResize="0"/>
                </pic:nvPicPr>
                <pic:blipFill>
                  <a:blip r:embed="rId1"/>
                  <a:srcRect b="0" l="-13043" r="617" t="0"/>
                  <a:stretch>
                    <a:fillRect/>
                  </a:stretch>
                </pic:blipFill>
                <pic:spPr>
                  <a:xfrm>
                    <a:off x="0" y="0"/>
                    <a:ext cx="8620125" cy="44767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-914390</wp:posOffset>
          </wp:positionH>
          <wp:positionV relativeFrom="paragraph">
            <wp:posOffset>-243191</wp:posOffset>
          </wp:positionV>
          <wp:extent cx="7711147" cy="1037167"/>
          <wp:effectExtent b="0" l="0" r="0" t="0"/>
          <wp:wrapSquare wrapText="bothSides" distB="0" distT="0" distL="0" distR="0"/>
          <wp:docPr descr="Patrón de fondo&#10;&#10;El contenido generado por IA puede ser incorrecto." id="1" name="image2.png"/>
          <a:graphic>
            <a:graphicData uri="http://schemas.openxmlformats.org/drawingml/2006/picture">
              <pic:pic>
                <pic:nvPicPr>
                  <pic:cNvPr descr="Patrón de fondo&#10;&#10;El contenido generado por IA puede ser incorrecto." id="0" name="image2.png"/>
                  <pic:cNvPicPr preferRelativeResize="0"/>
                </pic:nvPicPr>
                <pic:blipFill>
                  <a:blip r:embed="rId1"/>
                  <a:srcRect b="0" l="0" r="0" t="0"/>
                  <a:stretch>
                    <a:fillRect/>
                  </a:stretch>
                </pic:blipFill>
                <pic:spPr>
                  <a:xfrm>
                    <a:off x="0" y="0"/>
                    <a:ext cx="7711147" cy="1037167"/>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comunicacion@fotocasa.es" TargetMode="External"/><Relationship Id="rId10" Type="http://schemas.openxmlformats.org/officeDocument/2006/relationships/hyperlink" Target="https://research.fotocasa.es/" TargetMode="External"/><Relationship Id="rId13" Type="http://schemas.openxmlformats.org/officeDocument/2006/relationships/header" Target="header1.xml"/><Relationship Id="rId12" Type="http://schemas.openxmlformats.org/officeDocument/2006/relationships/hyperlink" Target="http://prensa.fotocasa.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otocasa.es/es/"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fotocasa.es/es/" TargetMode="External"/><Relationship Id="rId8" Type="http://schemas.openxmlformats.org/officeDocument/2006/relationships/hyperlink" Target="https://www.fotocasa.es/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Light-regular.ttf"/><Relationship Id="rId2" Type="http://schemas.openxmlformats.org/officeDocument/2006/relationships/font" Target="fonts/OpenSansLight-bold.ttf"/><Relationship Id="rId3" Type="http://schemas.openxmlformats.org/officeDocument/2006/relationships/font" Target="fonts/OpenSansLight-italic.ttf"/><Relationship Id="rId4" Type="http://schemas.openxmlformats.org/officeDocument/2006/relationships/font" Target="fonts/OpenSansLight-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iiiCnZEL47uQIBkSx6p9Rp7Mtg==">CgMxLjA4AHIhMTZOYVVkWGhhMFJBWXlXQ3JoclBmY0FaOHRyX0pXak43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