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2C351" w14:textId="77777777" w:rsidR="00DE2074" w:rsidRDefault="00000000">
      <w:pPr>
        <w:spacing w:line="276" w:lineRule="auto"/>
        <w:ind w:right="-560"/>
        <w:jc w:val="center"/>
        <w:rPr>
          <w:rFonts w:ascii="National" w:eastAsia="National" w:hAnsi="National" w:cs="National"/>
          <w:b/>
          <w:bCs/>
          <w:color w:val="1DBDC5"/>
          <w:sz w:val="44"/>
          <w:szCs w:val="44"/>
        </w:rPr>
      </w:pPr>
      <w:r>
        <w:rPr>
          <w:rFonts w:ascii="National" w:eastAsia="National" w:hAnsi="National" w:cs="National"/>
          <w:b/>
          <w:bCs/>
          <w:color w:val="1DBDC5"/>
          <w:sz w:val="34"/>
          <w:szCs w:val="34"/>
        </w:rPr>
        <w:t xml:space="preserve">ÍNDICE PREDICTIVO DE PRECIOS </w:t>
      </w:r>
    </w:p>
    <w:p w14:paraId="21EBB865" w14:textId="77777777" w:rsidR="00DE2074" w:rsidRDefault="00000000">
      <w:pPr>
        <w:spacing w:line="276" w:lineRule="auto"/>
        <w:ind w:right="-560"/>
        <w:jc w:val="center"/>
        <w:rPr>
          <w:rFonts w:ascii="Open Sans" w:eastAsia="Open Sans" w:hAnsi="Open Sans" w:cs="Open Sans"/>
          <w:color w:val="002060"/>
        </w:rPr>
      </w:pPr>
      <w:r>
        <w:rPr>
          <w:rFonts w:ascii="National" w:eastAsia="National" w:hAnsi="National" w:cs="National"/>
          <w:b/>
          <w:bCs/>
          <w:color w:val="002060"/>
          <w:sz w:val="46"/>
          <w:szCs w:val="46"/>
        </w:rPr>
        <w:t>La IA prevé que Sevilla, Santa Cruz de Tenerife y Palma lideren las mayores subidas de precios del alquiler al cierre del segundo trimestre</w:t>
      </w:r>
    </w:p>
    <w:p w14:paraId="7AD1A130" w14:textId="77777777" w:rsidR="00853424" w:rsidRDefault="00853424" w:rsidP="00853424">
      <w:pPr>
        <w:spacing w:line="276" w:lineRule="auto"/>
        <w:ind w:left="720" w:right="-560"/>
        <w:jc w:val="both"/>
        <w:rPr>
          <w:rFonts w:ascii="Open Sans" w:eastAsia="Open Sans" w:hAnsi="Open Sans" w:cs="Open Sans"/>
          <w:color w:val="002060"/>
        </w:rPr>
      </w:pPr>
    </w:p>
    <w:p w14:paraId="6B0DB67C" w14:textId="5BF90214" w:rsidR="00DE2074"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 xml:space="preserve">El </w:t>
      </w:r>
      <w:r>
        <w:rPr>
          <w:rFonts w:ascii="Open Sans" w:eastAsia="Open Sans" w:hAnsi="Open Sans" w:cs="Open Sans"/>
          <w:i/>
          <w:iCs/>
          <w:color w:val="002060"/>
        </w:rPr>
        <w:t>Índice predictivo de alquiler DataVenues</w:t>
      </w:r>
      <w:r>
        <w:rPr>
          <w:rFonts w:ascii="Open Sans" w:eastAsia="Open Sans" w:hAnsi="Open Sans" w:cs="Open Sans"/>
          <w:color w:val="002060"/>
        </w:rPr>
        <w:t xml:space="preserve"> de Fotocasa prevé subidas de precio en 33 ciudades a final de junio de 2026</w:t>
      </w:r>
    </w:p>
    <w:p w14:paraId="081EA1F2" w14:textId="77777777" w:rsidR="00DE2074" w:rsidRDefault="00000000">
      <w:pPr>
        <w:numPr>
          <w:ilvl w:val="0"/>
          <w:numId w:val="1"/>
        </w:numPr>
        <w:spacing w:line="276" w:lineRule="auto"/>
        <w:ind w:right="-560"/>
        <w:jc w:val="both"/>
        <w:rPr>
          <w:rFonts w:ascii="Open Sans" w:eastAsia="Open Sans" w:hAnsi="Open Sans" w:cs="Open Sans"/>
          <w:color w:val="002060"/>
        </w:rPr>
      </w:pPr>
      <w:bookmarkStart w:id="0" w:name="_heading=h.a1vx1f7iwclf" w:colFirst="0" w:colLast="0"/>
      <w:bookmarkEnd w:id="0"/>
      <w:r>
        <w:rPr>
          <w:rFonts w:ascii="Open Sans" w:eastAsia="Open Sans" w:hAnsi="Open Sans" w:cs="Open Sans"/>
          <w:color w:val="002060"/>
        </w:rPr>
        <w:t>El índice anticipa un comportamiento dispar, con fuertes incrementos en el sur y zonas insulares y descensos acusados en varias capitales del interior</w:t>
      </w:r>
    </w:p>
    <w:p w14:paraId="1A376DCC" w14:textId="77777777" w:rsidR="00DE2074"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Por su lado, Teruel (-25,6%), Logroño (-10,3%) y Barcelona (-7,9%) liderarán los descensos de precios de alquiler</w:t>
      </w:r>
    </w:p>
    <w:p w14:paraId="5B7BFD61" w14:textId="77777777" w:rsidR="00DE2074" w:rsidRDefault="00DE2074">
      <w:pPr>
        <w:spacing w:line="276" w:lineRule="auto"/>
        <w:ind w:left="360" w:right="-560"/>
        <w:jc w:val="both"/>
        <w:rPr>
          <w:rFonts w:ascii="Open Sans" w:eastAsia="Open Sans" w:hAnsi="Open Sans" w:cs="Open Sans"/>
          <w:color w:val="002060"/>
        </w:rPr>
      </w:pPr>
    </w:p>
    <w:p w14:paraId="3EB45D03" w14:textId="163B9F37" w:rsidR="00DE2074" w:rsidRDefault="00000000">
      <w:pPr>
        <w:spacing w:line="276" w:lineRule="auto"/>
        <w:ind w:right="-560"/>
        <w:rPr>
          <w:rFonts w:ascii="Open Sans" w:eastAsia="Open Sans" w:hAnsi="Open Sans" w:cs="Open Sans"/>
          <w:b/>
          <w:bCs/>
          <w:color w:val="002060"/>
          <w:sz w:val="22"/>
          <w:szCs w:val="22"/>
        </w:rPr>
      </w:pPr>
      <w:r>
        <w:rPr>
          <w:rFonts w:ascii="Open Sans" w:eastAsia="Open Sans" w:hAnsi="Open Sans" w:cs="Open Sans"/>
          <w:b/>
          <w:bCs/>
          <w:color w:val="002060"/>
          <w:sz w:val="22"/>
          <w:szCs w:val="22"/>
        </w:rPr>
        <w:t xml:space="preserve">Madrid, </w:t>
      </w:r>
      <w:r w:rsidR="0051679A">
        <w:rPr>
          <w:rFonts w:ascii="Open Sans" w:eastAsia="Open Sans" w:hAnsi="Open Sans" w:cs="Open Sans"/>
          <w:b/>
          <w:bCs/>
          <w:color w:val="002060"/>
          <w:sz w:val="22"/>
          <w:szCs w:val="22"/>
        </w:rPr>
        <w:t>22</w:t>
      </w:r>
      <w:r>
        <w:rPr>
          <w:rFonts w:ascii="Open Sans" w:eastAsia="Open Sans" w:hAnsi="Open Sans" w:cs="Open Sans"/>
          <w:b/>
          <w:bCs/>
          <w:color w:val="002060"/>
          <w:sz w:val="22"/>
          <w:szCs w:val="22"/>
        </w:rPr>
        <w:t xml:space="preserve"> de abril de 2026</w:t>
      </w:r>
    </w:p>
    <w:p w14:paraId="28610FB6" w14:textId="77777777" w:rsidR="00DE2074" w:rsidRDefault="00DE2074">
      <w:pPr>
        <w:spacing w:line="276" w:lineRule="auto"/>
        <w:ind w:right="-560"/>
        <w:jc w:val="both"/>
        <w:rPr>
          <w:rFonts w:ascii="Open Sans" w:eastAsia="Open Sans" w:hAnsi="Open Sans" w:cs="Open Sans"/>
          <w:sz w:val="22"/>
          <w:szCs w:val="22"/>
        </w:rPr>
      </w:pPr>
    </w:p>
    <w:p w14:paraId="2EA487DE" w14:textId="535621A8" w:rsidR="00DE2074" w:rsidRDefault="00000000">
      <w:pPr>
        <w:spacing w:line="276" w:lineRule="auto"/>
        <w:ind w:right="-560"/>
        <w:jc w:val="both"/>
        <w:rPr>
          <w:rFonts w:ascii="Open Sans" w:eastAsia="Open Sans" w:hAnsi="Open Sans" w:cs="Open Sans"/>
          <w:color w:val="262626"/>
          <w:sz w:val="22"/>
          <w:szCs w:val="22"/>
        </w:rPr>
      </w:pPr>
      <w:bookmarkStart w:id="1" w:name="_heading=h.30j0zll" w:colFirst="0" w:colLast="0"/>
      <w:bookmarkEnd w:id="1"/>
      <w:r>
        <w:rPr>
          <w:rFonts w:ascii="Open Sans" w:eastAsia="Open Sans" w:hAnsi="Open Sans" w:cs="Open Sans"/>
          <w:color w:val="262626"/>
          <w:sz w:val="22"/>
          <w:szCs w:val="22"/>
        </w:rPr>
        <w:t xml:space="preserve">El </w:t>
      </w:r>
      <w:r w:rsidR="00853424">
        <w:rPr>
          <w:rFonts w:ascii="Open Sans" w:eastAsia="Open Sans" w:hAnsi="Open Sans" w:cs="Open Sans"/>
          <w:b/>
          <w:bCs/>
          <w:i/>
          <w:iCs/>
          <w:color w:val="262626"/>
          <w:sz w:val="22"/>
          <w:szCs w:val="22"/>
        </w:rPr>
        <w:t xml:space="preserve">Índice predictivo de alquiler </w:t>
      </w:r>
      <w:hyperlink r:id="rId8">
        <w:r w:rsidR="00853424">
          <w:rPr>
            <w:rFonts w:ascii="Open Sans" w:eastAsia="Open Sans" w:hAnsi="Open Sans" w:cs="Open Sans"/>
            <w:b/>
            <w:bCs/>
            <w:i/>
            <w:iCs/>
            <w:color w:val="0000FF"/>
            <w:sz w:val="22"/>
            <w:szCs w:val="22"/>
            <w:u w:val="single"/>
          </w:rPr>
          <w:t>DataVenues</w:t>
        </w:r>
      </w:hyperlink>
      <w:r w:rsidR="00853424">
        <w:rPr>
          <w:rFonts w:ascii="Open Sans" w:eastAsia="Open Sans" w:hAnsi="Open Sans" w:cs="Open Sans"/>
          <w:b/>
          <w:bCs/>
          <w:color w:val="262626"/>
          <w:sz w:val="22"/>
          <w:szCs w:val="22"/>
        </w:rPr>
        <w:t> de </w:t>
      </w:r>
      <w:hyperlink r:id="rId9">
        <w:r w:rsidR="00853424">
          <w:rPr>
            <w:rFonts w:ascii="Open Sans" w:eastAsia="Open Sans" w:hAnsi="Open Sans" w:cs="Open Sans"/>
            <w:b/>
            <w:bCs/>
            <w:color w:val="0000FF"/>
            <w:sz w:val="22"/>
            <w:szCs w:val="22"/>
            <w:u w:val="single"/>
          </w:rPr>
          <w:t>Fotocasa</w:t>
        </w:r>
      </w:hyperlink>
      <w:r w:rsidR="00853424">
        <w:t xml:space="preserve"> </w:t>
      </w:r>
      <w:r>
        <w:rPr>
          <w:rFonts w:ascii="Open Sans" w:eastAsia="Open Sans" w:hAnsi="Open Sans" w:cs="Open Sans"/>
          <w:color w:val="262626"/>
          <w:sz w:val="22"/>
          <w:szCs w:val="22"/>
        </w:rPr>
        <w:t xml:space="preserve">correspondiente al cierre del segundo trimestre de 2026 muestra una evolución heterogénea de los precios de la vivienda en alquiler entre las capitales de provincia españolas. </w:t>
      </w:r>
      <w:r>
        <w:rPr>
          <w:rFonts w:ascii="Open Sans" w:eastAsia="Open Sans" w:hAnsi="Open Sans" w:cs="Open Sans"/>
          <w:b/>
          <w:bCs/>
          <w:color w:val="262626"/>
          <w:sz w:val="22"/>
          <w:szCs w:val="22"/>
        </w:rPr>
        <w:t>Las previsiones del modelo apuntan a subidas significativas en varias ciudades del sur y de los archipiélagos, mientras que se intensifican los descensos en determinados mercados del interior y del noreste peninsular</w:t>
      </w:r>
      <w:r>
        <w:rPr>
          <w:rFonts w:ascii="Open Sans" w:eastAsia="Open Sans" w:hAnsi="Open Sans" w:cs="Open Sans"/>
          <w:color w:val="262626"/>
          <w:sz w:val="22"/>
          <w:szCs w:val="22"/>
        </w:rPr>
        <w:t xml:space="preserve">. Concretamente, las mayores subidas trimestrales previstas (comparando la evolución estimada entre el 1 de abril y el 30 de junio de 2026) estarán lideradas por Sevilla, que encabeza el ranking nacional con un incremento del 20,3%. </w:t>
      </w:r>
    </w:p>
    <w:p w14:paraId="78FD25D0" w14:textId="77777777" w:rsidR="00DE2074" w:rsidRDefault="00DE2074">
      <w:pPr>
        <w:spacing w:line="276" w:lineRule="auto"/>
        <w:ind w:right="-560"/>
        <w:jc w:val="both"/>
        <w:rPr>
          <w:rFonts w:ascii="Open Sans" w:eastAsia="Open Sans" w:hAnsi="Open Sans" w:cs="Open Sans"/>
          <w:color w:val="262626"/>
          <w:sz w:val="22"/>
          <w:szCs w:val="22"/>
        </w:rPr>
      </w:pPr>
    </w:p>
    <w:p w14:paraId="22A0986C" w14:textId="77777777" w:rsidR="00DE2074"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Le siguen Santa Cruz de Tenerife (10,0%) y Palma (8,1%), consolidando el protagonismo de los mercados insulares y del sur en esta fase del ciclo. También destacan Murcia (7,4%) y Ciudad Real (7,0%), que refuerzan el dinamismo de zonas del sureste y del interior. </w:t>
      </w:r>
      <w:r>
        <w:rPr>
          <w:rFonts w:ascii="Open Sans" w:eastAsia="Open Sans" w:hAnsi="Open Sans" w:cs="Open Sans"/>
          <w:b/>
          <w:bCs/>
          <w:color w:val="262626"/>
          <w:sz w:val="22"/>
          <w:szCs w:val="22"/>
        </w:rPr>
        <w:t xml:space="preserve">Estas son las principales estimaciones del </w:t>
      </w:r>
      <w:r>
        <w:rPr>
          <w:rFonts w:ascii="Open Sans" w:eastAsia="Open Sans" w:hAnsi="Open Sans" w:cs="Open Sans"/>
          <w:b/>
          <w:bCs/>
          <w:i/>
          <w:iCs/>
          <w:color w:val="262626"/>
          <w:sz w:val="22"/>
          <w:szCs w:val="22"/>
        </w:rPr>
        <w:t xml:space="preserve">Índice predictivo de alquiler </w:t>
      </w:r>
      <w:hyperlink r:id="rId10">
        <w:r w:rsidR="00DE2074">
          <w:rPr>
            <w:rFonts w:ascii="Open Sans" w:eastAsia="Open Sans" w:hAnsi="Open Sans" w:cs="Open Sans"/>
            <w:b/>
            <w:bCs/>
            <w:i/>
            <w:iCs/>
            <w:color w:val="0000FF"/>
            <w:sz w:val="22"/>
            <w:szCs w:val="22"/>
            <w:u w:val="single"/>
          </w:rPr>
          <w:t>DataVenues</w:t>
        </w:r>
      </w:hyperlink>
      <w:r>
        <w:rPr>
          <w:rFonts w:ascii="Open Sans" w:eastAsia="Open Sans" w:hAnsi="Open Sans" w:cs="Open Sans"/>
          <w:b/>
          <w:bCs/>
          <w:color w:val="262626"/>
          <w:sz w:val="22"/>
          <w:szCs w:val="22"/>
        </w:rPr>
        <w:t> de </w:t>
      </w:r>
      <w:hyperlink r:id="rId11">
        <w:r w:rsidR="00DE2074">
          <w:rPr>
            <w:rFonts w:ascii="Open Sans" w:eastAsia="Open Sans" w:hAnsi="Open Sans" w:cs="Open Sans"/>
            <w:b/>
            <w:bCs/>
            <w:color w:val="0000FF"/>
            <w:sz w:val="22"/>
            <w:szCs w:val="22"/>
            <w:u w:val="single"/>
          </w:rPr>
          <w:t>Fotocasa</w:t>
        </w:r>
      </w:hyperlink>
      <w:r>
        <w:rPr>
          <w:rFonts w:ascii="Open Sans" w:eastAsia="Open Sans" w:hAnsi="Open Sans" w:cs="Open Sans"/>
          <w:b/>
          <w:bCs/>
          <w:color w:val="262626"/>
          <w:sz w:val="22"/>
          <w:szCs w:val="22"/>
        </w:rPr>
        <w:t xml:space="preserve">, que permite adelantarse al comportamiento del mercado y prever la evolución de los precios de la vivienda de alquiler a nivel trimestral. </w:t>
      </w:r>
      <w:r>
        <w:rPr>
          <w:rFonts w:ascii="Open Sans" w:eastAsia="Open Sans" w:hAnsi="Open Sans" w:cs="Open Sans"/>
          <w:color w:val="262626"/>
          <w:sz w:val="22"/>
          <w:szCs w:val="22"/>
        </w:rPr>
        <w:t xml:space="preserve">Desde enero de 2025, </w:t>
      </w:r>
      <w:hyperlink r:id="rId12">
        <w:r w:rsidR="00DE2074">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 trimestralmente las estimaciones de esta revolucionaria aplicación desplegada gracias al uso combinado de tecnologías como la Inteligencia Artificial y el Big Data, puestas al servicio del mercado de la vivienda.</w:t>
      </w:r>
    </w:p>
    <w:p w14:paraId="06042474" w14:textId="77777777" w:rsidR="00DE2074" w:rsidRDefault="00DE2074">
      <w:pPr>
        <w:spacing w:line="276" w:lineRule="auto"/>
        <w:ind w:right="-560"/>
        <w:jc w:val="both"/>
        <w:rPr>
          <w:rFonts w:ascii="Open Sans" w:eastAsia="Open Sans" w:hAnsi="Open Sans" w:cs="Open Sans"/>
          <w:color w:val="262626"/>
          <w:sz w:val="22"/>
          <w:szCs w:val="22"/>
        </w:rPr>
      </w:pPr>
      <w:bookmarkStart w:id="2" w:name="_heading=h.gmepf24w3prf" w:colFirst="0" w:colLast="0"/>
      <w:bookmarkEnd w:id="2"/>
    </w:p>
    <w:p w14:paraId="67F738F9" w14:textId="77777777" w:rsidR="00DE2074" w:rsidRDefault="00000000">
      <w:pPr>
        <w:spacing w:line="276" w:lineRule="auto"/>
        <w:ind w:right="-560"/>
        <w:jc w:val="both"/>
        <w:rPr>
          <w:rFonts w:ascii="Open Sans" w:eastAsia="Open Sans" w:hAnsi="Open Sans" w:cs="Open Sans"/>
          <w:b/>
          <w:bCs/>
          <w:color w:val="000000"/>
          <w:sz w:val="22"/>
          <w:szCs w:val="22"/>
        </w:rPr>
      </w:pPr>
      <w:r>
        <w:rPr>
          <w:rFonts w:ascii="Open Sans" w:eastAsia="Open Sans" w:hAnsi="Open Sans" w:cs="Open Sans"/>
          <w:color w:val="262626"/>
          <w:sz w:val="22"/>
          <w:szCs w:val="22"/>
        </w:rPr>
        <w:lastRenderedPageBreak/>
        <w:t xml:space="preserve">“El mercado del alquiler ya avanza claramente a dos velocidades con fuertes subidas en zonas de alta demanda (como el sur y los archipiélagos) y ajustes en aquellas capitales donde la presión es menor. En los mercados más tensionados, la combinación de una demanda muy sólida impulsada por factores demográficos, económicos y turísticos y una oferta insuficiente sigue empujando los precios al alza. Por otro lado, se esperan ajustes en otras capitales donde la presión es menor. Sin embargo, hay que tener en cuenta que el segundo trimestre suele traer cierta moderación en los precios antes del repunte habitual tras el verano, cuando aumenta la movilidad residencial. Por ello, parte de estos descensos pueden ser puntuales. En cualquier caso, mientras no se incremente de forma significativa la oferta de vivienda, especialmente en las zonas más tensionadas, los precios seguirán bajo presión y el acceso a la vivienda continuará siendo la principal preocupación para los ciudadanos”, </w:t>
      </w:r>
      <w:r>
        <w:rPr>
          <w:rFonts w:ascii="Open Sans" w:eastAsia="Open Sans" w:hAnsi="Open Sans" w:cs="Open Sans"/>
          <w:b/>
          <w:bCs/>
          <w:color w:val="262626"/>
          <w:sz w:val="22"/>
          <w:szCs w:val="22"/>
        </w:rPr>
        <w:t xml:space="preserve">explica María Matos, directora de Estudios de </w:t>
      </w:r>
      <w:hyperlink r:id="rId13">
        <w:r w:rsidR="00DE2074">
          <w:rPr>
            <w:rFonts w:ascii="Open Sans" w:eastAsia="Open Sans" w:hAnsi="Open Sans" w:cs="Open Sans"/>
            <w:b/>
            <w:bCs/>
            <w:color w:val="1155CC"/>
            <w:sz w:val="22"/>
            <w:szCs w:val="22"/>
            <w:u w:val="single"/>
          </w:rPr>
          <w:t>Fotocasa</w:t>
        </w:r>
      </w:hyperlink>
      <w:r>
        <w:rPr>
          <w:rFonts w:ascii="Open Sans" w:eastAsia="Open Sans" w:hAnsi="Open Sans" w:cs="Open Sans"/>
          <w:color w:val="262626"/>
          <w:sz w:val="22"/>
          <w:szCs w:val="22"/>
        </w:rPr>
        <w:t xml:space="preserve">. </w:t>
      </w:r>
    </w:p>
    <w:p w14:paraId="1251A990" w14:textId="77777777" w:rsidR="00DE2074" w:rsidRDefault="00DE2074">
      <w:pPr>
        <w:spacing w:line="276" w:lineRule="auto"/>
        <w:ind w:right="-560"/>
        <w:jc w:val="both"/>
        <w:rPr>
          <w:rFonts w:ascii="Open Sans" w:eastAsia="Open Sans" w:hAnsi="Open Sans" w:cs="Open Sans"/>
          <w:b/>
          <w:bCs/>
          <w:color w:val="000000"/>
          <w:sz w:val="22"/>
          <w:szCs w:val="22"/>
        </w:rPr>
      </w:pPr>
    </w:p>
    <w:p w14:paraId="61E2AB83" w14:textId="77777777" w:rsidR="00DE2074" w:rsidRDefault="00000000">
      <w:pPr>
        <w:spacing w:line="276" w:lineRule="auto"/>
        <w:ind w:right="-560"/>
        <w:jc w:val="both"/>
        <w:rPr>
          <w:rFonts w:ascii="Open Sans" w:eastAsia="Open Sans" w:hAnsi="Open Sans" w:cs="Open Sans"/>
          <w:b/>
          <w:bCs/>
          <w:color w:val="002060"/>
        </w:rPr>
      </w:pPr>
      <w:r>
        <w:rPr>
          <w:rFonts w:ascii="Open Sans" w:eastAsia="Open Sans" w:hAnsi="Open Sans" w:cs="Open Sans"/>
          <w:b/>
          <w:bCs/>
          <w:color w:val="002060"/>
        </w:rPr>
        <w:t>Subirán los precios en 33 ciudades al cierre del segundo trimestre</w:t>
      </w:r>
    </w:p>
    <w:p w14:paraId="4FDAB541" w14:textId="77777777" w:rsidR="00DE2074" w:rsidRDefault="00DE2074">
      <w:pPr>
        <w:spacing w:line="276" w:lineRule="auto"/>
        <w:ind w:right="-560"/>
        <w:jc w:val="both"/>
        <w:rPr>
          <w:rFonts w:ascii="Open Sans" w:eastAsia="Open Sans" w:hAnsi="Open Sans" w:cs="Open Sans"/>
          <w:color w:val="262626"/>
          <w:sz w:val="22"/>
          <w:szCs w:val="22"/>
        </w:rPr>
      </w:pPr>
    </w:p>
    <w:p w14:paraId="14685156" w14:textId="77777777" w:rsidR="00DE2074" w:rsidRDefault="00000000">
      <w:pPr>
        <w:spacing w:line="276" w:lineRule="auto"/>
        <w:ind w:right="-560"/>
        <w:jc w:val="both"/>
        <w:rPr>
          <w:rFonts w:ascii="Open Sans" w:eastAsia="Open Sans" w:hAnsi="Open Sans" w:cs="Open Sans"/>
          <w:color w:val="262626"/>
          <w:sz w:val="22"/>
          <w:szCs w:val="22"/>
        </w:rPr>
      </w:pPr>
      <w:bookmarkStart w:id="3" w:name="_heading=h.z83tdqvwkczi" w:colFirst="0" w:colLast="0"/>
      <w:bookmarkEnd w:id="3"/>
      <w:r>
        <w:rPr>
          <w:rFonts w:ascii="Open Sans" w:eastAsia="Open Sans" w:hAnsi="Open Sans" w:cs="Open Sans"/>
          <w:color w:val="262626"/>
          <w:sz w:val="22"/>
          <w:szCs w:val="22"/>
        </w:rPr>
        <w:t>Según la previsión del índice, el número de capitales con valores de los alquileres alcistas se mantendrá en junio en 33 ciudades, igual que en la previsión para el cierre del primer trimestre de 2026.</w:t>
      </w:r>
      <w:r>
        <w:t xml:space="preserve"> </w:t>
      </w:r>
      <w:r>
        <w:rPr>
          <w:rFonts w:ascii="Open Sans" w:eastAsia="Open Sans" w:hAnsi="Open Sans" w:cs="Open Sans"/>
          <w:color w:val="262626"/>
          <w:sz w:val="22"/>
          <w:szCs w:val="22"/>
        </w:rPr>
        <w:t xml:space="preserve">En la Comunidad Valenciana, Alicante presenta una subida del 6,6%, mientras que en el País Vasco sobresale San Sebastián (6,3%). </w:t>
      </w:r>
      <w:r>
        <w:rPr>
          <w:rFonts w:ascii="Open Sans" w:eastAsia="Open Sans" w:hAnsi="Open Sans" w:cs="Open Sans"/>
          <w:b/>
          <w:bCs/>
          <w:color w:val="262626"/>
          <w:sz w:val="22"/>
          <w:szCs w:val="22"/>
        </w:rPr>
        <w:t>Castilla-La Mancha mantiene un comportamiento positivo con Cuenca (5,5%), Guadalajara (3,8%) y Toledo (2,3%),</w:t>
      </w:r>
      <w:r>
        <w:rPr>
          <w:rFonts w:ascii="Open Sans" w:eastAsia="Open Sans" w:hAnsi="Open Sans" w:cs="Open Sans"/>
          <w:color w:val="262626"/>
          <w:sz w:val="22"/>
          <w:szCs w:val="22"/>
        </w:rPr>
        <w:t xml:space="preserve"> </w:t>
      </w:r>
      <w:r>
        <w:rPr>
          <w:rFonts w:ascii="Open Sans" w:eastAsia="Open Sans" w:hAnsi="Open Sans" w:cs="Open Sans"/>
          <w:b/>
          <w:bCs/>
          <w:color w:val="262626"/>
          <w:sz w:val="22"/>
          <w:szCs w:val="22"/>
        </w:rPr>
        <w:t>mientras que en Andalucía también destacan Cádiz (4,7%) y, en menor medida, Jaén (2,0%) y Granada (1,1%)</w:t>
      </w:r>
      <w:r>
        <w:rPr>
          <w:rFonts w:ascii="Open Sans" w:eastAsia="Open Sans" w:hAnsi="Open Sans" w:cs="Open Sans"/>
          <w:color w:val="262626"/>
          <w:sz w:val="22"/>
          <w:szCs w:val="22"/>
        </w:rPr>
        <w:t>. Por comunidades autónomas, Andalucía muestra un comportamiento mixto, con capitales como Málaga (-0,5%), Almería (-0,6%), Huelva (-2,0%) y Córdoba (-5,3%) registrando descensos.</w:t>
      </w:r>
    </w:p>
    <w:p w14:paraId="0105181A" w14:textId="77777777" w:rsidR="00DE2074" w:rsidRDefault="00DE2074">
      <w:pPr>
        <w:spacing w:line="276" w:lineRule="auto"/>
        <w:ind w:right="-560"/>
        <w:jc w:val="both"/>
        <w:rPr>
          <w:rFonts w:ascii="Open Sans" w:eastAsia="Open Sans" w:hAnsi="Open Sans" w:cs="Open Sans"/>
          <w:color w:val="262626"/>
          <w:sz w:val="22"/>
          <w:szCs w:val="22"/>
        </w:rPr>
      </w:pPr>
    </w:p>
    <w:p w14:paraId="3B7A5857" w14:textId="77777777" w:rsidR="00DE2074"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bCs/>
          <w:color w:val="262626"/>
          <w:sz w:val="22"/>
          <w:szCs w:val="22"/>
        </w:rPr>
        <w:t>En Canarias, Santa Cruz de Tenerife (10,0%) y Las Palmas de Gran Canaria (3,1%) presentan incrementos, al igual que Palma en Islas Baleares (8,1%), consolidando el atractivo de los mercados insulares</w:t>
      </w:r>
      <w:r>
        <w:rPr>
          <w:rFonts w:ascii="Open Sans" w:eastAsia="Open Sans" w:hAnsi="Open Sans" w:cs="Open Sans"/>
          <w:color w:val="262626"/>
          <w:sz w:val="22"/>
          <w:szCs w:val="22"/>
        </w:rPr>
        <w:t xml:space="preserve">. En el norte, Galicia mantiene una evolución positiva moderada con Lugo (4,6%), A Coruña (3,2%), Ourense (2,4%), Pontevedra (0,7%) y Vigo (0,6%). En el País Vasco, además de San Sebastián (6,3%), también crecen Vitoria (3,0%) y Bilbao (2,8%). Navarra, por su parte, registra una subida en Pamplona (2,4%), y Cantabria en Santander (3,0%). También en el norte, Oviedo registra un incremento trimestral del 1,2%. En Aragón, Huesca (4,7%) y Zaragoza (2,3%) suben, aunque Teruel protagoniza el mayor descenso del país. En Castilla y León, el comportamiento es mayoritariamente positivo, con subidas en León (4,1%), Soria (2,1%), Burgos (1,1%) y Ávila </w:t>
      </w:r>
      <w:r>
        <w:rPr>
          <w:rFonts w:ascii="Open Sans" w:eastAsia="Open Sans" w:hAnsi="Open Sans" w:cs="Open Sans"/>
          <w:color w:val="262626"/>
          <w:sz w:val="22"/>
          <w:szCs w:val="22"/>
        </w:rPr>
        <w:lastRenderedPageBreak/>
        <w:t>(0,9%), aunque también se registran caídas en Salamanca (-2,6%), Valladolid (-3,7%), Zamora (-5,6%), Segovia (-5,9%) y Palencia (-0,2%).</w:t>
      </w:r>
    </w:p>
    <w:p w14:paraId="1187E62D" w14:textId="77777777" w:rsidR="00DE2074" w:rsidRDefault="00DE2074">
      <w:pPr>
        <w:spacing w:line="276" w:lineRule="auto"/>
        <w:ind w:right="-560"/>
        <w:jc w:val="center"/>
        <w:rPr>
          <w:rFonts w:ascii="Open Sans" w:eastAsia="Open Sans" w:hAnsi="Open Sans" w:cs="Open Sans"/>
          <w:b/>
          <w:bCs/>
          <w:color w:val="002060"/>
          <w:sz w:val="28"/>
          <w:szCs w:val="28"/>
        </w:rPr>
      </w:pPr>
    </w:p>
    <w:p w14:paraId="2595FE40" w14:textId="77777777" w:rsidR="00DE2074" w:rsidRDefault="00000000">
      <w:pPr>
        <w:spacing w:line="276" w:lineRule="auto"/>
        <w:ind w:right="-560"/>
        <w:jc w:val="center"/>
        <w:rPr>
          <w:rFonts w:ascii="Open Sans" w:eastAsia="Open Sans" w:hAnsi="Open Sans" w:cs="Open Sans"/>
          <w:b/>
          <w:bCs/>
          <w:color w:val="002060"/>
          <w:sz w:val="28"/>
          <w:szCs w:val="28"/>
        </w:rPr>
      </w:pPr>
      <w:r>
        <w:rPr>
          <w:rFonts w:ascii="Open Sans" w:eastAsia="Open Sans" w:hAnsi="Open Sans" w:cs="Open Sans"/>
          <w:b/>
          <w:bCs/>
          <w:color w:val="002060"/>
          <w:sz w:val="28"/>
          <w:szCs w:val="28"/>
        </w:rPr>
        <w:t>Ciudades en las que más subirá el precio de la vivienda en alquiler</w:t>
      </w:r>
    </w:p>
    <w:p w14:paraId="0647B60B" w14:textId="77777777" w:rsidR="00DE2074" w:rsidRDefault="00000000">
      <w:pPr>
        <w:spacing w:line="276" w:lineRule="auto"/>
        <w:ind w:right="-560" w:hanging="426"/>
        <w:jc w:val="center"/>
        <w:rPr>
          <w:rFonts w:ascii="Open Sans" w:eastAsia="Open Sans" w:hAnsi="Open Sans" w:cs="Open Sans"/>
          <w:color w:val="262626"/>
          <w:sz w:val="22"/>
          <w:szCs w:val="22"/>
        </w:rPr>
      </w:pPr>
      <w:r>
        <w:rPr>
          <w:noProof/>
        </w:rPr>
        <w:drawing>
          <wp:inline distT="0" distB="0" distL="0" distR="0" wp14:anchorId="5870A4DD" wp14:editId="74719F15">
            <wp:extent cx="6096000" cy="36861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096000" cy="3686175"/>
                    </a:xfrm>
                    <a:prstGeom prst="rect">
                      <a:avLst/>
                    </a:prstGeom>
                    <a:ln/>
                  </pic:spPr>
                </pic:pic>
              </a:graphicData>
            </a:graphic>
          </wp:inline>
        </w:drawing>
      </w:r>
    </w:p>
    <w:p w14:paraId="081F80D7" w14:textId="77777777" w:rsidR="00DE2074" w:rsidRDefault="00DE2074">
      <w:pPr>
        <w:spacing w:line="276" w:lineRule="auto"/>
        <w:ind w:right="-560"/>
        <w:jc w:val="both"/>
        <w:rPr>
          <w:rFonts w:ascii="Open Sans" w:eastAsia="Open Sans" w:hAnsi="Open Sans" w:cs="Open Sans"/>
          <w:color w:val="262626"/>
          <w:sz w:val="22"/>
          <w:szCs w:val="22"/>
        </w:rPr>
      </w:pPr>
    </w:p>
    <w:p w14:paraId="3B9E7E77" w14:textId="77777777" w:rsidR="00DE2074" w:rsidRDefault="00DE2074">
      <w:pPr>
        <w:spacing w:line="276" w:lineRule="auto"/>
        <w:ind w:right="-560"/>
        <w:jc w:val="both"/>
        <w:rPr>
          <w:rFonts w:ascii="Open Sans" w:eastAsia="Open Sans" w:hAnsi="Open Sans" w:cs="Open Sans"/>
          <w:b/>
          <w:bCs/>
          <w:color w:val="002060"/>
        </w:rPr>
      </w:pPr>
      <w:bookmarkStart w:id="4" w:name="_heading=h.smoqfr7jl9xh" w:colFirst="0" w:colLast="0"/>
      <w:bookmarkEnd w:id="4"/>
    </w:p>
    <w:p w14:paraId="4A666436" w14:textId="77777777" w:rsidR="00DE2074" w:rsidRDefault="00000000">
      <w:pPr>
        <w:spacing w:line="276" w:lineRule="auto"/>
        <w:ind w:right="-560"/>
        <w:jc w:val="both"/>
        <w:rPr>
          <w:rFonts w:ascii="Open Sans" w:eastAsia="Open Sans" w:hAnsi="Open Sans" w:cs="Open Sans"/>
          <w:b/>
          <w:bCs/>
          <w:color w:val="002060"/>
        </w:rPr>
      </w:pPr>
      <w:r>
        <w:rPr>
          <w:rFonts w:ascii="Open Sans" w:eastAsia="Open Sans" w:hAnsi="Open Sans" w:cs="Open Sans"/>
          <w:b/>
          <w:bCs/>
          <w:color w:val="002060"/>
        </w:rPr>
        <w:t>Descensos acusados en el interior y grandes capitales</w:t>
      </w:r>
    </w:p>
    <w:p w14:paraId="551F424F" w14:textId="77777777" w:rsidR="00DE2074" w:rsidRDefault="00DE2074">
      <w:pPr>
        <w:spacing w:line="276" w:lineRule="auto"/>
        <w:ind w:right="-560"/>
        <w:jc w:val="both"/>
        <w:rPr>
          <w:rFonts w:ascii="Open Sans" w:eastAsia="Open Sans" w:hAnsi="Open Sans" w:cs="Open Sans"/>
          <w:color w:val="262626"/>
          <w:sz w:val="22"/>
          <w:szCs w:val="22"/>
        </w:rPr>
      </w:pPr>
    </w:p>
    <w:p w14:paraId="2B3FB09C" w14:textId="77777777" w:rsidR="00DE2074"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En el extremo opuesto, el índice anticipa caídas relevantes en varias capitales. La mencionada Teruel lidera los descensos con una corrección del -25,6%, seguida de Logroño (-10,3%) y Barcelona (-7,9%), que se sitúan entre los ajustes más intensos del periodo. También destacan las bajadas en las ciudades de Segovia (-5,9%), Zamora (-5,6%), Córdoba (-5,3%),</w:t>
      </w:r>
      <w:r>
        <w:t xml:space="preserve"> </w:t>
      </w:r>
      <w:r>
        <w:rPr>
          <w:rFonts w:ascii="Open Sans" w:eastAsia="Open Sans" w:hAnsi="Open Sans" w:cs="Open Sans"/>
          <w:color w:val="262626"/>
          <w:sz w:val="22"/>
          <w:szCs w:val="22"/>
        </w:rPr>
        <w:t xml:space="preserve">Palencia (-0,2%) y Albacete (-0,4%). </w:t>
      </w:r>
      <w:r>
        <w:rPr>
          <w:rFonts w:ascii="Open Sans" w:eastAsia="Open Sans" w:hAnsi="Open Sans" w:cs="Open Sans"/>
          <w:b/>
          <w:bCs/>
          <w:color w:val="262626"/>
          <w:sz w:val="22"/>
          <w:szCs w:val="22"/>
        </w:rPr>
        <w:t>En Cataluña, además de Barcelona, se prevén descensos en Tarragona (-3,2%) y Girona (-3,1%), mientras que Lleida presenta un incremento del 4,5%</w:t>
      </w:r>
      <w:r>
        <w:rPr>
          <w:rFonts w:ascii="Open Sans" w:eastAsia="Open Sans" w:hAnsi="Open Sans" w:cs="Open Sans"/>
          <w:color w:val="262626"/>
          <w:sz w:val="22"/>
          <w:szCs w:val="22"/>
        </w:rPr>
        <w:t xml:space="preserve">. </w:t>
      </w:r>
    </w:p>
    <w:p w14:paraId="45671754" w14:textId="77777777" w:rsidR="00DE2074" w:rsidRDefault="00DE2074">
      <w:pPr>
        <w:spacing w:line="276" w:lineRule="auto"/>
        <w:ind w:right="-560"/>
        <w:jc w:val="both"/>
        <w:rPr>
          <w:rFonts w:ascii="Open Sans" w:eastAsia="Open Sans" w:hAnsi="Open Sans" w:cs="Open Sans"/>
          <w:color w:val="262626"/>
          <w:sz w:val="22"/>
          <w:szCs w:val="22"/>
        </w:rPr>
      </w:pPr>
    </w:p>
    <w:p w14:paraId="47B1D797" w14:textId="77777777" w:rsidR="00354DE1" w:rsidRDefault="00354DE1">
      <w:pPr>
        <w:spacing w:line="276" w:lineRule="auto"/>
        <w:ind w:right="-560"/>
        <w:jc w:val="both"/>
        <w:rPr>
          <w:rFonts w:ascii="Open Sans" w:eastAsia="Open Sans" w:hAnsi="Open Sans" w:cs="Open Sans"/>
          <w:color w:val="262626"/>
          <w:sz w:val="22"/>
          <w:szCs w:val="22"/>
        </w:rPr>
      </w:pPr>
    </w:p>
    <w:p w14:paraId="1EF6D65F" w14:textId="77777777" w:rsidR="00DE2074"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bCs/>
          <w:color w:val="262626"/>
          <w:sz w:val="22"/>
          <w:szCs w:val="22"/>
        </w:rPr>
        <w:lastRenderedPageBreak/>
        <w:t>En la Comunidad de Madrid, la capital registra una caída del -2,6%.</w:t>
      </w:r>
      <w:r>
        <w:rPr>
          <w:rFonts w:ascii="Open Sans" w:eastAsia="Open Sans" w:hAnsi="Open Sans" w:cs="Open Sans"/>
          <w:color w:val="262626"/>
          <w:sz w:val="22"/>
          <w:szCs w:val="22"/>
        </w:rPr>
        <w:t xml:space="preserve"> En la Comunidad Valenciana, el comportamiento es dispar: mientras Alicante sube (6,6%) y Castellón de la Plana apenas avanza (0,2%), Valencia presenta un descenso del -1,6%. En Extremadura, Cáceres (0,3%) muestra una leve subida, frente a Badajoz (-3,7%), que cae con mayor intensidad. A diferencia de periodos anteriores, el modelo predictivo no identifica capitales con variación nula en este trimestre. Todas las ciudades analizadas presentan movimientos de precios, ya sea al alza o a la baja, lo que refuerza la idea de un mercado en pleno ajuste y con dinámicas territoriales muy diferenciadas.</w:t>
      </w:r>
    </w:p>
    <w:p w14:paraId="7E8AC0B7" w14:textId="77777777" w:rsidR="00DE2074" w:rsidRDefault="00DE2074">
      <w:pPr>
        <w:spacing w:line="276" w:lineRule="auto"/>
        <w:ind w:right="-560"/>
        <w:jc w:val="both"/>
        <w:rPr>
          <w:rFonts w:ascii="Open Sans" w:eastAsia="Open Sans" w:hAnsi="Open Sans" w:cs="Open Sans"/>
          <w:color w:val="262626"/>
          <w:sz w:val="22"/>
          <w:szCs w:val="22"/>
        </w:rPr>
      </w:pPr>
    </w:p>
    <w:p w14:paraId="2C103441" w14:textId="77777777" w:rsidR="00DE2074" w:rsidRDefault="00DE2074">
      <w:pPr>
        <w:spacing w:line="276" w:lineRule="auto"/>
        <w:ind w:right="-560"/>
        <w:jc w:val="both"/>
        <w:rPr>
          <w:rFonts w:ascii="Open Sans" w:eastAsia="Open Sans" w:hAnsi="Open Sans" w:cs="Open Sans"/>
          <w:color w:val="262626"/>
          <w:sz w:val="22"/>
          <w:szCs w:val="22"/>
        </w:rPr>
      </w:pPr>
    </w:p>
    <w:p w14:paraId="04B15A30" w14:textId="77777777" w:rsidR="00DE2074" w:rsidRDefault="00000000">
      <w:pPr>
        <w:spacing w:line="276" w:lineRule="auto"/>
        <w:ind w:right="-560"/>
        <w:jc w:val="center"/>
        <w:rPr>
          <w:rFonts w:ascii="Open Sans" w:eastAsia="Open Sans" w:hAnsi="Open Sans" w:cs="Open Sans"/>
          <w:b/>
          <w:bCs/>
          <w:color w:val="002060"/>
          <w:sz w:val="28"/>
          <w:szCs w:val="28"/>
        </w:rPr>
      </w:pPr>
      <w:r>
        <w:rPr>
          <w:rFonts w:ascii="Open Sans" w:eastAsia="Open Sans" w:hAnsi="Open Sans" w:cs="Open Sans"/>
          <w:b/>
          <w:bCs/>
          <w:color w:val="002060"/>
          <w:sz w:val="28"/>
          <w:szCs w:val="28"/>
        </w:rPr>
        <w:t>Ciudades en las que más bajará el precio de la vivienda en alquiler</w:t>
      </w:r>
    </w:p>
    <w:p w14:paraId="22DD9C3C" w14:textId="77777777" w:rsidR="00DE2074" w:rsidRDefault="00000000">
      <w:pPr>
        <w:spacing w:line="276" w:lineRule="auto"/>
        <w:ind w:right="-560"/>
        <w:jc w:val="center"/>
        <w:rPr>
          <w:rFonts w:ascii="Open Sans" w:eastAsia="Open Sans" w:hAnsi="Open Sans" w:cs="Open Sans"/>
          <w:color w:val="262626"/>
          <w:sz w:val="22"/>
          <w:szCs w:val="22"/>
        </w:rPr>
      </w:pPr>
      <w:r>
        <w:rPr>
          <w:noProof/>
        </w:rPr>
        <w:drawing>
          <wp:inline distT="0" distB="0" distL="0" distR="0" wp14:anchorId="45F0CF95" wp14:editId="425850C9">
            <wp:extent cx="5829300" cy="31623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829300" cy="3162300"/>
                    </a:xfrm>
                    <a:prstGeom prst="rect">
                      <a:avLst/>
                    </a:prstGeom>
                    <a:ln/>
                  </pic:spPr>
                </pic:pic>
              </a:graphicData>
            </a:graphic>
          </wp:inline>
        </w:drawing>
      </w:r>
    </w:p>
    <w:p w14:paraId="2ABF7780" w14:textId="77777777" w:rsidR="00DE2074" w:rsidRDefault="00DE2074">
      <w:pPr>
        <w:spacing w:line="276" w:lineRule="auto"/>
        <w:ind w:right="-560"/>
        <w:jc w:val="both"/>
        <w:rPr>
          <w:rFonts w:ascii="Open Sans" w:eastAsia="Open Sans" w:hAnsi="Open Sans" w:cs="Open Sans"/>
          <w:color w:val="262626"/>
          <w:sz w:val="22"/>
          <w:szCs w:val="22"/>
        </w:rPr>
      </w:pPr>
    </w:p>
    <w:p w14:paraId="0E582AD7" w14:textId="77777777" w:rsidR="00DE2074" w:rsidRDefault="00DE2074">
      <w:pPr>
        <w:spacing w:line="276" w:lineRule="auto"/>
        <w:ind w:right="-560"/>
        <w:jc w:val="both"/>
        <w:rPr>
          <w:rFonts w:ascii="Open Sans" w:eastAsia="Open Sans" w:hAnsi="Open Sans" w:cs="Open Sans"/>
          <w:b/>
          <w:bCs/>
          <w:color w:val="262626"/>
          <w:sz w:val="22"/>
          <w:szCs w:val="22"/>
        </w:rPr>
      </w:pPr>
    </w:p>
    <w:p w14:paraId="67703C91" w14:textId="77777777" w:rsidR="00DE2074" w:rsidRDefault="00000000">
      <w:pPr>
        <w:spacing w:line="276" w:lineRule="auto"/>
        <w:ind w:right="-560"/>
        <w:rPr>
          <w:rFonts w:ascii="Open Sans" w:eastAsia="Open Sans" w:hAnsi="Open Sans" w:cs="Open Sans"/>
          <w:b/>
          <w:bCs/>
          <w:color w:val="002060"/>
        </w:rPr>
      </w:pPr>
      <w:r>
        <w:rPr>
          <w:rFonts w:ascii="Open Sans" w:eastAsia="Open Sans" w:hAnsi="Open Sans" w:cs="Open Sans"/>
          <w:b/>
          <w:bCs/>
          <w:color w:val="002060"/>
        </w:rPr>
        <w:t xml:space="preserve">                    Variación trimestral por capitales de provincia</w:t>
      </w:r>
    </w:p>
    <w:p w14:paraId="57D064EF" w14:textId="77777777" w:rsidR="00DE2074" w:rsidRDefault="00DE2074">
      <w:pPr>
        <w:spacing w:line="276" w:lineRule="auto"/>
        <w:ind w:right="-560"/>
        <w:jc w:val="both"/>
        <w:rPr>
          <w:rFonts w:ascii="Open Sans" w:eastAsia="Open Sans" w:hAnsi="Open Sans" w:cs="Open Sans"/>
          <w:b/>
          <w:bCs/>
          <w:color w:val="262626"/>
          <w:sz w:val="22"/>
          <w:szCs w:val="22"/>
        </w:rPr>
      </w:pPr>
    </w:p>
    <w:tbl>
      <w:tblPr>
        <w:tblStyle w:val="a"/>
        <w:tblW w:w="694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397"/>
        <w:gridCol w:w="3543"/>
      </w:tblGrid>
      <w:tr w:rsidR="00DE2074" w14:paraId="5808BA24" w14:textId="77777777" w:rsidTr="00DE20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70BD11FE" w14:textId="77777777" w:rsidR="00DE2074" w:rsidRDefault="00000000">
            <w:pPr>
              <w:spacing w:line="276" w:lineRule="auto"/>
              <w:ind w:right="-560"/>
              <w:rPr>
                <w:rFonts w:ascii="Open Sans" w:eastAsia="Open Sans" w:hAnsi="Open Sans" w:cs="Open Sans"/>
                <w:color w:val="303AB2"/>
              </w:rPr>
            </w:pPr>
            <w:r>
              <w:rPr>
                <w:rFonts w:ascii="Open Sans" w:eastAsia="Open Sans" w:hAnsi="Open Sans" w:cs="Open Sans"/>
              </w:rPr>
              <w:t>Capital de provincia</w:t>
            </w:r>
          </w:p>
        </w:tc>
        <w:tc>
          <w:tcPr>
            <w:tcW w:w="3543" w:type="dxa"/>
          </w:tcPr>
          <w:p w14:paraId="20683011" w14:textId="77777777" w:rsidR="00DE2074" w:rsidRDefault="00000000">
            <w:pPr>
              <w:spacing w:line="276" w:lineRule="auto"/>
              <w:ind w:right="-56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303AB2"/>
              </w:rPr>
            </w:pPr>
            <w:r>
              <w:rPr>
                <w:rFonts w:ascii="Open Sans" w:eastAsia="Open Sans" w:hAnsi="Open Sans" w:cs="Open Sans"/>
              </w:rPr>
              <w:t>Variación 2º trimestre (%)</w:t>
            </w:r>
          </w:p>
        </w:tc>
      </w:tr>
      <w:tr w:rsidR="00DE2074" w14:paraId="3FF3FE40"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1D9D93C"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Sevilla </w:t>
            </w:r>
          </w:p>
        </w:tc>
        <w:tc>
          <w:tcPr>
            <w:tcW w:w="3543" w:type="dxa"/>
            <w:vAlign w:val="bottom"/>
          </w:tcPr>
          <w:p w14:paraId="7D6FAAAF"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20,3</w:t>
            </w:r>
          </w:p>
        </w:tc>
      </w:tr>
      <w:tr w:rsidR="00DE2074" w14:paraId="787FF52D"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E6DAEB3"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Santa Cruz</w:t>
            </w:r>
          </w:p>
        </w:tc>
        <w:tc>
          <w:tcPr>
            <w:tcW w:w="3543" w:type="dxa"/>
            <w:vAlign w:val="bottom"/>
          </w:tcPr>
          <w:p w14:paraId="20D3CD84"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10,0</w:t>
            </w:r>
          </w:p>
        </w:tc>
      </w:tr>
      <w:tr w:rsidR="00DE2074" w14:paraId="674813C6"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FEDB057"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Palma </w:t>
            </w:r>
          </w:p>
        </w:tc>
        <w:tc>
          <w:tcPr>
            <w:tcW w:w="3543" w:type="dxa"/>
            <w:vAlign w:val="bottom"/>
          </w:tcPr>
          <w:p w14:paraId="3C92D026"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8,1</w:t>
            </w:r>
          </w:p>
        </w:tc>
      </w:tr>
      <w:tr w:rsidR="00DE2074" w14:paraId="5AE0C888"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32B8831"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Murcia </w:t>
            </w:r>
          </w:p>
        </w:tc>
        <w:tc>
          <w:tcPr>
            <w:tcW w:w="3543" w:type="dxa"/>
            <w:vAlign w:val="bottom"/>
          </w:tcPr>
          <w:p w14:paraId="4814A3E8"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7,4</w:t>
            </w:r>
          </w:p>
        </w:tc>
      </w:tr>
      <w:tr w:rsidR="00DE2074" w14:paraId="3589FB37"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C79EDA8"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Ciudad Real </w:t>
            </w:r>
          </w:p>
        </w:tc>
        <w:tc>
          <w:tcPr>
            <w:tcW w:w="3543" w:type="dxa"/>
            <w:vAlign w:val="bottom"/>
          </w:tcPr>
          <w:p w14:paraId="6C9F4794"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7,0</w:t>
            </w:r>
          </w:p>
        </w:tc>
      </w:tr>
      <w:tr w:rsidR="00DE2074" w14:paraId="5200A86B"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9774FF7"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lastRenderedPageBreak/>
              <w:t xml:space="preserve">Alicante </w:t>
            </w:r>
          </w:p>
        </w:tc>
        <w:tc>
          <w:tcPr>
            <w:tcW w:w="3543" w:type="dxa"/>
            <w:vAlign w:val="bottom"/>
          </w:tcPr>
          <w:p w14:paraId="4143682F"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6,6</w:t>
            </w:r>
          </w:p>
        </w:tc>
      </w:tr>
      <w:tr w:rsidR="00DE2074" w14:paraId="2E42A015"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E49E670"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San Sebastián </w:t>
            </w:r>
          </w:p>
        </w:tc>
        <w:tc>
          <w:tcPr>
            <w:tcW w:w="3543" w:type="dxa"/>
            <w:vAlign w:val="bottom"/>
          </w:tcPr>
          <w:p w14:paraId="741A4128"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6,3</w:t>
            </w:r>
          </w:p>
        </w:tc>
      </w:tr>
      <w:tr w:rsidR="00DE2074" w14:paraId="20A9BBED"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D04058B"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Cuenca </w:t>
            </w:r>
          </w:p>
        </w:tc>
        <w:tc>
          <w:tcPr>
            <w:tcW w:w="3543" w:type="dxa"/>
            <w:vAlign w:val="bottom"/>
          </w:tcPr>
          <w:p w14:paraId="2E557D04"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5,5</w:t>
            </w:r>
          </w:p>
        </w:tc>
      </w:tr>
      <w:tr w:rsidR="00DE2074" w14:paraId="32A2C979"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A9B32CA"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Cádiz </w:t>
            </w:r>
          </w:p>
        </w:tc>
        <w:tc>
          <w:tcPr>
            <w:tcW w:w="3543" w:type="dxa"/>
            <w:vAlign w:val="bottom"/>
          </w:tcPr>
          <w:p w14:paraId="1EF831FF"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4,7</w:t>
            </w:r>
          </w:p>
        </w:tc>
      </w:tr>
      <w:tr w:rsidR="00DE2074" w14:paraId="635938D8"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A17E586"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Huesca </w:t>
            </w:r>
          </w:p>
        </w:tc>
        <w:tc>
          <w:tcPr>
            <w:tcW w:w="3543" w:type="dxa"/>
            <w:vAlign w:val="bottom"/>
          </w:tcPr>
          <w:p w14:paraId="71CD12DA"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4,7</w:t>
            </w:r>
          </w:p>
        </w:tc>
      </w:tr>
      <w:tr w:rsidR="00DE2074" w14:paraId="49B1C9CF"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0E695DA"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Lugo </w:t>
            </w:r>
          </w:p>
        </w:tc>
        <w:tc>
          <w:tcPr>
            <w:tcW w:w="3543" w:type="dxa"/>
            <w:vAlign w:val="bottom"/>
          </w:tcPr>
          <w:p w14:paraId="590FAECD"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4,6</w:t>
            </w:r>
          </w:p>
        </w:tc>
      </w:tr>
      <w:tr w:rsidR="00DE2074" w14:paraId="470AE938"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497F426"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Lleida </w:t>
            </w:r>
          </w:p>
        </w:tc>
        <w:tc>
          <w:tcPr>
            <w:tcW w:w="3543" w:type="dxa"/>
            <w:vAlign w:val="bottom"/>
          </w:tcPr>
          <w:p w14:paraId="147E2981"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4,5</w:t>
            </w:r>
          </w:p>
        </w:tc>
      </w:tr>
      <w:tr w:rsidR="00DE2074" w14:paraId="401F9B26"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8A1DB65"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León </w:t>
            </w:r>
          </w:p>
        </w:tc>
        <w:tc>
          <w:tcPr>
            <w:tcW w:w="3543" w:type="dxa"/>
            <w:vAlign w:val="bottom"/>
          </w:tcPr>
          <w:p w14:paraId="446A6132"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4,1</w:t>
            </w:r>
          </w:p>
        </w:tc>
      </w:tr>
      <w:tr w:rsidR="00DE2074" w14:paraId="2D789D3F"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78FCE6F"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Guadalajara</w:t>
            </w:r>
          </w:p>
        </w:tc>
        <w:tc>
          <w:tcPr>
            <w:tcW w:w="3543" w:type="dxa"/>
            <w:vAlign w:val="bottom"/>
          </w:tcPr>
          <w:p w14:paraId="02EF32B3"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3,8</w:t>
            </w:r>
          </w:p>
        </w:tc>
      </w:tr>
      <w:tr w:rsidR="00DE2074" w14:paraId="3D966A4E"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73557C7"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A Coruña</w:t>
            </w:r>
          </w:p>
        </w:tc>
        <w:tc>
          <w:tcPr>
            <w:tcW w:w="3543" w:type="dxa"/>
            <w:vAlign w:val="bottom"/>
          </w:tcPr>
          <w:p w14:paraId="24752843"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3,2</w:t>
            </w:r>
          </w:p>
        </w:tc>
      </w:tr>
      <w:tr w:rsidR="00DE2074" w14:paraId="0E17736F"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E79159E"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Las Palmas</w:t>
            </w:r>
          </w:p>
        </w:tc>
        <w:tc>
          <w:tcPr>
            <w:tcW w:w="3543" w:type="dxa"/>
            <w:vAlign w:val="bottom"/>
          </w:tcPr>
          <w:p w14:paraId="163F1BBA"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3,1</w:t>
            </w:r>
          </w:p>
        </w:tc>
      </w:tr>
      <w:tr w:rsidR="00DE2074" w14:paraId="3E4834E0"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4B41A07"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Vitoria </w:t>
            </w:r>
          </w:p>
        </w:tc>
        <w:tc>
          <w:tcPr>
            <w:tcW w:w="3543" w:type="dxa"/>
            <w:vAlign w:val="bottom"/>
          </w:tcPr>
          <w:p w14:paraId="7C575AED"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3,0</w:t>
            </w:r>
          </w:p>
        </w:tc>
      </w:tr>
      <w:tr w:rsidR="00DE2074" w14:paraId="16CF7F67"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3215C19"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Santander </w:t>
            </w:r>
          </w:p>
        </w:tc>
        <w:tc>
          <w:tcPr>
            <w:tcW w:w="3543" w:type="dxa"/>
            <w:vAlign w:val="bottom"/>
          </w:tcPr>
          <w:p w14:paraId="61D72C68"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3,0</w:t>
            </w:r>
          </w:p>
        </w:tc>
      </w:tr>
      <w:tr w:rsidR="00DE2074" w14:paraId="630E433C"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157624B"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Bilbao </w:t>
            </w:r>
          </w:p>
        </w:tc>
        <w:tc>
          <w:tcPr>
            <w:tcW w:w="3543" w:type="dxa"/>
            <w:vAlign w:val="bottom"/>
          </w:tcPr>
          <w:p w14:paraId="0062A2DA"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2,8</w:t>
            </w:r>
          </w:p>
        </w:tc>
      </w:tr>
      <w:tr w:rsidR="00DE2074" w14:paraId="7AAECAB7"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5363DEC"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Pamplona </w:t>
            </w:r>
          </w:p>
        </w:tc>
        <w:tc>
          <w:tcPr>
            <w:tcW w:w="3543" w:type="dxa"/>
            <w:vAlign w:val="bottom"/>
          </w:tcPr>
          <w:p w14:paraId="7CF268E3"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2,4</w:t>
            </w:r>
          </w:p>
        </w:tc>
      </w:tr>
      <w:tr w:rsidR="00DE2074" w14:paraId="18F6F76F"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EA3D13C"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Ourense </w:t>
            </w:r>
          </w:p>
        </w:tc>
        <w:tc>
          <w:tcPr>
            <w:tcW w:w="3543" w:type="dxa"/>
            <w:vAlign w:val="bottom"/>
          </w:tcPr>
          <w:p w14:paraId="0D9E9CED"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2,4</w:t>
            </w:r>
          </w:p>
        </w:tc>
      </w:tr>
      <w:tr w:rsidR="00DE2074" w14:paraId="14F28B35"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57F0DCD"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Toledo </w:t>
            </w:r>
          </w:p>
        </w:tc>
        <w:tc>
          <w:tcPr>
            <w:tcW w:w="3543" w:type="dxa"/>
            <w:vAlign w:val="bottom"/>
          </w:tcPr>
          <w:p w14:paraId="06415F52"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2,3</w:t>
            </w:r>
          </w:p>
        </w:tc>
      </w:tr>
      <w:tr w:rsidR="00DE2074" w14:paraId="7CB09A87"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7D32F7F"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Zaragoza </w:t>
            </w:r>
          </w:p>
        </w:tc>
        <w:tc>
          <w:tcPr>
            <w:tcW w:w="3543" w:type="dxa"/>
            <w:vAlign w:val="bottom"/>
          </w:tcPr>
          <w:p w14:paraId="3BD1DA4D"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2,3</w:t>
            </w:r>
          </w:p>
        </w:tc>
      </w:tr>
      <w:tr w:rsidR="00DE2074" w14:paraId="44E5454F"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E253617"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Soria </w:t>
            </w:r>
          </w:p>
        </w:tc>
        <w:tc>
          <w:tcPr>
            <w:tcW w:w="3543" w:type="dxa"/>
            <w:vAlign w:val="bottom"/>
          </w:tcPr>
          <w:p w14:paraId="1498CC60"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2,1</w:t>
            </w:r>
          </w:p>
        </w:tc>
      </w:tr>
      <w:tr w:rsidR="00DE2074" w14:paraId="3896CAA9"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AA0B7A6"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Jaén </w:t>
            </w:r>
          </w:p>
        </w:tc>
        <w:tc>
          <w:tcPr>
            <w:tcW w:w="3543" w:type="dxa"/>
            <w:vAlign w:val="bottom"/>
          </w:tcPr>
          <w:p w14:paraId="72B22DDF"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2,0</w:t>
            </w:r>
          </w:p>
        </w:tc>
      </w:tr>
      <w:tr w:rsidR="00DE2074" w14:paraId="11A86402"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BE9789C"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Oviedo </w:t>
            </w:r>
          </w:p>
        </w:tc>
        <w:tc>
          <w:tcPr>
            <w:tcW w:w="3543" w:type="dxa"/>
            <w:vAlign w:val="bottom"/>
          </w:tcPr>
          <w:p w14:paraId="16C4A987"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1,2</w:t>
            </w:r>
          </w:p>
        </w:tc>
      </w:tr>
      <w:tr w:rsidR="00DE2074" w14:paraId="17EAB1CF"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4114A8A"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Burgos </w:t>
            </w:r>
          </w:p>
        </w:tc>
        <w:tc>
          <w:tcPr>
            <w:tcW w:w="3543" w:type="dxa"/>
            <w:vAlign w:val="bottom"/>
          </w:tcPr>
          <w:p w14:paraId="2665513F"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1,1</w:t>
            </w:r>
          </w:p>
        </w:tc>
      </w:tr>
      <w:tr w:rsidR="00DE2074" w14:paraId="4F0D6237"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1B41676"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Granada </w:t>
            </w:r>
          </w:p>
        </w:tc>
        <w:tc>
          <w:tcPr>
            <w:tcW w:w="3543" w:type="dxa"/>
            <w:vAlign w:val="bottom"/>
          </w:tcPr>
          <w:p w14:paraId="14CE728E"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1,1</w:t>
            </w:r>
          </w:p>
        </w:tc>
      </w:tr>
      <w:tr w:rsidR="00DE2074" w14:paraId="6740CD35"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F7DAD66"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Ávila </w:t>
            </w:r>
          </w:p>
        </w:tc>
        <w:tc>
          <w:tcPr>
            <w:tcW w:w="3543" w:type="dxa"/>
            <w:vAlign w:val="bottom"/>
          </w:tcPr>
          <w:p w14:paraId="2371FE98"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0,9</w:t>
            </w:r>
          </w:p>
        </w:tc>
      </w:tr>
      <w:tr w:rsidR="00DE2074" w14:paraId="427A60F0"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C0D48BD"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Pontevedra </w:t>
            </w:r>
          </w:p>
        </w:tc>
        <w:tc>
          <w:tcPr>
            <w:tcW w:w="3543" w:type="dxa"/>
            <w:vAlign w:val="bottom"/>
          </w:tcPr>
          <w:p w14:paraId="64AC565F"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0,7</w:t>
            </w:r>
          </w:p>
        </w:tc>
      </w:tr>
      <w:tr w:rsidR="00DE2074" w14:paraId="1CB9D380"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BE5BCA3"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Vigo </w:t>
            </w:r>
          </w:p>
        </w:tc>
        <w:tc>
          <w:tcPr>
            <w:tcW w:w="3543" w:type="dxa"/>
            <w:vAlign w:val="bottom"/>
          </w:tcPr>
          <w:p w14:paraId="6782B72B"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0,6</w:t>
            </w:r>
          </w:p>
        </w:tc>
      </w:tr>
      <w:tr w:rsidR="00DE2074" w14:paraId="61FACF2F"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FF3980A"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Cáceres </w:t>
            </w:r>
          </w:p>
        </w:tc>
        <w:tc>
          <w:tcPr>
            <w:tcW w:w="3543" w:type="dxa"/>
            <w:vAlign w:val="bottom"/>
          </w:tcPr>
          <w:p w14:paraId="5F1C767F"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0,3</w:t>
            </w:r>
          </w:p>
        </w:tc>
      </w:tr>
      <w:tr w:rsidR="00DE2074" w14:paraId="369FE4A5"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DEB313D"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Castellón</w:t>
            </w:r>
          </w:p>
        </w:tc>
        <w:tc>
          <w:tcPr>
            <w:tcW w:w="3543" w:type="dxa"/>
            <w:vAlign w:val="bottom"/>
          </w:tcPr>
          <w:p w14:paraId="72CCD1F7"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0,2</w:t>
            </w:r>
          </w:p>
        </w:tc>
      </w:tr>
      <w:tr w:rsidR="00DE2074" w14:paraId="75E7B0E7"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F1367C8"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Palencia </w:t>
            </w:r>
          </w:p>
        </w:tc>
        <w:tc>
          <w:tcPr>
            <w:tcW w:w="3543" w:type="dxa"/>
            <w:vAlign w:val="bottom"/>
          </w:tcPr>
          <w:p w14:paraId="16813555"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-0,2</w:t>
            </w:r>
          </w:p>
        </w:tc>
      </w:tr>
      <w:tr w:rsidR="00DE2074" w14:paraId="0479E92A"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47A8281"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Albacete </w:t>
            </w:r>
          </w:p>
        </w:tc>
        <w:tc>
          <w:tcPr>
            <w:tcW w:w="3543" w:type="dxa"/>
            <w:vAlign w:val="bottom"/>
          </w:tcPr>
          <w:p w14:paraId="7AED80FA"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-0,4</w:t>
            </w:r>
          </w:p>
        </w:tc>
      </w:tr>
      <w:tr w:rsidR="00DE2074" w14:paraId="11E49CFD"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3F2AAED"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Málaga </w:t>
            </w:r>
          </w:p>
        </w:tc>
        <w:tc>
          <w:tcPr>
            <w:tcW w:w="3543" w:type="dxa"/>
            <w:vAlign w:val="bottom"/>
          </w:tcPr>
          <w:p w14:paraId="1F94288E"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-0,5</w:t>
            </w:r>
          </w:p>
        </w:tc>
      </w:tr>
      <w:tr w:rsidR="00DE2074" w14:paraId="715CB111"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A6761BE"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Almería </w:t>
            </w:r>
          </w:p>
        </w:tc>
        <w:tc>
          <w:tcPr>
            <w:tcW w:w="3543" w:type="dxa"/>
            <w:vAlign w:val="bottom"/>
          </w:tcPr>
          <w:p w14:paraId="3B1D629B"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-0,6</w:t>
            </w:r>
          </w:p>
        </w:tc>
      </w:tr>
      <w:tr w:rsidR="00DE2074" w14:paraId="46FF6A1F"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C01D470"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Valencia </w:t>
            </w:r>
          </w:p>
        </w:tc>
        <w:tc>
          <w:tcPr>
            <w:tcW w:w="3543" w:type="dxa"/>
            <w:vAlign w:val="bottom"/>
          </w:tcPr>
          <w:p w14:paraId="3D3F7885"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-1,6</w:t>
            </w:r>
          </w:p>
        </w:tc>
      </w:tr>
      <w:tr w:rsidR="00DE2074" w14:paraId="13E7075A"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F96FF01"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Huelva </w:t>
            </w:r>
          </w:p>
        </w:tc>
        <w:tc>
          <w:tcPr>
            <w:tcW w:w="3543" w:type="dxa"/>
            <w:vAlign w:val="bottom"/>
          </w:tcPr>
          <w:p w14:paraId="6EC197BC"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-2,0</w:t>
            </w:r>
          </w:p>
        </w:tc>
      </w:tr>
      <w:tr w:rsidR="00DE2074" w14:paraId="4DBA2A96"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111CB82"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Madrid </w:t>
            </w:r>
          </w:p>
        </w:tc>
        <w:tc>
          <w:tcPr>
            <w:tcW w:w="3543" w:type="dxa"/>
            <w:vAlign w:val="bottom"/>
          </w:tcPr>
          <w:p w14:paraId="42B8FC77"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-2,6</w:t>
            </w:r>
          </w:p>
        </w:tc>
      </w:tr>
      <w:tr w:rsidR="00DE2074" w14:paraId="0B37866C"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A008FA9"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Salamanca </w:t>
            </w:r>
          </w:p>
        </w:tc>
        <w:tc>
          <w:tcPr>
            <w:tcW w:w="3543" w:type="dxa"/>
            <w:vAlign w:val="bottom"/>
          </w:tcPr>
          <w:p w14:paraId="02943811"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-2,6</w:t>
            </w:r>
          </w:p>
        </w:tc>
      </w:tr>
      <w:tr w:rsidR="00DE2074" w14:paraId="5C44B7A9"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C2C9116"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lastRenderedPageBreak/>
              <w:t xml:space="preserve">Girona </w:t>
            </w:r>
          </w:p>
        </w:tc>
        <w:tc>
          <w:tcPr>
            <w:tcW w:w="3543" w:type="dxa"/>
            <w:vAlign w:val="bottom"/>
          </w:tcPr>
          <w:p w14:paraId="04C6DE24"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-3,1</w:t>
            </w:r>
          </w:p>
        </w:tc>
      </w:tr>
      <w:tr w:rsidR="00DE2074" w14:paraId="600111B8"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346AB28"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Tarragona </w:t>
            </w:r>
          </w:p>
        </w:tc>
        <w:tc>
          <w:tcPr>
            <w:tcW w:w="3543" w:type="dxa"/>
            <w:vAlign w:val="bottom"/>
          </w:tcPr>
          <w:p w14:paraId="5920F26C"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-3,2</w:t>
            </w:r>
          </w:p>
        </w:tc>
      </w:tr>
      <w:tr w:rsidR="00DE2074" w14:paraId="75ADF5E6"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4119CAF"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Badajoz </w:t>
            </w:r>
          </w:p>
        </w:tc>
        <w:tc>
          <w:tcPr>
            <w:tcW w:w="3543" w:type="dxa"/>
            <w:vAlign w:val="bottom"/>
          </w:tcPr>
          <w:p w14:paraId="52B49B12"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-3,7</w:t>
            </w:r>
          </w:p>
        </w:tc>
      </w:tr>
      <w:tr w:rsidR="00DE2074" w14:paraId="62703446"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DBF7C21"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Valladolid </w:t>
            </w:r>
          </w:p>
        </w:tc>
        <w:tc>
          <w:tcPr>
            <w:tcW w:w="3543" w:type="dxa"/>
            <w:vAlign w:val="bottom"/>
          </w:tcPr>
          <w:p w14:paraId="2609D655"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-3,7</w:t>
            </w:r>
          </w:p>
        </w:tc>
      </w:tr>
      <w:tr w:rsidR="00DE2074" w14:paraId="6422FB65"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5924085"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Córdoba </w:t>
            </w:r>
          </w:p>
        </w:tc>
        <w:tc>
          <w:tcPr>
            <w:tcW w:w="3543" w:type="dxa"/>
            <w:vAlign w:val="bottom"/>
          </w:tcPr>
          <w:p w14:paraId="56C1CEAF"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-5,3</w:t>
            </w:r>
          </w:p>
        </w:tc>
      </w:tr>
      <w:tr w:rsidR="00DE2074" w14:paraId="031FCB57"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D133A25"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Zamora </w:t>
            </w:r>
          </w:p>
        </w:tc>
        <w:tc>
          <w:tcPr>
            <w:tcW w:w="3543" w:type="dxa"/>
            <w:vAlign w:val="bottom"/>
          </w:tcPr>
          <w:p w14:paraId="55AA58DC"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-5,6</w:t>
            </w:r>
          </w:p>
        </w:tc>
      </w:tr>
      <w:tr w:rsidR="00DE2074" w14:paraId="70682FBE"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5C86CCB"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Segovia </w:t>
            </w:r>
          </w:p>
        </w:tc>
        <w:tc>
          <w:tcPr>
            <w:tcW w:w="3543" w:type="dxa"/>
            <w:vAlign w:val="bottom"/>
          </w:tcPr>
          <w:p w14:paraId="25029DB0"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-5,9</w:t>
            </w:r>
          </w:p>
        </w:tc>
      </w:tr>
      <w:tr w:rsidR="00DE2074" w14:paraId="14AF6DFD"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7FC7ED0"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Barcelona </w:t>
            </w:r>
          </w:p>
        </w:tc>
        <w:tc>
          <w:tcPr>
            <w:tcW w:w="3543" w:type="dxa"/>
            <w:vAlign w:val="bottom"/>
          </w:tcPr>
          <w:p w14:paraId="5C99D5E4"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-7,9</w:t>
            </w:r>
          </w:p>
        </w:tc>
      </w:tr>
      <w:tr w:rsidR="00DE2074" w14:paraId="030F9673" w14:textId="77777777" w:rsidTr="00DE207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91B3471"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Logroño </w:t>
            </w:r>
          </w:p>
        </w:tc>
        <w:tc>
          <w:tcPr>
            <w:tcW w:w="3543" w:type="dxa"/>
            <w:vAlign w:val="bottom"/>
          </w:tcPr>
          <w:p w14:paraId="13B78901" w14:textId="77777777" w:rsidR="00DE207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-10,3</w:t>
            </w:r>
          </w:p>
        </w:tc>
      </w:tr>
      <w:tr w:rsidR="00DE2074" w14:paraId="27654E16" w14:textId="77777777" w:rsidTr="00DE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80B7E44" w14:textId="77777777" w:rsidR="00DE2074"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Teruel </w:t>
            </w:r>
          </w:p>
        </w:tc>
        <w:tc>
          <w:tcPr>
            <w:tcW w:w="3543" w:type="dxa"/>
            <w:vAlign w:val="bottom"/>
          </w:tcPr>
          <w:p w14:paraId="3BF7AAEE" w14:textId="77777777" w:rsidR="00DE207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-25,6</w:t>
            </w:r>
          </w:p>
        </w:tc>
      </w:tr>
    </w:tbl>
    <w:p w14:paraId="7471602E" w14:textId="77777777" w:rsidR="00DE2074" w:rsidRDefault="00DE2074">
      <w:pPr>
        <w:spacing w:line="276" w:lineRule="auto"/>
        <w:ind w:right="-560"/>
        <w:jc w:val="both"/>
        <w:rPr>
          <w:rFonts w:ascii="Open Sans" w:eastAsia="Open Sans" w:hAnsi="Open Sans" w:cs="Open Sans"/>
          <w:b/>
          <w:bCs/>
          <w:color w:val="262626"/>
          <w:sz w:val="22"/>
          <w:szCs w:val="22"/>
        </w:rPr>
      </w:pPr>
    </w:p>
    <w:p w14:paraId="3C83BBC6" w14:textId="77777777" w:rsidR="00DE2074" w:rsidRDefault="00DE2074">
      <w:pPr>
        <w:spacing w:line="276" w:lineRule="auto"/>
        <w:ind w:right="-433"/>
        <w:rPr>
          <w:rFonts w:ascii="Open Sans" w:eastAsia="Open Sans" w:hAnsi="Open Sans" w:cs="Open Sans"/>
          <w:b/>
          <w:bCs/>
          <w:color w:val="303AB2"/>
        </w:rPr>
      </w:pPr>
    </w:p>
    <w:p w14:paraId="24C76689" w14:textId="77777777" w:rsidR="00DE2074" w:rsidRDefault="00DE2074">
      <w:pPr>
        <w:spacing w:line="276" w:lineRule="auto"/>
        <w:ind w:right="-433"/>
        <w:rPr>
          <w:rFonts w:ascii="Open Sans" w:eastAsia="Open Sans" w:hAnsi="Open Sans" w:cs="Open Sans"/>
          <w:b/>
          <w:bCs/>
          <w:color w:val="303AB2"/>
        </w:rPr>
      </w:pPr>
    </w:p>
    <w:p w14:paraId="6907E4EC" w14:textId="77777777" w:rsidR="00DE2074" w:rsidRDefault="00000000">
      <w:pPr>
        <w:spacing w:line="276" w:lineRule="auto"/>
        <w:ind w:right="-426"/>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DataVenues</w:t>
      </w:r>
    </w:p>
    <w:p w14:paraId="6EE60E6B" w14:textId="77777777" w:rsidR="00DE2074" w:rsidRDefault="00DE2074">
      <w:pPr>
        <w:shd w:val="clear" w:color="auto" w:fill="FFFFFF"/>
        <w:spacing w:before="280" w:after="280" w:line="276" w:lineRule="auto"/>
        <w:ind w:right="-426"/>
        <w:jc w:val="both"/>
        <w:rPr>
          <w:rFonts w:ascii="Open Sans" w:eastAsia="Open Sans" w:hAnsi="Open Sans" w:cs="Open Sans"/>
        </w:rPr>
      </w:pPr>
      <w:hyperlink r:id="rId16">
        <w:r>
          <w:rPr>
            <w:rFonts w:ascii="Open Sans" w:eastAsia="Open Sans" w:hAnsi="Open Sans" w:cs="Open Sans"/>
            <w:b/>
            <w:bCs/>
            <w:color w:val="0000FF"/>
            <w:sz w:val="22"/>
            <w:szCs w:val="22"/>
            <w:u w:val="single"/>
          </w:rPr>
          <w:t>DataVenues</w:t>
        </w:r>
      </w:hyperlink>
      <w:r w:rsidR="00000000">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17">
        <w:r>
          <w:rPr>
            <w:rFonts w:ascii="Open Sans" w:eastAsia="Open Sans" w:hAnsi="Open Sans" w:cs="Open Sans"/>
            <w:b/>
            <w:bCs/>
            <w:color w:val="0000FF"/>
            <w:sz w:val="22"/>
            <w:szCs w:val="22"/>
            <w:u w:val="single"/>
          </w:rPr>
          <w:t>DataVenues</w:t>
        </w:r>
      </w:hyperlink>
      <w:r w:rsidR="00000000">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DataVenues incluye datos propios del portal además de datos de catastro y Google Maps y permite realizar análisis de mercado de cada zona, con datos reales y actualizados de ofertas y demanda. Es una herramienta imprescindible para captar y valorar la cartera inmobiliaria y pone el Big Data al alcance de los profesionales inmobiliarios.</w:t>
      </w:r>
    </w:p>
    <w:p w14:paraId="0AC4132A" w14:textId="77777777" w:rsidR="00DE2074"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1F1FE224" w14:textId="77777777" w:rsidR="00DE2074"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533352E" w14:textId="77777777" w:rsidR="00DE2074"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8">
        <w:r w:rsidR="00DE2074">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9">
        <w:r w:rsidR="00DE2074">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xml:space="preserve">, con el objetivo de aportar conocimiento y análisis en profundidad </w:t>
      </w:r>
      <w:r>
        <w:rPr>
          <w:rFonts w:ascii="Open Sans" w:eastAsia="Open Sans" w:hAnsi="Open Sans" w:cs="Open Sans"/>
          <w:sz w:val="22"/>
          <w:szCs w:val="22"/>
        </w:rPr>
        <w:lastRenderedPageBreak/>
        <w:t>sobre las tendencias del mercado y el comportamiento de los ciudadanos en relación con la vivienda.</w:t>
      </w:r>
    </w:p>
    <w:p w14:paraId="388BDEBB" w14:textId="77777777" w:rsidR="00DE2074"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0">
        <w:r w:rsidR="00DE2074">
          <w:rPr>
            <w:rFonts w:ascii="Open Sans" w:eastAsia="Open Sans" w:hAnsi="Open Sans" w:cs="Open Sans"/>
            <w:b/>
            <w:bCs/>
            <w:color w:val="0000FF"/>
            <w:sz w:val="22"/>
            <w:szCs w:val="22"/>
            <w:u w:val="single"/>
          </w:rPr>
          <w:t>Sala de Prensa</w:t>
        </w:r>
      </w:hyperlink>
    </w:p>
    <w:p w14:paraId="68EC8E89" w14:textId="77777777" w:rsidR="00DE2074" w:rsidRDefault="00DE2074">
      <w:pPr>
        <w:spacing w:line="276" w:lineRule="auto"/>
        <w:ind w:right="-284"/>
        <w:rPr>
          <w:rFonts w:ascii="Open Sans Light" w:eastAsia="Open Sans Light" w:hAnsi="Open Sans Light" w:cs="Open Sans Light"/>
          <w:b/>
          <w:bCs/>
          <w:color w:val="303AB2"/>
        </w:rPr>
      </w:pPr>
    </w:p>
    <w:p w14:paraId="56251F78" w14:textId="77777777" w:rsidR="00DE2074"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6935288A" w14:textId="77777777" w:rsidR="00DE2074"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7613031" w14:textId="77777777" w:rsidR="00DE2074"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1">
        <w:r w:rsidR="00DE2074">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2">
        <w:r w:rsidR="00DE2074">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3">
        <w:r w:rsidR="00DE2074">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4">
        <w:r w:rsidR="00DE2074">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5">
        <w:r w:rsidR="00DE2074">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6">
        <w:r w:rsidR="00DE2074">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26829D85" w14:textId="77777777" w:rsidR="00DE2074"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7BE1C95C" w14:textId="77777777" w:rsidR="00DE2074" w:rsidRDefault="00000000">
      <w:pP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1FF6CAA8" w14:textId="77777777" w:rsidR="00DE2074" w:rsidRDefault="00DE2074">
      <w:pPr>
        <w:spacing w:line="276" w:lineRule="auto"/>
        <w:ind w:right="-284"/>
        <w:jc w:val="both"/>
        <w:rPr>
          <w:rFonts w:ascii="Open Sans" w:eastAsia="Open Sans" w:hAnsi="Open Sans" w:cs="Open Sans"/>
          <w:sz w:val="22"/>
          <w:szCs w:val="22"/>
        </w:rPr>
      </w:pPr>
    </w:p>
    <w:p w14:paraId="59C948CD" w14:textId="77777777" w:rsidR="00DE2074"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19FABC0A" w14:textId="77777777" w:rsidR="00DE2074" w:rsidRDefault="00DE2074">
      <w:pPr>
        <w:pBdr>
          <w:top w:val="nil"/>
          <w:left w:val="nil"/>
          <w:bottom w:val="nil"/>
          <w:right w:val="nil"/>
          <w:between w:val="nil"/>
        </w:pBdr>
        <w:spacing w:line="276" w:lineRule="auto"/>
        <w:ind w:right="-284"/>
        <w:jc w:val="both"/>
        <w:rPr>
          <w:rFonts w:ascii="Open Sans" w:eastAsia="Open Sans" w:hAnsi="Open Sans" w:cs="Open Sans"/>
          <w:sz w:val="22"/>
          <w:szCs w:val="22"/>
        </w:rPr>
      </w:pPr>
    </w:p>
    <w:p w14:paraId="430C7DC3" w14:textId="77777777" w:rsidR="00DE2074"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7">
        <w:r w:rsidR="00DE2074">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5141692C" w14:textId="77777777" w:rsidR="00DE2074" w:rsidRDefault="00DE2074">
      <w:pPr>
        <w:pBdr>
          <w:top w:val="nil"/>
          <w:left w:val="nil"/>
          <w:bottom w:val="nil"/>
          <w:right w:val="nil"/>
          <w:between w:val="nil"/>
        </w:pBdr>
        <w:spacing w:line="276" w:lineRule="auto"/>
        <w:ind w:right="-284"/>
        <w:jc w:val="both"/>
        <w:rPr>
          <w:rFonts w:ascii="Open Sans" w:eastAsia="Open Sans" w:hAnsi="Open Sans" w:cs="Open Sans"/>
          <w:sz w:val="22"/>
          <w:szCs w:val="22"/>
        </w:rPr>
      </w:pPr>
    </w:p>
    <w:p w14:paraId="556C93D3" w14:textId="77777777" w:rsidR="00DE2074"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xml:space="preserve">. Para digitalizar el proceso de las transacciones inmobiliarias, ImmoScout24 desarrolla continuamente nuevos productos y construye un ecosistema conectado y rico en datos para el alquiler, la compra y el sector inmobiliario comercial en Alemania y Austria. </w:t>
      </w:r>
      <w:r>
        <w:rPr>
          <w:rFonts w:ascii="Open Sans" w:eastAsia="Open Sans" w:hAnsi="Open Sans" w:cs="Open Sans"/>
          <w:sz w:val="22"/>
          <w:szCs w:val="22"/>
        </w:rPr>
        <w:lastRenderedPageBreak/>
        <w:t>Scout24 es una sociedad anónima que cotiza en bolsa (ISIN: DE000A12DM80, Ticker: G24) y miembro del DAX, así como del DAX 50 ESG y el DAX 50 ESG+.</w:t>
      </w:r>
    </w:p>
    <w:p w14:paraId="416FF37F" w14:textId="77777777" w:rsidR="00DE2074" w:rsidRDefault="00DE2074">
      <w:pPr>
        <w:spacing w:line="276" w:lineRule="auto"/>
        <w:ind w:right="-284"/>
        <w:rPr>
          <w:rFonts w:ascii="Open Sans" w:eastAsia="Open Sans" w:hAnsi="Open Sans" w:cs="Open Sans"/>
        </w:rPr>
      </w:pPr>
    </w:p>
    <w:p w14:paraId="7EDD33E9" w14:textId="77777777" w:rsidR="00DE2074" w:rsidRDefault="00DE2074">
      <w:pPr>
        <w:spacing w:line="276" w:lineRule="auto"/>
        <w:ind w:right="-284"/>
        <w:rPr>
          <w:rFonts w:ascii="Open Sans" w:eastAsia="Open Sans" w:hAnsi="Open Sans" w:cs="Open Sans"/>
        </w:rPr>
      </w:pPr>
    </w:p>
    <w:p w14:paraId="071D7D9D" w14:textId="77777777" w:rsidR="00DE2074" w:rsidRDefault="00000000">
      <w:pPr>
        <w:spacing w:line="276" w:lineRule="auto"/>
        <w:ind w:right="-426"/>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1168AF34" w14:textId="77777777" w:rsidR="00DE2074" w:rsidRDefault="00000000">
      <w:pPr>
        <w:shd w:val="clear" w:color="auto" w:fill="FFFFFF"/>
        <w:spacing w:line="276" w:lineRule="auto"/>
        <w:ind w:right="-426"/>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78161615" w14:textId="77777777" w:rsidR="00DE2074" w:rsidRDefault="00DE2074">
      <w:pPr>
        <w:shd w:val="clear" w:color="auto" w:fill="FFFFFF"/>
        <w:spacing w:line="276" w:lineRule="auto"/>
        <w:ind w:right="-426"/>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comunicacion@fotocasa.es</w:t>
        </w:r>
      </w:hyperlink>
    </w:p>
    <w:p w14:paraId="025A2CAD" w14:textId="77777777" w:rsidR="00DE2074" w:rsidRDefault="00000000">
      <w:pPr>
        <w:shd w:val="clear" w:color="auto" w:fill="FFFFFF"/>
        <w:spacing w:line="276" w:lineRule="auto"/>
        <w:ind w:right="-426"/>
        <w:rPr>
          <w:rFonts w:ascii="Open Sans" w:eastAsia="Open Sans" w:hAnsi="Open Sans" w:cs="Open Sans"/>
          <w:sz w:val="22"/>
          <w:szCs w:val="22"/>
        </w:rPr>
      </w:pPr>
      <w:r>
        <w:rPr>
          <w:rFonts w:ascii="Open Sans" w:eastAsia="Open Sans" w:hAnsi="Open Sans" w:cs="Open Sans"/>
          <w:color w:val="000000"/>
          <w:sz w:val="22"/>
          <w:szCs w:val="22"/>
        </w:rPr>
        <w:t>620 66 29 26</w:t>
      </w:r>
    </w:p>
    <w:sectPr w:rsidR="00DE2074">
      <w:headerReference w:type="default" r:id="rId29"/>
      <w:footerReference w:type="default" r:id="rId30"/>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4792A" w14:textId="77777777" w:rsidR="007D33BB" w:rsidRDefault="007D33BB">
      <w:r>
        <w:separator/>
      </w:r>
    </w:p>
  </w:endnote>
  <w:endnote w:type="continuationSeparator" w:id="0">
    <w:p w14:paraId="40539610" w14:textId="77777777" w:rsidR="007D33BB" w:rsidRDefault="007D3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5FCE637-A8F9-414C-95B6-D2D5C35142B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FBC40B4-AE36-4417-B239-3AF07C3955D7}"/>
    <w:embedBold r:id="rId3" w:fontKey="{75432DFA-4801-4BC0-8FA6-4FC48EEFEC2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1033C50-47C9-40A4-A2B8-6AFCC152F0A6}"/>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E15314BB-9E98-4057-B396-18A62DF4883E}"/>
    <w:embedBold r:id="rId6" w:fontKey="{15FF72C1-70FF-41D2-B501-1B362C833289}"/>
    <w:embedItalic r:id="rId7" w:fontKey="{2E12B83A-3617-43D7-9F55-647E2BF69298}"/>
    <w:embedBoldItalic r:id="rId8" w:fontKey="{476B918F-B38C-4DAA-95DB-DF0B0A6F7B5D}"/>
  </w:font>
  <w:font w:name="Open Sans Light">
    <w:charset w:val="00"/>
    <w:family w:val="swiss"/>
    <w:pitch w:val="variable"/>
    <w:sig w:usb0="E00002EF" w:usb1="4000205B" w:usb2="00000028" w:usb3="00000000" w:csb0="0000019F" w:csb1="00000000"/>
    <w:embedBold r:id="rId9" w:fontKey="{0E582D37-5684-44D1-B3F1-F68B82C8D4BB}"/>
  </w:font>
  <w:font w:name="Cambria">
    <w:panose1 w:val="02040503050406030204"/>
    <w:charset w:val="00"/>
    <w:family w:val="roman"/>
    <w:pitch w:val="variable"/>
    <w:sig w:usb0="E00006FF" w:usb1="420024FF" w:usb2="02000000" w:usb3="00000000" w:csb0="0000019F" w:csb1="00000000"/>
    <w:embedRegular r:id="rId10" w:fontKey="{876F37FC-F627-4F14-90D0-535596E3BE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84080" w14:textId="77777777" w:rsidR="00DE207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0" locked="0" layoutInCell="1" hidden="0" allowOverlap="1" wp14:anchorId="60FA4180" wp14:editId="7BAFBC30">
          <wp:simplePos x="0" y="0"/>
          <wp:positionH relativeFrom="column">
            <wp:posOffset>-1080130</wp:posOffset>
          </wp:positionH>
          <wp:positionV relativeFrom="paragraph">
            <wp:posOffset>294640</wp:posOffset>
          </wp:positionV>
          <wp:extent cx="7670550" cy="451315"/>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6D226" w14:textId="77777777" w:rsidR="007D33BB" w:rsidRDefault="007D33BB">
      <w:r>
        <w:separator/>
      </w:r>
    </w:p>
  </w:footnote>
  <w:footnote w:type="continuationSeparator" w:id="0">
    <w:p w14:paraId="4F303C72" w14:textId="77777777" w:rsidR="007D33BB" w:rsidRDefault="007D3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429E" w14:textId="77777777" w:rsidR="00DE2074"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707620F" wp14:editId="314997B7">
          <wp:simplePos x="0" y="0"/>
          <wp:positionH relativeFrom="column">
            <wp:posOffset>-1234435</wp:posOffset>
          </wp:positionH>
          <wp:positionV relativeFrom="paragraph">
            <wp:posOffset>-239389</wp:posOffset>
          </wp:positionV>
          <wp:extent cx="2939415" cy="1019175"/>
          <wp:effectExtent l="0" t="0" r="0" b="0"/>
          <wp:wrapNone/>
          <wp:docPr id="1" name="image4.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Patrón de fondo&#10;&#10;El contenido generado por IA puede ser incorrecto."/>
                  <pic:cNvPicPr preferRelativeResize="0"/>
                </pic:nvPicPr>
                <pic:blipFill>
                  <a:blip r:embed="rId1"/>
                  <a:srcRect l="-1336" r="62566"/>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F4E1F25" wp14:editId="230DBC37">
          <wp:simplePos x="0" y="0"/>
          <wp:positionH relativeFrom="column">
            <wp:posOffset>3903345</wp:posOffset>
          </wp:positionH>
          <wp:positionV relativeFrom="paragraph">
            <wp:posOffset>-33016</wp:posOffset>
          </wp:positionV>
          <wp:extent cx="2352040" cy="895350"/>
          <wp:effectExtent l="0" t="0" r="0" b="0"/>
          <wp:wrapSquare wrapText="bothSides" distT="0" distB="0" distL="114300" distR="114300"/>
          <wp:docPr id="4" name="image1.pn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Un dibujo de una cara feliz&#10;&#10;El contenido generado por IA puede ser incorrecto."/>
                  <pic:cNvPicPr preferRelativeResize="0"/>
                </pic:nvPicPr>
                <pic:blipFill>
                  <a:blip r:embed="rId2"/>
                  <a:srcRect/>
                  <a:stretch>
                    <a:fillRect/>
                  </a:stretch>
                </pic:blipFill>
                <pic:spPr>
                  <a:xfrm>
                    <a:off x="0" y="0"/>
                    <a:ext cx="2352040" cy="895350"/>
                  </a:xfrm>
                  <a:prstGeom prst="rect">
                    <a:avLst/>
                  </a:prstGeom>
                  <a:ln/>
                </pic:spPr>
              </pic:pic>
            </a:graphicData>
          </a:graphic>
        </wp:anchor>
      </w:drawing>
    </w:r>
  </w:p>
  <w:p w14:paraId="093A716E" w14:textId="77777777" w:rsidR="00DE2074" w:rsidRDefault="00DE2074">
    <w:pPr>
      <w:pBdr>
        <w:top w:val="nil"/>
        <w:left w:val="nil"/>
        <w:bottom w:val="nil"/>
        <w:right w:val="nil"/>
        <w:between w:val="nil"/>
      </w:pBdr>
      <w:tabs>
        <w:tab w:val="center" w:pos="4252"/>
        <w:tab w:val="right" w:pos="8504"/>
      </w:tabs>
      <w:rPr>
        <w:color w:val="000000"/>
      </w:rPr>
    </w:pPr>
  </w:p>
  <w:p w14:paraId="221E4E1F" w14:textId="77777777" w:rsidR="00DE2074" w:rsidRDefault="00DE2074">
    <w:pPr>
      <w:pBdr>
        <w:top w:val="nil"/>
        <w:left w:val="nil"/>
        <w:bottom w:val="nil"/>
        <w:right w:val="nil"/>
        <w:between w:val="nil"/>
      </w:pBdr>
      <w:tabs>
        <w:tab w:val="center" w:pos="4252"/>
        <w:tab w:val="right" w:pos="8504"/>
      </w:tabs>
      <w:rPr>
        <w:color w:val="000000"/>
      </w:rPr>
    </w:pPr>
  </w:p>
  <w:p w14:paraId="7FA7C7D6" w14:textId="77777777" w:rsidR="00DE2074" w:rsidRDefault="00DE2074">
    <w:pPr>
      <w:pBdr>
        <w:top w:val="nil"/>
        <w:left w:val="nil"/>
        <w:bottom w:val="nil"/>
        <w:right w:val="nil"/>
        <w:between w:val="nil"/>
      </w:pBdr>
      <w:tabs>
        <w:tab w:val="center" w:pos="4252"/>
        <w:tab w:val="right" w:pos="8504"/>
      </w:tabs>
      <w:rPr>
        <w:color w:val="000000"/>
      </w:rPr>
    </w:pPr>
  </w:p>
  <w:p w14:paraId="62AA4F02" w14:textId="77777777" w:rsidR="00DE2074" w:rsidRDefault="00DE2074">
    <w:pPr>
      <w:pBdr>
        <w:top w:val="nil"/>
        <w:left w:val="nil"/>
        <w:bottom w:val="nil"/>
        <w:right w:val="nil"/>
        <w:between w:val="nil"/>
      </w:pBdr>
      <w:tabs>
        <w:tab w:val="center" w:pos="4252"/>
        <w:tab w:val="right" w:pos="8504"/>
      </w:tabs>
      <w:rPr>
        <w:color w:val="000000"/>
      </w:rPr>
    </w:pPr>
  </w:p>
  <w:p w14:paraId="3AA5D9B7" w14:textId="77777777" w:rsidR="00DE2074" w:rsidRDefault="00DE207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62D41"/>
    <w:multiLevelType w:val="multilevel"/>
    <w:tmpl w:val="83840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650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074"/>
    <w:rsid w:val="002675EC"/>
    <w:rsid w:val="00354DE1"/>
    <w:rsid w:val="0051679A"/>
    <w:rsid w:val="00551FFB"/>
    <w:rsid w:val="007D33BB"/>
    <w:rsid w:val="00853424"/>
    <w:rsid w:val="00B5635F"/>
    <w:rsid w:val="00DE20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BC1EA"/>
  <w15:docId w15:val="{CDB9D4A1-E102-4A59-AA77-9C86D28D0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venues.com/" TargetMode="External"/><Relationship Id="rId13" Type="http://schemas.openxmlformats.org/officeDocument/2006/relationships/hyperlink" Target="https://www.fotocasa.es/es/" TargetMode="External"/><Relationship Id="rId18" Type="http://schemas.openxmlformats.org/officeDocument/2006/relationships/hyperlink" Target="https://www.fotocasa.es/indice/" TargetMode="External"/><Relationship Id="rId26" Type="http://schemas.openxmlformats.org/officeDocument/2006/relationships/hyperlink" Target="https://www.inmoweb.es/" TargetMode="External"/><Relationship Id="rId3" Type="http://schemas.openxmlformats.org/officeDocument/2006/relationships/styles" Target="styles.xml"/><Relationship Id="rId21" Type="http://schemas.openxmlformats.org/officeDocument/2006/relationships/hyperlink" Target="https://www.fotocas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datavenues.com/" TargetMode="External"/><Relationship Id="rId25" Type="http://schemas.openxmlformats.org/officeDocument/2006/relationships/hyperlink" Target="https://get.witei.com/en/" TargetMode="External"/><Relationship Id="rId2" Type="http://schemas.openxmlformats.org/officeDocument/2006/relationships/numbering" Target="numbering.xml"/><Relationship Id="rId16" Type="http://schemas.openxmlformats.org/officeDocument/2006/relationships/hyperlink" Target="https://datavenues.com/" TargetMode="External"/><Relationship Id="rId20" Type="http://schemas.openxmlformats.org/officeDocument/2006/relationships/hyperlink" Target="http://prensa.fotocasa.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datavenue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profesionales.fotocasa.es/" TargetMode="External"/><Relationship Id="rId28" Type="http://schemas.openxmlformats.org/officeDocument/2006/relationships/hyperlink" Target="mailto:comunicacion@fotocasa.es" TargetMode="External"/><Relationship Id="rId10" Type="http://schemas.openxmlformats.org/officeDocument/2006/relationships/hyperlink" Target="https://datavenues.com/" TargetMode="External"/><Relationship Id="rId19" Type="http://schemas.openxmlformats.org/officeDocument/2006/relationships/hyperlink" Target="https://www.research.fotocasa.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1.png"/><Relationship Id="rId22" Type="http://schemas.openxmlformats.org/officeDocument/2006/relationships/hyperlink" Target="https://www.habitaclia.com/" TargetMode="External"/><Relationship Id="rId27" Type="http://schemas.openxmlformats.org/officeDocument/2006/relationships/hyperlink" Target="https://www.immobilienscout24.de/"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j494GWaUJa1AqCKvqU0+5Y6eYA==">CgMxLjAyDmguYTF2eDFmN2l3Y2xmMgloLjMwajB6bGwyDmguZ21lcGYyNHczcHJmMg5oLno4M3RkcXZ3a2N6aTIOaC5zbW9xZnI3amw5eGg4AHIhMWdnb0xOTWM1NHpGVEs2S3dsX3NyaHEtX2pPWTRRN3BC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1744</Words>
  <Characters>9598</Characters>
  <Application>Microsoft Office Word</Application>
  <DocSecurity>0</DocSecurity>
  <Lines>79</Lines>
  <Paragraphs>22</Paragraphs>
  <ScaleCrop>false</ScaleCrop>
  <Company/>
  <LinksUpToDate>false</LinksUpToDate>
  <CharactersWithSpaces>11320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5</cp:revision>
  <dcterms:created xsi:type="dcterms:W3CDTF">2026-04-09T15:09:00Z</dcterms:created>
  <dcterms:modified xsi:type="dcterms:W3CDTF">2026-04-11T22:37:00Z</dcterms:modified>
</cp:coreProperties>
</file>