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C982A" w14:textId="5E93E3DF" w:rsidR="00DD2A2E" w:rsidRDefault="00000000">
      <w:pPr>
        <w:spacing w:line="276" w:lineRule="auto"/>
        <w:ind w:right="-560"/>
        <w:jc w:val="center"/>
        <w:rPr>
          <w:rFonts w:ascii="National" w:eastAsia="National" w:hAnsi="National" w:cs="National"/>
          <w:b/>
          <w:bCs/>
          <w:color w:val="1DBDC5"/>
          <w:sz w:val="44"/>
          <w:szCs w:val="44"/>
        </w:rPr>
      </w:pPr>
      <w:r>
        <w:rPr>
          <w:rFonts w:ascii="National" w:eastAsia="National" w:hAnsi="National" w:cs="National"/>
          <w:b/>
          <w:bCs/>
          <w:color w:val="1DBDC5"/>
          <w:sz w:val="34"/>
          <w:szCs w:val="34"/>
        </w:rPr>
        <w:t>ÍNDICE PREDICTIVO D</w:t>
      </w:r>
      <w:r w:rsidR="00A10833">
        <w:rPr>
          <w:rFonts w:ascii="National" w:eastAsia="National" w:hAnsi="National" w:cs="National"/>
          <w:b/>
          <w:bCs/>
          <w:color w:val="1DBDC5"/>
          <w:sz w:val="34"/>
          <w:szCs w:val="34"/>
        </w:rPr>
        <w:t>E</w:t>
      </w:r>
      <w:r>
        <w:rPr>
          <w:rFonts w:ascii="National" w:eastAsia="National" w:hAnsi="National" w:cs="National"/>
          <w:b/>
          <w:bCs/>
          <w:color w:val="1DBDC5"/>
          <w:sz w:val="34"/>
          <w:szCs w:val="34"/>
        </w:rPr>
        <w:t xml:space="preserve"> PRECIOS </w:t>
      </w:r>
    </w:p>
    <w:p w14:paraId="356653CF" w14:textId="77777777" w:rsidR="00DD2A2E" w:rsidRDefault="00000000">
      <w:pPr>
        <w:spacing w:line="276" w:lineRule="auto"/>
        <w:ind w:right="-560"/>
        <w:jc w:val="center"/>
        <w:rPr>
          <w:rFonts w:ascii="Open Sans" w:eastAsia="Open Sans" w:hAnsi="Open Sans" w:cs="Open Sans"/>
          <w:color w:val="002060"/>
        </w:rPr>
      </w:pPr>
      <w:r>
        <w:rPr>
          <w:rFonts w:ascii="National" w:eastAsia="National" w:hAnsi="National" w:cs="National"/>
          <w:b/>
          <w:bCs/>
          <w:color w:val="002060"/>
          <w:sz w:val="46"/>
          <w:szCs w:val="46"/>
        </w:rPr>
        <w:t>La IA prevé que Soria, Ciudad Real y Jaén registren las mayores subidas de precios de compraventa al cierre del segundo trimestre</w:t>
      </w:r>
    </w:p>
    <w:p w14:paraId="1A321E1A" w14:textId="77777777" w:rsidR="00A10833" w:rsidRDefault="00A10833" w:rsidP="00A10833">
      <w:pPr>
        <w:pBdr>
          <w:top w:val="nil"/>
          <w:left w:val="nil"/>
          <w:bottom w:val="nil"/>
          <w:right w:val="nil"/>
          <w:between w:val="nil"/>
        </w:pBdr>
        <w:spacing w:line="276" w:lineRule="auto"/>
        <w:ind w:left="720" w:right="-560"/>
        <w:jc w:val="both"/>
        <w:rPr>
          <w:rFonts w:ascii="Open Sans" w:eastAsia="Open Sans" w:hAnsi="Open Sans" w:cs="Open Sans"/>
          <w:color w:val="002060"/>
        </w:rPr>
      </w:pPr>
    </w:p>
    <w:p w14:paraId="31A9E9CB" w14:textId="53345873" w:rsidR="00DD2A2E" w:rsidRDefault="00000000">
      <w:pPr>
        <w:numPr>
          <w:ilvl w:val="0"/>
          <w:numId w:val="1"/>
        </w:numPr>
        <w:pBdr>
          <w:top w:val="nil"/>
          <w:left w:val="nil"/>
          <w:bottom w:val="nil"/>
          <w:right w:val="nil"/>
          <w:between w:val="nil"/>
        </w:pBdr>
        <w:spacing w:line="276" w:lineRule="auto"/>
        <w:ind w:left="720"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iCs/>
          <w:color w:val="002060"/>
        </w:rPr>
        <w:t xml:space="preserve">Índice predictivo de compra </w:t>
      </w:r>
      <w:proofErr w:type="spellStart"/>
      <w:r>
        <w:rPr>
          <w:rFonts w:ascii="Open Sans" w:eastAsia="Open Sans" w:hAnsi="Open Sans" w:cs="Open Sans"/>
          <w:i/>
          <w:iCs/>
          <w:color w:val="002060"/>
        </w:rPr>
        <w:t>DataVenues</w:t>
      </w:r>
      <w:proofErr w:type="spellEnd"/>
      <w:r>
        <w:rPr>
          <w:rFonts w:ascii="Open Sans" w:eastAsia="Open Sans" w:hAnsi="Open Sans" w:cs="Open Sans"/>
          <w:i/>
          <w:iCs/>
          <w:color w:val="002060"/>
        </w:rPr>
        <w:t xml:space="preserve"> </w:t>
      </w:r>
      <w:r>
        <w:rPr>
          <w:rFonts w:ascii="Open Sans" w:eastAsia="Open Sans" w:hAnsi="Open Sans" w:cs="Open Sans"/>
          <w:color w:val="002060"/>
        </w:rPr>
        <w:t>de Fotocasa</w:t>
      </w:r>
      <w:r>
        <w:rPr>
          <w:rFonts w:ascii="Open Sans" w:eastAsia="Open Sans" w:hAnsi="Open Sans" w:cs="Open Sans"/>
          <w:i/>
          <w:iCs/>
          <w:color w:val="002060"/>
        </w:rPr>
        <w:t xml:space="preserve"> </w:t>
      </w:r>
      <w:r>
        <w:rPr>
          <w:rFonts w:ascii="Open Sans" w:eastAsia="Open Sans" w:hAnsi="Open Sans" w:cs="Open Sans"/>
          <w:color w:val="002060"/>
        </w:rPr>
        <w:t>prevé subidas de precio en 42 ciudades a final de junio de 2026</w:t>
      </w:r>
    </w:p>
    <w:p w14:paraId="5E7AD00F" w14:textId="77777777" w:rsidR="00DD2A2E" w:rsidRDefault="00000000">
      <w:pPr>
        <w:numPr>
          <w:ilvl w:val="0"/>
          <w:numId w:val="1"/>
        </w:numPr>
        <w:pBdr>
          <w:top w:val="nil"/>
          <w:left w:val="nil"/>
          <w:bottom w:val="nil"/>
          <w:right w:val="nil"/>
          <w:between w:val="nil"/>
        </w:pBdr>
        <w:spacing w:line="276" w:lineRule="auto"/>
        <w:ind w:left="720" w:right="-560"/>
        <w:jc w:val="both"/>
        <w:rPr>
          <w:rFonts w:ascii="Open Sans" w:eastAsia="Open Sans" w:hAnsi="Open Sans" w:cs="Open Sans"/>
          <w:color w:val="002060"/>
        </w:rPr>
      </w:pPr>
      <w:r>
        <w:rPr>
          <w:rFonts w:ascii="Open Sans" w:eastAsia="Open Sans" w:hAnsi="Open Sans" w:cs="Open Sans"/>
          <w:color w:val="002060"/>
        </w:rPr>
        <w:t>El interior peninsular, Andalucía y Galicia capitalizarán gran parte de los incrementos trimestrales de las valoraciones de la vivienda en propiedad</w:t>
      </w:r>
    </w:p>
    <w:p w14:paraId="288CBBF2" w14:textId="77777777" w:rsidR="00DD2A2E" w:rsidRDefault="00000000">
      <w:pPr>
        <w:numPr>
          <w:ilvl w:val="0"/>
          <w:numId w:val="1"/>
        </w:numPr>
        <w:pBdr>
          <w:top w:val="nil"/>
          <w:left w:val="nil"/>
          <w:bottom w:val="nil"/>
          <w:right w:val="nil"/>
          <w:between w:val="nil"/>
        </w:pBdr>
        <w:spacing w:line="276" w:lineRule="auto"/>
        <w:ind w:left="720" w:right="-560"/>
        <w:jc w:val="both"/>
        <w:rPr>
          <w:rFonts w:ascii="Open Sans" w:eastAsia="Open Sans" w:hAnsi="Open Sans" w:cs="Open Sans"/>
          <w:color w:val="002060"/>
        </w:rPr>
      </w:pPr>
      <w:r>
        <w:rPr>
          <w:rFonts w:ascii="Open Sans" w:eastAsia="Open Sans" w:hAnsi="Open Sans" w:cs="Open Sans"/>
          <w:color w:val="002060"/>
        </w:rPr>
        <w:t>Por el contrario, Huesca (-4,3%), Palencia (-3,6%) y Lugo (-1,7%) experimentarán los mayores descensos de precios</w:t>
      </w:r>
    </w:p>
    <w:p w14:paraId="3A130D5A" w14:textId="77777777" w:rsidR="00DD2A2E" w:rsidRDefault="00DD2A2E">
      <w:pPr>
        <w:spacing w:line="276" w:lineRule="auto"/>
        <w:ind w:left="360" w:right="-560"/>
        <w:jc w:val="both"/>
        <w:rPr>
          <w:rFonts w:ascii="Open Sans" w:eastAsia="Open Sans" w:hAnsi="Open Sans" w:cs="Open Sans"/>
          <w:color w:val="002060"/>
        </w:rPr>
      </w:pPr>
    </w:p>
    <w:p w14:paraId="07F418C1" w14:textId="77777777" w:rsidR="00DD2A2E" w:rsidRDefault="00000000">
      <w:pPr>
        <w:spacing w:line="276" w:lineRule="auto"/>
        <w:ind w:right="-560"/>
        <w:rPr>
          <w:rFonts w:ascii="Open Sans" w:eastAsia="Open Sans" w:hAnsi="Open Sans" w:cs="Open Sans"/>
          <w:b/>
          <w:bCs/>
          <w:color w:val="002060"/>
          <w:sz w:val="22"/>
          <w:szCs w:val="22"/>
        </w:rPr>
      </w:pPr>
      <w:r>
        <w:rPr>
          <w:rFonts w:ascii="Open Sans" w:eastAsia="Open Sans" w:hAnsi="Open Sans" w:cs="Open Sans"/>
          <w:b/>
          <w:bCs/>
          <w:color w:val="002060"/>
          <w:sz w:val="22"/>
          <w:szCs w:val="22"/>
        </w:rPr>
        <w:t>Madrid, 16 de abril de 2026</w:t>
      </w:r>
    </w:p>
    <w:p w14:paraId="3A665C89" w14:textId="77777777" w:rsidR="00DD2A2E" w:rsidRDefault="00DD2A2E">
      <w:pPr>
        <w:spacing w:line="276" w:lineRule="auto"/>
        <w:ind w:right="-560"/>
        <w:jc w:val="both"/>
        <w:rPr>
          <w:rFonts w:ascii="Open Sans" w:eastAsia="Open Sans" w:hAnsi="Open Sans" w:cs="Open Sans"/>
          <w:sz w:val="22"/>
          <w:szCs w:val="22"/>
        </w:rPr>
      </w:pPr>
    </w:p>
    <w:p w14:paraId="03F8C4FF" w14:textId="76F817B1" w:rsidR="00DD2A2E" w:rsidRDefault="00000000">
      <w:pPr>
        <w:spacing w:line="276" w:lineRule="auto"/>
        <w:ind w:right="-560"/>
        <w:jc w:val="both"/>
        <w:rPr>
          <w:rFonts w:ascii="Open Sans" w:eastAsia="Open Sans" w:hAnsi="Open Sans" w:cs="Open Sans"/>
          <w:color w:val="262626"/>
          <w:sz w:val="22"/>
          <w:szCs w:val="22"/>
        </w:rPr>
      </w:pPr>
      <w:bookmarkStart w:id="0" w:name="_heading=h.30j0zll" w:colFirst="0" w:colLast="0"/>
      <w:bookmarkEnd w:id="0"/>
      <w:r>
        <w:rPr>
          <w:rFonts w:ascii="Open Sans" w:eastAsia="Open Sans" w:hAnsi="Open Sans" w:cs="Open Sans"/>
          <w:color w:val="262626"/>
          <w:sz w:val="22"/>
          <w:szCs w:val="22"/>
        </w:rPr>
        <w:t xml:space="preserve">El </w:t>
      </w:r>
      <w:r w:rsidR="00A10833">
        <w:rPr>
          <w:rFonts w:ascii="Open Sans" w:eastAsia="Open Sans" w:hAnsi="Open Sans" w:cs="Open Sans"/>
          <w:b/>
          <w:bCs/>
          <w:i/>
          <w:iCs/>
          <w:color w:val="262626"/>
          <w:sz w:val="22"/>
          <w:szCs w:val="22"/>
        </w:rPr>
        <w:t xml:space="preserve">Índice predictivo de compra </w:t>
      </w:r>
      <w:hyperlink r:id="rId8">
        <w:proofErr w:type="spellStart"/>
        <w:r w:rsidR="00A10833">
          <w:rPr>
            <w:rFonts w:ascii="Open Sans" w:eastAsia="Open Sans" w:hAnsi="Open Sans" w:cs="Open Sans"/>
            <w:b/>
            <w:bCs/>
            <w:i/>
            <w:iCs/>
            <w:color w:val="0000FF"/>
            <w:sz w:val="22"/>
            <w:szCs w:val="22"/>
            <w:u w:val="single"/>
          </w:rPr>
          <w:t>DataVenues</w:t>
        </w:r>
        <w:proofErr w:type="spellEnd"/>
      </w:hyperlink>
      <w:r w:rsidR="00A10833">
        <w:rPr>
          <w:rFonts w:ascii="Open Sans" w:eastAsia="Open Sans" w:hAnsi="Open Sans" w:cs="Open Sans"/>
          <w:b/>
          <w:bCs/>
          <w:color w:val="262626"/>
          <w:sz w:val="22"/>
          <w:szCs w:val="22"/>
        </w:rPr>
        <w:t> de </w:t>
      </w:r>
      <w:hyperlink r:id="rId9">
        <w:r w:rsidR="00A10833">
          <w:rPr>
            <w:rFonts w:ascii="Open Sans" w:eastAsia="Open Sans" w:hAnsi="Open Sans" w:cs="Open Sans"/>
            <w:b/>
            <w:bCs/>
            <w:color w:val="0000FF"/>
            <w:sz w:val="22"/>
            <w:szCs w:val="22"/>
            <w:u w:val="single"/>
          </w:rPr>
          <w:t>Fotocasa</w:t>
        </w:r>
      </w:hyperlink>
      <w:r>
        <w:rPr>
          <w:rFonts w:ascii="Open Sans" w:eastAsia="Open Sans" w:hAnsi="Open Sans" w:cs="Open Sans"/>
          <w:color w:val="262626"/>
          <w:sz w:val="22"/>
          <w:szCs w:val="22"/>
        </w:rPr>
        <w:t xml:space="preserve">, correspondiente al cierre del segundo trimestre de 2026, anticipa una evolución mayoritariamente alcista de los precios de la vivienda de compraventa en España. La previsión de la herramienta apunta a incrementos trimestrales destacados en 42 de las ciudades analizadas. </w:t>
      </w:r>
      <w:r>
        <w:rPr>
          <w:rFonts w:ascii="Open Sans" w:eastAsia="Open Sans" w:hAnsi="Open Sans" w:cs="Open Sans"/>
          <w:b/>
          <w:bCs/>
          <w:color w:val="262626"/>
          <w:sz w:val="22"/>
          <w:szCs w:val="22"/>
        </w:rPr>
        <w:t>Las subidas más intensas previstas para el segundo trimestre de 2026 (es decir, comparando la evolución estimada entre el 1 de abril y el 30 de junio de 2026) vuelven a localizarse en el interior peninsular, seguidas muy de cerca por plazas del sur del país</w:t>
      </w:r>
      <w:r>
        <w:rPr>
          <w:rFonts w:ascii="Open Sans" w:eastAsia="Open Sans" w:hAnsi="Open Sans" w:cs="Open Sans"/>
          <w:color w:val="262626"/>
          <w:sz w:val="22"/>
          <w:szCs w:val="22"/>
        </w:rPr>
        <w:t xml:space="preserve">. Concretamente, Soria encabeza el ranking nacional con un incremento trimestral estimado del 12,7%, seguida de Ciudad Real (7,5%) y Jaén (7,2%). En el centro peninsular destacan los ascensos de Castilla y León y Castilla-La Mancha. </w:t>
      </w:r>
    </w:p>
    <w:p w14:paraId="79AA1A37" w14:textId="77777777" w:rsidR="00DD2A2E" w:rsidRDefault="00DD2A2E">
      <w:pPr>
        <w:spacing w:line="276" w:lineRule="auto"/>
        <w:ind w:right="-560"/>
        <w:jc w:val="both"/>
        <w:rPr>
          <w:rFonts w:ascii="Open Sans" w:eastAsia="Open Sans" w:hAnsi="Open Sans" w:cs="Open Sans"/>
          <w:color w:val="262626"/>
          <w:sz w:val="22"/>
          <w:szCs w:val="22"/>
        </w:rPr>
      </w:pPr>
    </w:p>
    <w:p w14:paraId="0DBC96EF" w14:textId="77777777" w:rsidR="00DD2A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Además de las revalorizaciones de Soria, Ciudad Real y Jaén, la herramienta adelanta repuntes muy significativos en Ávila (7,1%), Segovia (5,9%), Cuenca (4,8%), Salamanca (4,1%), León (3,7%), Guadalajara (2,5%), Albacete (2,4%), Valladolid (2,3%), Zamora (1,5%) y Toledo (1,2%). </w:t>
      </w:r>
      <w:r>
        <w:rPr>
          <w:rFonts w:ascii="Open Sans" w:eastAsia="Open Sans" w:hAnsi="Open Sans" w:cs="Open Sans"/>
          <w:b/>
          <w:bCs/>
          <w:color w:val="262626"/>
          <w:sz w:val="22"/>
          <w:szCs w:val="22"/>
        </w:rPr>
        <w:t xml:space="preserve">Estas son las principales estimaciones del </w:t>
      </w:r>
      <w:r>
        <w:rPr>
          <w:rFonts w:ascii="Open Sans" w:eastAsia="Open Sans" w:hAnsi="Open Sans" w:cs="Open Sans"/>
          <w:b/>
          <w:bCs/>
          <w:i/>
          <w:iCs/>
          <w:color w:val="262626"/>
          <w:sz w:val="22"/>
          <w:szCs w:val="22"/>
        </w:rPr>
        <w:t xml:space="preserve">Índice predictivo de compra </w:t>
      </w:r>
      <w:hyperlink r:id="rId10">
        <w:proofErr w:type="spellStart"/>
        <w:r>
          <w:rPr>
            <w:rFonts w:ascii="Open Sans" w:eastAsia="Open Sans" w:hAnsi="Open Sans" w:cs="Open Sans"/>
            <w:b/>
            <w:bCs/>
            <w:i/>
            <w:iCs/>
            <w:color w:val="0000FF"/>
            <w:sz w:val="22"/>
            <w:szCs w:val="22"/>
            <w:u w:val="single"/>
          </w:rPr>
          <w:t>DataVenues</w:t>
        </w:r>
        <w:proofErr w:type="spellEnd"/>
      </w:hyperlink>
      <w:r>
        <w:rPr>
          <w:rFonts w:ascii="Open Sans" w:eastAsia="Open Sans" w:hAnsi="Open Sans" w:cs="Open Sans"/>
          <w:b/>
          <w:bCs/>
          <w:color w:val="262626"/>
          <w:sz w:val="22"/>
          <w:szCs w:val="22"/>
        </w:rPr>
        <w:t> de </w:t>
      </w:r>
      <w:hyperlink r:id="rId11">
        <w:r>
          <w:rPr>
            <w:rFonts w:ascii="Open Sans" w:eastAsia="Open Sans" w:hAnsi="Open Sans" w:cs="Open Sans"/>
            <w:b/>
            <w:bCs/>
            <w:color w:val="0000FF"/>
            <w:sz w:val="22"/>
            <w:szCs w:val="22"/>
            <w:u w:val="single"/>
          </w:rPr>
          <w:t>Fotocasa</w:t>
        </w:r>
      </w:hyperlink>
      <w:r>
        <w:rPr>
          <w:rFonts w:ascii="Open Sans" w:eastAsia="Open Sans" w:hAnsi="Open Sans" w:cs="Open Sans"/>
          <w:b/>
          <w:bCs/>
          <w:color w:val="262626"/>
          <w:sz w:val="22"/>
          <w:szCs w:val="22"/>
        </w:rPr>
        <w:t xml:space="preserve">, que permite adelantarse al comportamiento del mercado y prever la evolución de los precios de la vivienda de compra a nivel trimestral. </w:t>
      </w:r>
      <w:r>
        <w:rPr>
          <w:rFonts w:ascii="Open Sans" w:eastAsia="Open Sans" w:hAnsi="Open Sans" w:cs="Open Sans"/>
          <w:color w:val="262626"/>
          <w:sz w:val="22"/>
          <w:szCs w:val="22"/>
        </w:rPr>
        <w:t xml:space="preserve">Desde enero de 2025,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16F7187B" w14:textId="77777777" w:rsidR="00DD2A2E" w:rsidRDefault="00DD2A2E">
      <w:pPr>
        <w:spacing w:line="276" w:lineRule="auto"/>
        <w:ind w:right="-560"/>
        <w:jc w:val="both"/>
        <w:rPr>
          <w:rFonts w:ascii="Open Sans" w:eastAsia="Open Sans" w:hAnsi="Open Sans" w:cs="Open Sans"/>
          <w:color w:val="262626"/>
          <w:sz w:val="22"/>
          <w:szCs w:val="22"/>
        </w:rPr>
      </w:pPr>
    </w:p>
    <w:p w14:paraId="2072EF5E" w14:textId="77777777" w:rsidR="00DD2A2E" w:rsidRDefault="00000000">
      <w:pPr>
        <w:spacing w:line="276" w:lineRule="auto"/>
        <w:ind w:right="-560"/>
        <w:jc w:val="both"/>
        <w:rPr>
          <w:rFonts w:ascii="Open Sans" w:eastAsia="Open Sans" w:hAnsi="Open Sans" w:cs="Open Sans"/>
          <w:b/>
          <w:bCs/>
          <w:color w:val="000000"/>
          <w:sz w:val="22"/>
          <w:szCs w:val="22"/>
        </w:rPr>
      </w:pPr>
      <w:r>
        <w:rPr>
          <w:rFonts w:ascii="Open Sans" w:eastAsia="Open Sans" w:hAnsi="Open Sans" w:cs="Open Sans"/>
          <w:color w:val="262626"/>
          <w:sz w:val="22"/>
          <w:szCs w:val="22"/>
        </w:rPr>
        <w:t xml:space="preserve">“Con subidas previstas en la gran mayoría de las capitales, lo más relevante es que ya no son únicamente los grandes polos tradicionales los que lideran las subidas, sino que estamos viendo cómo el interior peninsular también gana protagonismo. Este es un efecto de redistribución de la demanda, impulsado por la búsqueda de precios más accesibles ante la elevada presión en los grandes mercados. Muchas ciudades medianas están absorbiendo parte de esa demanda, lo que está tensionando sus precios. Mientras la demanda se mantiene muy activa, apoyada en unas condiciones de financiación más favorables, la falta de vivienda disponible continúa siendo el principal factor que elevará los precios”, </w:t>
      </w:r>
      <w:r>
        <w:rPr>
          <w:rFonts w:ascii="Open Sans" w:eastAsia="Open Sans" w:hAnsi="Open Sans" w:cs="Open Sans"/>
          <w:b/>
          <w:bCs/>
          <w:color w:val="262626"/>
          <w:sz w:val="22"/>
          <w:szCs w:val="22"/>
        </w:rPr>
        <w:t xml:space="preserve">explica María Matos, directora de Estudios de </w:t>
      </w:r>
      <w:hyperlink r:id="rId13">
        <w:r>
          <w:rPr>
            <w:rFonts w:ascii="Open Sans" w:eastAsia="Open Sans" w:hAnsi="Open Sans" w:cs="Open Sans"/>
            <w:b/>
            <w:bCs/>
            <w:color w:val="1155CC"/>
            <w:sz w:val="22"/>
            <w:szCs w:val="22"/>
            <w:u w:val="single"/>
          </w:rPr>
          <w:t>Fotocasa</w:t>
        </w:r>
      </w:hyperlink>
      <w:r>
        <w:rPr>
          <w:rFonts w:ascii="Open Sans" w:eastAsia="Open Sans" w:hAnsi="Open Sans" w:cs="Open Sans"/>
          <w:color w:val="262626"/>
          <w:sz w:val="22"/>
          <w:szCs w:val="22"/>
        </w:rPr>
        <w:t xml:space="preserve">. </w:t>
      </w:r>
    </w:p>
    <w:p w14:paraId="7455A3F7" w14:textId="77777777" w:rsidR="00DD2A2E" w:rsidRDefault="00DD2A2E">
      <w:pPr>
        <w:spacing w:line="276" w:lineRule="auto"/>
        <w:ind w:right="-560"/>
        <w:jc w:val="both"/>
        <w:rPr>
          <w:rFonts w:ascii="Open Sans" w:eastAsia="Open Sans" w:hAnsi="Open Sans" w:cs="Open Sans"/>
          <w:color w:val="262626"/>
          <w:sz w:val="22"/>
          <w:szCs w:val="22"/>
        </w:rPr>
      </w:pPr>
    </w:p>
    <w:p w14:paraId="14802B20" w14:textId="77777777" w:rsidR="00DD2A2E"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Subirán los precios en 42 ciudades al cierre del segundo trimestre</w:t>
      </w:r>
    </w:p>
    <w:p w14:paraId="14032FC9" w14:textId="77777777" w:rsidR="00DD2A2E" w:rsidRDefault="00DD2A2E">
      <w:pPr>
        <w:spacing w:line="276" w:lineRule="auto"/>
        <w:ind w:right="-560"/>
        <w:jc w:val="both"/>
        <w:rPr>
          <w:rFonts w:ascii="Open Sans" w:eastAsia="Open Sans" w:hAnsi="Open Sans" w:cs="Open Sans"/>
          <w:color w:val="262626"/>
          <w:sz w:val="22"/>
          <w:szCs w:val="22"/>
        </w:rPr>
      </w:pPr>
    </w:p>
    <w:p w14:paraId="594CFE98" w14:textId="77777777" w:rsidR="00DD2A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Según la previsión del índice, el número de ciudades con valores de compraventa alcistas alcanzará la cifra de 42 al finalizar el mes de junio de 2026. </w:t>
      </w:r>
      <w:r>
        <w:rPr>
          <w:rFonts w:ascii="Open Sans" w:eastAsia="Open Sans" w:hAnsi="Open Sans" w:cs="Open Sans"/>
          <w:b/>
          <w:bCs/>
          <w:color w:val="262626"/>
          <w:sz w:val="22"/>
          <w:szCs w:val="22"/>
        </w:rPr>
        <w:t>Además del dinamismo de las dos Castillas, el avance de los precios se consolida con fuerza en gran parte de Andalucía</w:t>
      </w:r>
      <w:r>
        <w:rPr>
          <w:rFonts w:ascii="Open Sans" w:eastAsia="Open Sans" w:hAnsi="Open Sans" w:cs="Open Sans"/>
          <w:color w:val="262626"/>
          <w:sz w:val="22"/>
          <w:szCs w:val="22"/>
        </w:rPr>
        <w:t>. Acompañando a Jaén, se registrarán notables subidas en Granada (6,8%) y Córdoba (3,1%), a las que se sumarán en menor medida Cádiz (0,9%), Huelva (0,9%) y Sevilla (0,7%). Igualmente, el modelo anticipa una tracción importante en Galicia y Cataluña. En el territorio gallego subirán de precio de forma robusta A Coruña (5,8%), Pontevedra (5,4%) y Orense (5,2%), junto al ligero repunte de Vigo (1,2%). Por su parte, todas las capitales catalanas muestran tendencia positiva: Lleida (5,2%), Girona (4,5%), Tarragona (2,9%) y Barcelona (1,9%).</w:t>
      </w:r>
    </w:p>
    <w:p w14:paraId="79CFFF7B" w14:textId="77777777" w:rsidR="00DD2A2E" w:rsidRDefault="00DD2A2E">
      <w:pPr>
        <w:spacing w:line="276" w:lineRule="auto"/>
        <w:ind w:right="-560"/>
        <w:jc w:val="both"/>
        <w:rPr>
          <w:rFonts w:ascii="Open Sans" w:eastAsia="Open Sans" w:hAnsi="Open Sans" w:cs="Open Sans"/>
          <w:color w:val="262626"/>
          <w:sz w:val="22"/>
          <w:szCs w:val="22"/>
        </w:rPr>
      </w:pPr>
    </w:p>
    <w:p w14:paraId="3B8911F6" w14:textId="77777777" w:rsidR="00DD2A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A lo largo del arco mediterráneo y Aragón, se prevén también incrementos en Teruel (4,2%), Valencia (4,0%), Castellón de la Plana (3,3%) y Zaragoza (2,9%). </w:t>
      </w:r>
      <w:r>
        <w:rPr>
          <w:rFonts w:ascii="Open Sans" w:eastAsia="Open Sans" w:hAnsi="Open Sans" w:cs="Open Sans"/>
          <w:b/>
          <w:bCs/>
          <w:color w:val="262626"/>
          <w:sz w:val="22"/>
          <w:szCs w:val="22"/>
        </w:rPr>
        <w:t>La senda alcista se extiende al norte y otras regiones del país, con avances en la cornisa cantábrica para Bilbao (2,4%), Oviedo (2,3%), Vitoria (0,7%), San Sebastián (0,6%) y un ligerísimo aumento en Santander (0,1%)</w:t>
      </w:r>
      <w:r>
        <w:rPr>
          <w:rFonts w:ascii="Open Sans" w:eastAsia="Open Sans" w:hAnsi="Open Sans" w:cs="Open Sans"/>
          <w:color w:val="262626"/>
          <w:sz w:val="22"/>
          <w:szCs w:val="22"/>
        </w:rPr>
        <w:t>. Finalmente, completan el mapa de subidas trimestrales Murcia (4,0%), Logroño (3,4%), Cáceres (2,4%), Madrid (1,9%), Badajoz (0,9%) y, en el archipiélago canario, Santa Cruz de Tenerife (0,7%) y Las Palmas de Gran Canaria (0,5%).</w:t>
      </w:r>
    </w:p>
    <w:p w14:paraId="1482E303" w14:textId="77777777" w:rsidR="00DD2A2E" w:rsidRDefault="00DD2A2E">
      <w:pPr>
        <w:spacing w:line="276" w:lineRule="auto"/>
        <w:ind w:right="-560"/>
        <w:jc w:val="both"/>
        <w:rPr>
          <w:rFonts w:ascii="Open Sans" w:eastAsia="Open Sans" w:hAnsi="Open Sans" w:cs="Open Sans"/>
          <w:color w:val="262626"/>
          <w:sz w:val="22"/>
          <w:szCs w:val="22"/>
        </w:rPr>
      </w:pPr>
    </w:p>
    <w:p w14:paraId="7C4B98FE" w14:textId="77777777" w:rsidR="00DD2A2E" w:rsidRDefault="00DD2A2E">
      <w:pPr>
        <w:spacing w:line="276" w:lineRule="auto"/>
        <w:ind w:right="-560"/>
        <w:jc w:val="both"/>
        <w:rPr>
          <w:rFonts w:ascii="Open Sans" w:eastAsia="Open Sans" w:hAnsi="Open Sans" w:cs="Open Sans"/>
          <w:color w:val="262626"/>
          <w:sz w:val="22"/>
          <w:szCs w:val="22"/>
        </w:rPr>
      </w:pPr>
    </w:p>
    <w:p w14:paraId="7B393D3C" w14:textId="77777777" w:rsidR="00DD2A2E" w:rsidRDefault="00DD2A2E">
      <w:pPr>
        <w:spacing w:line="276" w:lineRule="auto"/>
        <w:ind w:right="-560"/>
        <w:jc w:val="both"/>
        <w:rPr>
          <w:rFonts w:ascii="Open Sans" w:eastAsia="Open Sans" w:hAnsi="Open Sans" w:cs="Open Sans"/>
          <w:color w:val="262626"/>
          <w:sz w:val="22"/>
          <w:szCs w:val="22"/>
        </w:rPr>
      </w:pPr>
    </w:p>
    <w:p w14:paraId="5DEF1577" w14:textId="77777777" w:rsidR="00DD2A2E" w:rsidRDefault="00DD2A2E">
      <w:pPr>
        <w:spacing w:line="276" w:lineRule="auto"/>
        <w:ind w:right="-560"/>
        <w:jc w:val="both"/>
        <w:rPr>
          <w:rFonts w:ascii="Open Sans" w:eastAsia="Open Sans" w:hAnsi="Open Sans" w:cs="Open Sans"/>
          <w:color w:val="262626"/>
          <w:sz w:val="22"/>
          <w:szCs w:val="22"/>
        </w:rPr>
      </w:pPr>
    </w:p>
    <w:p w14:paraId="38175B03" w14:textId="77777777" w:rsidR="00DD2A2E" w:rsidRDefault="00DD2A2E">
      <w:pPr>
        <w:spacing w:line="276" w:lineRule="auto"/>
        <w:ind w:right="-560"/>
        <w:jc w:val="both"/>
        <w:rPr>
          <w:rFonts w:ascii="Open Sans" w:eastAsia="Open Sans" w:hAnsi="Open Sans" w:cs="Open Sans"/>
          <w:color w:val="262626"/>
          <w:sz w:val="22"/>
          <w:szCs w:val="22"/>
        </w:rPr>
      </w:pPr>
    </w:p>
    <w:p w14:paraId="730B4154" w14:textId="77777777" w:rsidR="00DD2A2E" w:rsidRDefault="00DD2A2E">
      <w:pPr>
        <w:spacing w:line="276" w:lineRule="auto"/>
        <w:ind w:right="-560"/>
        <w:jc w:val="both"/>
        <w:rPr>
          <w:rFonts w:ascii="Open Sans" w:eastAsia="Open Sans" w:hAnsi="Open Sans" w:cs="Open Sans"/>
          <w:color w:val="262626"/>
          <w:sz w:val="22"/>
          <w:szCs w:val="22"/>
        </w:rPr>
      </w:pPr>
    </w:p>
    <w:p w14:paraId="5D8B99A1" w14:textId="77777777" w:rsidR="00DD2A2E" w:rsidRDefault="00000000">
      <w:pPr>
        <w:spacing w:line="276" w:lineRule="auto"/>
        <w:ind w:right="-560"/>
        <w:jc w:val="center"/>
        <w:rPr>
          <w:rFonts w:ascii="Open Sans" w:eastAsia="Open Sans" w:hAnsi="Open Sans" w:cs="Open Sans"/>
          <w:b/>
          <w:bCs/>
          <w:color w:val="002060"/>
          <w:sz w:val="28"/>
          <w:szCs w:val="28"/>
        </w:rPr>
      </w:pPr>
      <w:r>
        <w:rPr>
          <w:rFonts w:ascii="Open Sans" w:eastAsia="Open Sans" w:hAnsi="Open Sans" w:cs="Open Sans"/>
          <w:b/>
          <w:bCs/>
          <w:color w:val="002060"/>
          <w:sz w:val="28"/>
          <w:szCs w:val="28"/>
        </w:rPr>
        <w:lastRenderedPageBreak/>
        <w:t>Ciudades en las que subirá el precio de la vivienda de compra</w:t>
      </w:r>
    </w:p>
    <w:p w14:paraId="4F919F23" w14:textId="77777777" w:rsidR="00DD2A2E" w:rsidRDefault="00DD2A2E">
      <w:pPr>
        <w:spacing w:line="276" w:lineRule="auto"/>
        <w:ind w:right="-560"/>
        <w:jc w:val="center"/>
        <w:rPr>
          <w:rFonts w:ascii="Open Sans" w:eastAsia="Open Sans" w:hAnsi="Open Sans" w:cs="Open Sans"/>
          <w:b/>
          <w:bCs/>
          <w:color w:val="002060"/>
          <w:sz w:val="28"/>
          <w:szCs w:val="28"/>
        </w:rPr>
      </w:pPr>
    </w:p>
    <w:p w14:paraId="2092DFE7" w14:textId="77777777" w:rsidR="00DD2A2E" w:rsidRDefault="00000000">
      <w:pPr>
        <w:spacing w:line="276" w:lineRule="auto"/>
        <w:ind w:left="-709" w:right="-560"/>
        <w:jc w:val="center"/>
        <w:rPr>
          <w:rFonts w:ascii="Open Sans" w:eastAsia="Open Sans" w:hAnsi="Open Sans" w:cs="Open Sans"/>
          <w:b/>
          <w:bCs/>
          <w:color w:val="002060"/>
          <w:sz w:val="28"/>
          <w:szCs w:val="28"/>
        </w:rPr>
      </w:pPr>
      <w:r>
        <w:rPr>
          <w:noProof/>
        </w:rPr>
        <w:drawing>
          <wp:inline distT="0" distB="0" distL="0" distR="0" wp14:anchorId="1B726C8F" wp14:editId="0FBB739B">
            <wp:extent cx="6370320" cy="337566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370320" cy="3375660"/>
                    </a:xfrm>
                    <a:prstGeom prst="rect">
                      <a:avLst/>
                    </a:prstGeom>
                    <a:ln/>
                  </pic:spPr>
                </pic:pic>
              </a:graphicData>
            </a:graphic>
          </wp:inline>
        </w:drawing>
      </w:r>
    </w:p>
    <w:p w14:paraId="3DA460C2" w14:textId="77777777" w:rsidR="00DD2A2E" w:rsidRDefault="00DD2A2E">
      <w:pPr>
        <w:spacing w:line="276" w:lineRule="auto"/>
        <w:ind w:right="-560"/>
        <w:jc w:val="both"/>
        <w:rPr>
          <w:rFonts w:ascii="Open Sans" w:eastAsia="Open Sans" w:hAnsi="Open Sans" w:cs="Open Sans"/>
          <w:color w:val="262626"/>
          <w:sz w:val="22"/>
          <w:szCs w:val="22"/>
        </w:rPr>
      </w:pPr>
    </w:p>
    <w:p w14:paraId="6620C306" w14:textId="77777777" w:rsidR="00DD2A2E" w:rsidRDefault="00DD2A2E">
      <w:pPr>
        <w:spacing w:line="276" w:lineRule="auto"/>
        <w:ind w:right="-560"/>
        <w:jc w:val="both"/>
        <w:rPr>
          <w:rFonts w:ascii="Open Sans" w:eastAsia="Open Sans" w:hAnsi="Open Sans" w:cs="Open Sans"/>
          <w:b/>
          <w:bCs/>
          <w:color w:val="002060"/>
        </w:rPr>
      </w:pPr>
    </w:p>
    <w:p w14:paraId="11E6A123" w14:textId="77777777" w:rsidR="00DD2A2E"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Bajadas previstas en 9 localidades españolas</w:t>
      </w:r>
    </w:p>
    <w:p w14:paraId="57C07B07" w14:textId="77777777" w:rsidR="00DD2A2E" w:rsidRDefault="00DD2A2E">
      <w:pPr>
        <w:spacing w:line="276" w:lineRule="auto"/>
        <w:ind w:right="-560"/>
        <w:jc w:val="both"/>
        <w:rPr>
          <w:rFonts w:ascii="Open Sans" w:eastAsia="Open Sans" w:hAnsi="Open Sans" w:cs="Open Sans"/>
          <w:color w:val="262626"/>
          <w:sz w:val="22"/>
          <w:szCs w:val="22"/>
        </w:rPr>
      </w:pPr>
    </w:p>
    <w:p w14:paraId="0E3CA80B" w14:textId="77777777" w:rsidR="00DD2A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el extremo opuesto, el índice anticipa descensos trimestrales limitados a 9 de las capitales provinciales analizadas. </w:t>
      </w:r>
      <w:r>
        <w:rPr>
          <w:rFonts w:ascii="Open Sans" w:eastAsia="Open Sans" w:hAnsi="Open Sans" w:cs="Open Sans"/>
          <w:b/>
          <w:bCs/>
          <w:color w:val="262626"/>
          <w:sz w:val="22"/>
          <w:szCs w:val="22"/>
        </w:rPr>
        <w:t>Huesca lidera las bajadas previstas en España para este segundo trimestre con un -4,3%, seguida por dos capitales castellanoleonesas: Palencia (-3,6%) y Burgos (-1,6%).</w:t>
      </w:r>
      <w:r>
        <w:rPr>
          <w:rFonts w:ascii="Open Sans" w:eastAsia="Open Sans" w:hAnsi="Open Sans" w:cs="Open Sans"/>
          <w:color w:val="262626"/>
          <w:sz w:val="22"/>
          <w:szCs w:val="22"/>
        </w:rPr>
        <w:t xml:space="preserve"> El modelo también pronostica ajustes a la baja en la mitad norte y en zonas costeras. Es el caso de Lugo, con una caída estimada del -1,7%, Alicante (-1,0%), Palma (-0,2%) y Pamplona (-0,2%). La lista de descensos la completan dos ciudades andaluzas con correcciones muy leves: Málaga (-0,2%) y Almería (-0,2%).</w:t>
      </w:r>
    </w:p>
    <w:p w14:paraId="48076212" w14:textId="77777777" w:rsidR="00DD2A2E" w:rsidRDefault="00DD2A2E">
      <w:pPr>
        <w:spacing w:line="276" w:lineRule="auto"/>
        <w:ind w:right="-560"/>
        <w:jc w:val="both"/>
        <w:rPr>
          <w:rFonts w:ascii="Open Sans" w:eastAsia="Open Sans" w:hAnsi="Open Sans" w:cs="Open Sans"/>
          <w:color w:val="262626"/>
          <w:sz w:val="22"/>
          <w:szCs w:val="22"/>
        </w:rPr>
      </w:pPr>
    </w:p>
    <w:p w14:paraId="5E4A2F98" w14:textId="77777777" w:rsidR="00DD2A2E" w:rsidRDefault="00DD2A2E">
      <w:pPr>
        <w:spacing w:line="276" w:lineRule="auto"/>
        <w:ind w:right="-560"/>
        <w:jc w:val="both"/>
        <w:rPr>
          <w:rFonts w:ascii="Open Sans" w:eastAsia="Open Sans" w:hAnsi="Open Sans" w:cs="Open Sans"/>
          <w:color w:val="262626"/>
          <w:sz w:val="22"/>
          <w:szCs w:val="22"/>
        </w:rPr>
      </w:pPr>
      <w:bookmarkStart w:id="1" w:name="_heading=h.gmepf24w3prf" w:colFirst="0" w:colLast="0"/>
      <w:bookmarkEnd w:id="1"/>
    </w:p>
    <w:p w14:paraId="5F10B900" w14:textId="77777777" w:rsidR="00DD2A2E" w:rsidRDefault="00DD2A2E">
      <w:pPr>
        <w:spacing w:line="276" w:lineRule="auto"/>
        <w:ind w:right="-560"/>
        <w:jc w:val="both"/>
        <w:rPr>
          <w:rFonts w:ascii="Open Sans" w:eastAsia="Open Sans" w:hAnsi="Open Sans" w:cs="Open Sans"/>
          <w:color w:val="262626"/>
          <w:sz w:val="22"/>
          <w:szCs w:val="22"/>
        </w:rPr>
      </w:pPr>
    </w:p>
    <w:p w14:paraId="1F962C96" w14:textId="77777777" w:rsidR="00DD2A2E" w:rsidRDefault="00DD2A2E">
      <w:pPr>
        <w:spacing w:line="276" w:lineRule="auto"/>
        <w:ind w:right="-560"/>
        <w:jc w:val="both"/>
        <w:rPr>
          <w:rFonts w:ascii="Open Sans" w:eastAsia="Open Sans" w:hAnsi="Open Sans" w:cs="Open Sans"/>
          <w:color w:val="262626"/>
          <w:sz w:val="22"/>
          <w:szCs w:val="22"/>
        </w:rPr>
      </w:pPr>
    </w:p>
    <w:p w14:paraId="0205E1C9" w14:textId="77777777" w:rsidR="0084398F" w:rsidRDefault="0084398F">
      <w:pPr>
        <w:spacing w:line="276" w:lineRule="auto"/>
        <w:ind w:right="-560"/>
        <w:jc w:val="both"/>
        <w:rPr>
          <w:rFonts w:ascii="Open Sans" w:eastAsia="Open Sans" w:hAnsi="Open Sans" w:cs="Open Sans"/>
          <w:color w:val="262626"/>
          <w:sz w:val="22"/>
          <w:szCs w:val="22"/>
        </w:rPr>
      </w:pPr>
    </w:p>
    <w:p w14:paraId="232FDA52" w14:textId="77777777" w:rsidR="0084398F" w:rsidRDefault="0084398F">
      <w:pPr>
        <w:spacing w:line="276" w:lineRule="auto"/>
        <w:ind w:right="-560"/>
        <w:jc w:val="both"/>
        <w:rPr>
          <w:rFonts w:ascii="Open Sans" w:eastAsia="Open Sans" w:hAnsi="Open Sans" w:cs="Open Sans"/>
          <w:color w:val="262626"/>
          <w:sz w:val="22"/>
          <w:szCs w:val="22"/>
        </w:rPr>
      </w:pPr>
    </w:p>
    <w:p w14:paraId="5F394C6F" w14:textId="77777777" w:rsidR="00DD2A2E" w:rsidRDefault="00DD2A2E">
      <w:pPr>
        <w:spacing w:line="276" w:lineRule="auto"/>
        <w:ind w:right="-560"/>
        <w:jc w:val="both"/>
        <w:rPr>
          <w:rFonts w:ascii="Open Sans" w:eastAsia="Open Sans" w:hAnsi="Open Sans" w:cs="Open Sans"/>
          <w:color w:val="262626"/>
          <w:sz w:val="22"/>
          <w:szCs w:val="22"/>
        </w:rPr>
      </w:pPr>
    </w:p>
    <w:p w14:paraId="34362547" w14:textId="77777777" w:rsidR="00DD2A2E" w:rsidRDefault="00DD2A2E">
      <w:pPr>
        <w:spacing w:line="276" w:lineRule="auto"/>
        <w:ind w:right="-560"/>
        <w:jc w:val="both"/>
        <w:rPr>
          <w:rFonts w:ascii="Open Sans" w:eastAsia="Open Sans" w:hAnsi="Open Sans" w:cs="Open Sans"/>
          <w:color w:val="262626"/>
          <w:sz w:val="22"/>
          <w:szCs w:val="22"/>
        </w:rPr>
      </w:pPr>
    </w:p>
    <w:p w14:paraId="1C40DE4D" w14:textId="77777777" w:rsidR="00DD2A2E" w:rsidRDefault="00000000">
      <w:pPr>
        <w:spacing w:line="276" w:lineRule="auto"/>
        <w:ind w:right="-560"/>
        <w:jc w:val="center"/>
        <w:rPr>
          <w:rFonts w:ascii="Open Sans" w:eastAsia="Open Sans" w:hAnsi="Open Sans" w:cs="Open Sans"/>
          <w:b/>
          <w:bCs/>
          <w:color w:val="002060"/>
          <w:sz w:val="28"/>
          <w:szCs w:val="28"/>
        </w:rPr>
      </w:pPr>
      <w:r>
        <w:rPr>
          <w:rFonts w:ascii="Open Sans" w:eastAsia="Open Sans" w:hAnsi="Open Sans" w:cs="Open Sans"/>
          <w:b/>
          <w:bCs/>
          <w:color w:val="002060"/>
          <w:sz w:val="28"/>
          <w:szCs w:val="28"/>
        </w:rPr>
        <w:lastRenderedPageBreak/>
        <w:t>Ciudades en las que bajará el precio de la vivienda en compra</w:t>
      </w:r>
    </w:p>
    <w:p w14:paraId="7F9CEAB6" w14:textId="77777777" w:rsidR="00DD2A2E" w:rsidRDefault="00DD2A2E">
      <w:pPr>
        <w:spacing w:line="276" w:lineRule="auto"/>
        <w:ind w:right="-560"/>
        <w:jc w:val="center"/>
      </w:pPr>
    </w:p>
    <w:p w14:paraId="41E557E8" w14:textId="77777777" w:rsidR="00DD2A2E"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254EC9FE" wp14:editId="5AA7D017">
            <wp:extent cx="5590309" cy="2743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90309" cy="2743200"/>
                    </a:xfrm>
                    <a:prstGeom prst="rect">
                      <a:avLst/>
                    </a:prstGeom>
                    <a:ln/>
                  </pic:spPr>
                </pic:pic>
              </a:graphicData>
            </a:graphic>
          </wp:inline>
        </w:drawing>
      </w:r>
    </w:p>
    <w:p w14:paraId="166A28A4" w14:textId="77777777" w:rsidR="00DD2A2E" w:rsidRDefault="00DD2A2E">
      <w:pPr>
        <w:spacing w:line="276" w:lineRule="auto"/>
        <w:ind w:right="-560"/>
        <w:jc w:val="both"/>
        <w:rPr>
          <w:rFonts w:ascii="Open Sans" w:eastAsia="Open Sans" w:hAnsi="Open Sans" w:cs="Open Sans"/>
          <w:color w:val="262626"/>
          <w:sz w:val="22"/>
          <w:szCs w:val="22"/>
        </w:rPr>
      </w:pPr>
    </w:p>
    <w:p w14:paraId="01A5C864" w14:textId="77777777" w:rsidR="00DD2A2E" w:rsidRDefault="00DD2A2E">
      <w:pPr>
        <w:spacing w:line="276" w:lineRule="auto"/>
        <w:ind w:right="-560"/>
        <w:jc w:val="both"/>
        <w:rPr>
          <w:rFonts w:ascii="Open Sans" w:eastAsia="Open Sans" w:hAnsi="Open Sans" w:cs="Open Sans"/>
          <w:b/>
          <w:bCs/>
          <w:color w:val="262626"/>
          <w:sz w:val="22"/>
          <w:szCs w:val="22"/>
        </w:rPr>
      </w:pPr>
    </w:p>
    <w:p w14:paraId="50054944" w14:textId="77777777" w:rsidR="00DD2A2E" w:rsidRDefault="00000000">
      <w:pPr>
        <w:spacing w:line="276" w:lineRule="auto"/>
        <w:ind w:right="-560"/>
        <w:rPr>
          <w:rFonts w:ascii="Open Sans" w:eastAsia="Open Sans" w:hAnsi="Open Sans" w:cs="Open Sans"/>
          <w:b/>
          <w:bCs/>
          <w:color w:val="002060"/>
        </w:rPr>
      </w:pPr>
      <w:r>
        <w:rPr>
          <w:rFonts w:ascii="Open Sans" w:eastAsia="Open Sans" w:hAnsi="Open Sans" w:cs="Open Sans"/>
          <w:b/>
          <w:bCs/>
          <w:color w:val="002060"/>
        </w:rPr>
        <w:t xml:space="preserve">                    Variación trimestral por capitales de provincia</w:t>
      </w:r>
    </w:p>
    <w:p w14:paraId="75D8A498" w14:textId="77777777" w:rsidR="00DD2A2E" w:rsidRDefault="00DD2A2E">
      <w:pPr>
        <w:spacing w:line="276" w:lineRule="auto"/>
        <w:ind w:right="-560"/>
        <w:jc w:val="both"/>
        <w:rPr>
          <w:rFonts w:ascii="Open Sans" w:eastAsia="Open Sans" w:hAnsi="Open Sans" w:cs="Open Sans"/>
          <w:b/>
          <w:bCs/>
          <w:color w:val="262626"/>
          <w:sz w:val="22"/>
          <w:szCs w:val="22"/>
        </w:rPr>
      </w:pPr>
    </w:p>
    <w:tbl>
      <w:tblPr>
        <w:tblStyle w:val="a"/>
        <w:tblW w:w="694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3543"/>
      </w:tblGrid>
      <w:tr w:rsidR="00DD2A2E" w14:paraId="2DF6F391" w14:textId="77777777" w:rsidTr="00DD2A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32F604B" w14:textId="77777777" w:rsidR="00DD2A2E"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3543" w:type="dxa"/>
          </w:tcPr>
          <w:p w14:paraId="1B8DE781" w14:textId="77777777" w:rsidR="00DD2A2E"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2º trimestre (%)</w:t>
            </w:r>
          </w:p>
        </w:tc>
      </w:tr>
      <w:tr w:rsidR="00DD2A2E" w14:paraId="58B5E4E8"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5EAC1E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Soria</w:t>
            </w:r>
          </w:p>
        </w:tc>
        <w:tc>
          <w:tcPr>
            <w:tcW w:w="3543" w:type="dxa"/>
            <w:vAlign w:val="bottom"/>
          </w:tcPr>
          <w:p w14:paraId="4A1D14DB"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12,7</w:t>
            </w:r>
          </w:p>
        </w:tc>
      </w:tr>
      <w:tr w:rsidR="00DD2A2E" w14:paraId="0018BC36"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51B7FD5"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Ciudad Real</w:t>
            </w:r>
          </w:p>
        </w:tc>
        <w:tc>
          <w:tcPr>
            <w:tcW w:w="3543" w:type="dxa"/>
            <w:vAlign w:val="bottom"/>
          </w:tcPr>
          <w:p w14:paraId="1B03E945"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7,5</w:t>
            </w:r>
          </w:p>
        </w:tc>
      </w:tr>
      <w:tr w:rsidR="00DD2A2E" w14:paraId="00BF4139"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FF90350"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Jaén</w:t>
            </w:r>
          </w:p>
        </w:tc>
        <w:tc>
          <w:tcPr>
            <w:tcW w:w="3543" w:type="dxa"/>
            <w:vAlign w:val="bottom"/>
          </w:tcPr>
          <w:p w14:paraId="1F00E789"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7,2</w:t>
            </w:r>
          </w:p>
        </w:tc>
      </w:tr>
      <w:tr w:rsidR="00DD2A2E" w14:paraId="4D08074A"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435E200"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Ávila</w:t>
            </w:r>
          </w:p>
        </w:tc>
        <w:tc>
          <w:tcPr>
            <w:tcW w:w="3543" w:type="dxa"/>
            <w:vAlign w:val="bottom"/>
          </w:tcPr>
          <w:p w14:paraId="622BFFFA"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7,1</w:t>
            </w:r>
          </w:p>
        </w:tc>
      </w:tr>
      <w:tr w:rsidR="00DD2A2E" w14:paraId="2E161B07"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80C8A2F"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Granada</w:t>
            </w:r>
          </w:p>
        </w:tc>
        <w:tc>
          <w:tcPr>
            <w:tcW w:w="3543" w:type="dxa"/>
            <w:vAlign w:val="bottom"/>
          </w:tcPr>
          <w:p w14:paraId="241E00EC"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6,8</w:t>
            </w:r>
          </w:p>
        </w:tc>
      </w:tr>
      <w:tr w:rsidR="00DD2A2E" w14:paraId="619CCC37"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117A559"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Segovia </w:t>
            </w:r>
          </w:p>
        </w:tc>
        <w:tc>
          <w:tcPr>
            <w:tcW w:w="3543" w:type="dxa"/>
            <w:vAlign w:val="bottom"/>
          </w:tcPr>
          <w:p w14:paraId="232F1DF4"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5,9</w:t>
            </w:r>
          </w:p>
        </w:tc>
      </w:tr>
      <w:tr w:rsidR="00DD2A2E" w14:paraId="0EA2EAC2"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534B1F"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A Coruña </w:t>
            </w:r>
          </w:p>
        </w:tc>
        <w:tc>
          <w:tcPr>
            <w:tcW w:w="3543" w:type="dxa"/>
            <w:vAlign w:val="bottom"/>
          </w:tcPr>
          <w:p w14:paraId="3175C8BE"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5,8</w:t>
            </w:r>
          </w:p>
        </w:tc>
      </w:tr>
      <w:tr w:rsidR="00DD2A2E" w14:paraId="4E686E5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B14BDC4"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Pontevedra </w:t>
            </w:r>
          </w:p>
        </w:tc>
        <w:tc>
          <w:tcPr>
            <w:tcW w:w="3543" w:type="dxa"/>
            <w:vAlign w:val="bottom"/>
          </w:tcPr>
          <w:p w14:paraId="05C0BEE8"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5,4</w:t>
            </w:r>
          </w:p>
        </w:tc>
      </w:tr>
      <w:tr w:rsidR="00DD2A2E" w14:paraId="17F4B69F"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75D27CB"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Orense </w:t>
            </w:r>
          </w:p>
        </w:tc>
        <w:tc>
          <w:tcPr>
            <w:tcW w:w="3543" w:type="dxa"/>
            <w:vAlign w:val="bottom"/>
          </w:tcPr>
          <w:p w14:paraId="6BCC4EB7"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5,2</w:t>
            </w:r>
          </w:p>
        </w:tc>
      </w:tr>
      <w:tr w:rsidR="00DD2A2E" w14:paraId="79D92427"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20EBA38"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Lleida</w:t>
            </w:r>
          </w:p>
        </w:tc>
        <w:tc>
          <w:tcPr>
            <w:tcW w:w="3543" w:type="dxa"/>
            <w:vAlign w:val="bottom"/>
          </w:tcPr>
          <w:p w14:paraId="2A0AC29F"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5,2</w:t>
            </w:r>
          </w:p>
        </w:tc>
      </w:tr>
      <w:tr w:rsidR="00DD2A2E" w14:paraId="2292E848"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4CD69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Cuenca </w:t>
            </w:r>
          </w:p>
        </w:tc>
        <w:tc>
          <w:tcPr>
            <w:tcW w:w="3543" w:type="dxa"/>
            <w:vAlign w:val="bottom"/>
          </w:tcPr>
          <w:p w14:paraId="10D04FD2"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4,8</w:t>
            </w:r>
          </w:p>
        </w:tc>
      </w:tr>
      <w:tr w:rsidR="00DD2A2E" w14:paraId="2F7C7F2E"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8E5E67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Girona </w:t>
            </w:r>
          </w:p>
        </w:tc>
        <w:tc>
          <w:tcPr>
            <w:tcW w:w="3543" w:type="dxa"/>
            <w:vAlign w:val="bottom"/>
          </w:tcPr>
          <w:p w14:paraId="26C6B0E1"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4,5</w:t>
            </w:r>
          </w:p>
        </w:tc>
      </w:tr>
      <w:tr w:rsidR="00DD2A2E" w14:paraId="5C495D00"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627E09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Teruel </w:t>
            </w:r>
          </w:p>
        </w:tc>
        <w:tc>
          <w:tcPr>
            <w:tcW w:w="3543" w:type="dxa"/>
            <w:vAlign w:val="bottom"/>
          </w:tcPr>
          <w:p w14:paraId="52DF5193"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4,2</w:t>
            </w:r>
          </w:p>
        </w:tc>
      </w:tr>
      <w:tr w:rsidR="00DD2A2E" w14:paraId="578FEAC1"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81B8B9"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Salamanca </w:t>
            </w:r>
          </w:p>
        </w:tc>
        <w:tc>
          <w:tcPr>
            <w:tcW w:w="3543" w:type="dxa"/>
            <w:vAlign w:val="bottom"/>
          </w:tcPr>
          <w:p w14:paraId="5C983E03"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4,1</w:t>
            </w:r>
          </w:p>
        </w:tc>
      </w:tr>
      <w:tr w:rsidR="00DD2A2E" w14:paraId="03BBEABB"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72DDD0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Murcia </w:t>
            </w:r>
          </w:p>
        </w:tc>
        <w:tc>
          <w:tcPr>
            <w:tcW w:w="3543" w:type="dxa"/>
            <w:vAlign w:val="bottom"/>
          </w:tcPr>
          <w:p w14:paraId="458468F9"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4,0</w:t>
            </w:r>
          </w:p>
        </w:tc>
      </w:tr>
      <w:tr w:rsidR="00DD2A2E" w14:paraId="35ACB29B"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B28CC57"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Valencia </w:t>
            </w:r>
          </w:p>
        </w:tc>
        <w:tc>
          <w:tcPr>
            <w:tcW w:w="3543" w:type="dxa"/>
            <w:vAlign w:val="bottom"/>
          </w:tcPr>
          <w:p w14:paraId="47341F97"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4,0</w:t>
            </w:r>
          </w:p>
        </w:tc>
      </w:tr>
      <w:tr w:rsidR="00DD2A2E" w14:paraId="2057A212"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D4CBA7A"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lastRenderedPageBreak/>
              <w:t xml:space="preserve">León </w:t>
            </w:r>
          </w:p>
        </w:tc>
        <w:tc>
          <w:tcPr>
            <w:tcW w:w="3543" w:type="dxa"/>
            <w:vAlign w:val="bottom"/>
          </w:tcPr>
          <w:p w14:paraId="439AAFD0"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3,7</w:t>
            </w:r>
          </w:p>
        </w:tc>
      </w:tr>
      <w:tr w:rsidR="00DD2A2E" w14:paraId="014D17C6"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F14868"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Logroño </w:t>
            </w:r>
          </w:p>
        </w:tc>
        <w:tc>
          <w:tcPr>
            <w:tcW w:w="3543" w:type="dxa"/>
            <w:vAlign w:val="bottom"/>
          </w:tcPr>
          <w:p w14:paraId="2F739CA4"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3,4</w:t>
            </w:r>
          </w:p>
        </w:tc>
      </w:tr>
      <w:tr w:rsidR="00DD2A2E" w14:paraId="472C79BA"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95B264"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Castellón</w:t>
            </w:r>
          </w:p>
        </w:tc>
        <w:tc>
          <w:tcPr>
            <w:tcW w:w="3543" w:type="dxa"/>
            <w:vAlign w:val="bottom"/>
          </w:tcPr>
          <w:p w14:paraId="5AE9674A"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3,3</w:t>
            </w:r>
          </w:p>
        </w:tc>
      </w:tr>
      <w:tr w:rsidR="00DD2A2E" w14:paraId="4A534380"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046A81E"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Córdoba </w:t>
            </w:r>
          </w:p>
        </w:tc>
        <w:tc>
          <w:tcPr>
            <w:tcW w:w="3543" w:type="dxa"/>
            <w:vAlign w:val="bottom"/>
          </w:tcPr>
          <w:p w14:paraId="01AC4EAF"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3,1</w:t>
            </w:r>
          </w:p>
        </w:tc>
      </w:tr>
      <w:tr w:rsidR="00DD2A2E" w14:paraId="4D230C84"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7515A9E"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Tarragona </w:t>
            </w:r>
          </w:p>
        </w:tc>
        <w:tc>
          <w:tcPr>
            <w:tcW w:w="3543" w:type="dxa"/>
            <w:vAlign w:val="bottom"/>
          </w:tcPr>
          <w:p w14:paraId="070E5D6E"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2,9</w:t>
            </w:r>
          </w:p>
        </w:tc>
      </w:tr>
      <w:tr w:rsidR="00DD2A2E" w14:paraId="22278C2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4A40FB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Zaragoza </w:t>
            </w:r>
          </w:p>
        </w:tc>
        <w:tc>
          <w:tcPr>
            <w:tcW w:w="3543" w:type="dxa"/>
            <w:vAlign w:val="bottom"/>
          </w:tcPr>
          <w:p w14:paraId="34FB2783"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2,9</w:t>
            </w:r>
          </w:p>
        </w:tc>
      </w:tr>
      <w:tr w:rsidR="00DD2A2E" w14:paraId="4A017494"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237A906"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Guadalajara </w:t>
            </w:r>
          </w:p>
        </w:tc>
        <w:tc>
          <w:tcPr>
            <w:tcW w:w="3543" w:type="dxa"/>
            <w:vAlign w:val="bottom"/>
          </w:tcPr>
          <w:p w14:paraId="0C5C3F9F"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2,5</w:t>
            </w:r>
          </w:p>
        </w:tc>
      </w:tr>
      <w:tr w:rsidR="00DD2A2E" w14:paraId="169E32C7"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4E225FC"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Bilbao </w:t>
            </w:r>
          </w:p>
        </w:tc>
        <w:tc>
          <w:tcPr>
            <w:tcW w:w="3543" w:type="dxa"/>
            <w:vAlign w:val="bottom"/>
          </w:tcPr>
          <w:p w14:paraId="62D814AE"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2,4</w:t>
            </w:r>
          </w:p>
        </w:tc>
      </w:tr>
      <w:tr w:rsidR="00DD2A2E" w14:paraId="33288D85"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E0EAE6B"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Albacete </w:t>
            </w:r>
          </w:p>
        </w:tc>
        <w:tc>
          <w:tcPr>
            <w:tcW w:w="3543" w:type="dxa"/>
            <w:vAlign w:val="bottom"/>
          </w:tcPr>
          <w:p w14:paraId="24462C91"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2,4</w:t>
            </w:r>
          </w:p>
        </w:tc>
      </w:tr>
      <w:tr w:rsidR="00DD2A2E" w14:paraId="4FBEA611"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5C9EECD"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Cáceres </w:t>
            </w:r>
          </w:p>
        </w:tc>
        <w:tc>
          <w:tcPr>
            <w:tcW w:w="3543" w:type="dxa"/>
            <w:vAlign w:val="bottom"/>
          </w:tcPr>
          <w:p w14:paraId="1EDAECE4"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2,4</w:t>
            </w:r>
          </w:p>
        </w:tc>
      </w:tr>
      <w:tr w:rsidR="00DD2A2E" w14:paraId="298A5EF6"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F5BFB4"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Valladolid </w:t>
            </w:r>
          </w:p>
        </w:tc>
        <w:tc>
          <w:tcPr>
            <w:tcW w:w="3543" w:type="dxa"/>
            <w:vAlign w:val="bottom"/>
          </w:tcPr>
          <w:p w14:paraId="71C83AF3"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2,3</w:t>
            </w:r>
          </w:p>
        </w:tc>
      </w:tr>
      <w:tr w:rsidR="00DD2A2E" w14:paraId="0F55BC0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C69BF6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Oviedo </w:t>
            </w:r>
          </w:p>
        </w:tc>
        <w:tc>
          <w:tcPr>
            <w:tcW w:w="3543" w:type="dxa"/>
            <w:vAlign w:val="bottom"/>
          </w:tcPr>
          <w:p w14:paraId="3FDFFF66"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2,3</w:t>
            </w:r>
          </w:p>
        </w:tc>
      </w:tr>
      <w:tr w:rsidR="00DD2A2E" w14:paraId="49DAA64F"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1A44EF"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Barcelona </w:t>
            </w:r>
          </w:p>
        </w:tc>
        <w:tc>
          <w:tcPr>
            <w:tcW w:w="3543" w:type="dxa"/>
            <w:vAlign w:val="bottom"/>
          </w:tcPr>
          <w:p w14:paraId="75D3651B"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1,9</w:t>
            </w:r>
          </w:p>
        </w:tc>
      </w:tr>
      <w:tr w:rsidR="00DD2A2E" w14:paraId="31435739"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2AF4F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Madrid</w:t>
            </w:r>
          </w:p>
        </w:tc>
        <w:tc>
          <w:tcPr>
            <w:tcW w:w="3543" w:type="dxa"/>
            <w:vAlign w:val="bottom"/>
          </w:tcPr>
          <w:p w14:paraId="5F03D65B"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1,9</w:t>
            </w:r>
          </w:p>
        </w:tc>
      </w:tr>
      <w:tr w:rsidR="00DD2A2E" w14:paraId="04C17ED1"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F75EA56"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Zamora </w:t>
            </w:r>
          </w:p>
        </w:tc>
        <w:tc>
          <w:tcPr>
            <w:tcW w:w="3543" w:type="dxa"/>
            <w:vAlign w:val="bottom"/>
          </w:tcPr>
          <w:p w14:paraId="69ABF421"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1,5</w:t>
            </w:r>
          </w:p>
        </w:tc>
      </w:tr>
      <w:tr w:rsidR="00DD2A2E" w14:paraId="3CACB34B"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2ACFD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Toledo </w:t>
            </w:r>
          </w:p>
        </w:tc>
        <w:tc>
          <w:tcPr>
            <w:tcW w:w="3543" w:type="dxa"/>
            <w:vAlign w:val="bottom"/>
          </w:tcPr>
          <w:p w14:paraId="1B739876"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1,2</w:t>
            </w:r>
          </w:p>
        </w:tc>
      </w:tr>
      <w:tr w:rsidR="00DD2A2E" w14:paraId="7EED52D6"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867289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Vigo </w:t>
            </w:r>
          </w:p>
        </w:tc>
        <w:tc>
          <w:tcPr>
            <w:tcW w:w="3543" w:type="dxa"/>
            <w:vAlign w:val="bottom"/>
          </w:tcPr>
          <w:p w14:paraId="388C718F"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sz w:val="22"/>
                <w:szCs w:val="22"/>
              </w:rPr>
              <w:t>1,2</w:t>
            </w:r>
          </w:p>
        </w:tc>
      </w:tr>
      <w:tr w:rsidR="00DD2A2E" w14:paraId="3FCB8E59"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18FDE6A"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Cádiz </w:t>
            </w:r>
          </w:p>
        </w:tc>
        <w:tc>
          <w:tcPr>
            <w:tcW w:w="3543" w:type="dxa"/>
            <w:vAlign w:val="bottom"/>
          </w:tcPr>
          <w:p w14:paraId="37548052"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0,9</w:t>
            </w:r>
          </w:p>
        </w:tc>
      </w:tr>
      <w:tr w:rsidR="00DD2A2E" w14:paraId="6E073C3B"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F20CDE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Badajoz </w:t>
            </w:r>
          </w:p>
        </w:tc>
        <w:tc>
          <w:tcPr>
            <w:tcW w:w="3543" w:type="dxa"/>
            <w:vAlign w:val="bottom"/>
          </w:tcPr>
          <w:p w14:paraId="28876A56"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0,9</w:t>
            </w:r>
          </w:p>
        </w:tc>
      </w:tr>
      <w:tr w:rsidR="00DD2A2E" w14:paraId="2294F74F"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9E9F38"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Huelva </w:t>
            </w:r>
          </w:p>
        </w:tc>
        <w:tc>
          <w:tcPr>
            <w:tcW w:w="3543" w:type="dxa"/>
            <w:vAlign w:val="bottom"/>
          </w:tcPr>
          <w:p w14:paraId="2E4EDD85"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0,9</w:t>
            </w:r>
          </w:p>
        </w:tc>
      </w:tr>
      <w:tr w:rsidR="00DD2A2E" w14:paraId="0A9DBB6E"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7E049D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Santa Cruz</w:t>
            </w:r>
          </w:p>
        </w:tc>
        <w:tc>
          <w:tcPr>
            <w:tcW w:w="3543" w:type="dxa"/>
            <w:vAlign w:val="bottom"/>
          </w:tcPr>
          <w:p w14:paraId="027CD901"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0,7</w:t>
            </w:r>
          </w:p>
        </w:tc>
      </w:tr>
      <w:tr w:rsidR="00DD2A2E" w14:paraId="18955C27"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02C2A0D"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Vitoria</w:t>
            </w:r>
          </w:p>
        </w:tc>
        <w:tc>
          <w:tcPr>
            <w:tcW w:w="3543" w:type="dxa"/>
            <w:vAlign w:val="bottom"/>
          </w:tcPr>
          <w:p w14:paraId="1956234F"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0,7</w:t>
            </w:r>
          </w:p>
        </w:tc>
      </w:tr>
      <w:tr w:rsidR="00DD2A2E" w14:paraId="636A7279"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4FCFE77"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Sevilla</w:t>
            </w:r>
          </w:p>
        </w:tc>
        <w:tc>
          <w:tcPr>
            <w:tcW w:w="3543" w:type="dxa"/>
            <w:vAlign w:val="bottom"/>
          </w:tcPr>
          <w:p w14:paraId="68BADAD8"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0,7</w:t>
            </w:r>
          </w:p>
        </w:tc>
      </w:tr>
      <w:tr w:rsidR="00DD2A2E" w14:paraId="24EA2D3F"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B67C47"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San Sebastián </w:t>
            </w:r>
          </w:p>
        </w:tc>
        <w:tc>
          <w:tcPr>
            <w:tcW w:w="3543" w:type="dxa"/>
            <w:vAlign w:val="bottom"/>
          </w:tcPr>
          <w:p w14:paraId="44CA6DFC"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0,6</w:t>
            </w:r>
          </w:p>
        </w:tc>
      </w:tr>
      <w:tr w:rsidR="00DD2A2E" w14:paraId="6E786ACB"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6D6956A"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Las Palmas</w:t>
            </w:r>
          </w:p>
        </w:tc>
        <w:tc>
          <w:tcPr>
            <w:tcW w:w="3543" w:type="dxa"/>
            <w:vAlign w:val="bottom"/>
          </w:tcPr>
          <w:p w14:paraId="312EE0F2"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0,5</w:t>
            </w:r>
          </w:p>
        </w:tc>
      </w:tr>
      <w:tr w:rsidR="00DD2A2E" w14:paraId="107114F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CA5E78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Santander </w:t>
            </w:r>
          </w:p>
        </w:tc>
        <w:tc>
          <w:tcPr>
            <w:tcW w:w="3543" w:type="dxa"/>
            <w:vAlign w:val="bottom"/>
          </w:tcPr>
          <w:p w14:paraId="23AF2026"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000000"/>
                <w:sz w:val="22"/>
                <w:szCs w:val="22"/>
              </w:rPr>
              <w:t>0,1</w:t>
            </w:r>
          </w:p>
        </w:tc>
      </w:tr>
      <w:tr w:rsidR="00DD2A2E" w14:paraId="60281062"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D3D31CC"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Almería</w:t>
            </w:r>
          </w:p>
        </w:tc>
        <w:tc>
          <w:tcPr>
            <w:tcW w:w="3543" w:type="dxa"/>
            <w:vAlign w:val="bottom"/>
          </w:tcPr>
          <w:p w14:paraId="0FAC4D8F"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-0,2</w:t>
            </w:r>
          </w:p>
        </w:tc>
      </w:tr>
      <w:tr w:rsidR="00DD2A2E" w14:paraId="357FECA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C096A99"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Pamplona</w:t>
            </w:r>
          </w:p>
        </w:tc>
        <w:tc>
          <w:tcPr>
            <w:tcW w:w="3543" w:type="dxa"/>
            <w:vAlign w:val="bottom"/>
          </w:tcPr>
          <w:p w14:paraId="104B581C"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-0,2</w:t>
            </w:r>
          </w:p>
        </w:tc>
      </w:tr>
      <w:tr w:rsidR="00DD2A2E" w14:paraId="5246E865"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7A5E11D"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Málaga </w:t>
            </w:r>
          </w:p>
        </w:tc>
        <w:tc>
          <w:tcPr>
            <w:tcW w:w="3543" w:type="dxa"/>
            <w:vAlign w:val="bottom"/>
          </w:tcPr>
          <w:p w14:paraId="01B9DC59"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-0,2</w:t>
            </w:r>
          </w:p>
        </w:tc>
      </w:tr>
      <w:tr w:rsidR="00DD2A2E" w14:paraId="644D24A5"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4E4F07"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Palma </w:t>
            </w:r>
          </w:p>
        </w:tc>
        <w:tc>
          <w:tcPr>
            <w:tcW w:w="3543" w:type="dxa"/>
            <w:vAlign w:val="bottom"/>
          </w:tcPr>
          <w:p w14:paraId="283A6BFA"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-0,2</w:t>
            </w:r>
          </w:p>
        </w:tc>
      </w:tr>
      <w:tr w:rsidR="00DD2A2E" w14:paraId="6864243E"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E83AB13"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Alicante </w:t>
            </w:r>
          </w:p>
        </w:tc>
        <w:tc>
          <w:tcPr>
            <w:tcW w:w="3543" w:type="dxa"/>
            <w:vAlign w:val="bottom"/>
          </w:tcPr>
          <w:p w14:paraId="1C46EFA4"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-1,0</w:t>
            </w:r>
          </w:p>
        </w:tc>
      </w:tr>
      <w:tr w:rsidR="00DD2A2E" w14:paraId="76914972"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CF4B2B"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Burgos </w:t>
            </w:r>
          </w:p>
        </w:tc>
        <w:tc>
          <w:tcPr>
            <w:tcW w:w="3543" w:type="dxa"/>
            <w:vAlign w:val="bottom"/>
          </w:tcPr>
          <w:p w14:paraId="7F8398FE"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-1,6</w:t>
            </w:r>
          </w:p>
        </w:tc>
      </w:tr>
      <w:tr w:rsidR="00DD2A2E" w14:paraId="4713E87D"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EBBA050"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Lugo </w:t>
            </w:r>
          </w:p>
        </w:tc>
        <w:tc>
          <w:tcPr>
            <w:tcW w:w="3543" w:type="dxa"/>
            <w:vAlign w:val="bottom"/>
          </w:tcPr>
          <w:p w14:paraId="3F01E751"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-1,7</w:t>
            </w:r>
          </w:p>
        </w:tc>
      </w:tr>
      <w:tr w:rsidR="00DD2A2E" w14:paraId="70F6D589" w14:textId="77777777" w:rsidTr="00DD2A2E">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1CAE9FC"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Palencia </w:t>
            </w:r>
          </w:p>
        </w:tc>
        <w:tc>
          <w:tcPr>
            <w:tcW w:w="3543" w:type="dxa"/>
            <w:vAlign w:val="bottom"/>
          </w:tcPr>
          <w:p w14:paraId="407F5BF0" w14:textId="77777777" w:rsidR="00DD2A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-3,6</w:t>
            </w:r>
          </w:p>
        </w:tc>
      </w:tr>
      <w:tr w:rsidR="00DD2A2E" w14:paraId="1613F718" w14:textId="77777777" w:rsidTr="00DD2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86AD052" w14:textId="77777777" w:rsidR="00DD2A2E" w:rsidRDefault="00000000">
            <w:pPr>
              <w:spacing w:line="276" w:lineRule="auto"/>
              <w:ind w:right="-560"/>
              <w:jc w:val="both"/>
              <w:rPr>
                <w:rFonts w:ascii="Open Sans" w:eastAsia="Open Sans" w:hAnsi="Open Sans" w:cs="Open Sans"/>
                <w:color w:val="262626"/>
              </w:rPr>
            </w:pPr>
            <w:r>
              <w:rPr>
                <w:rFonts w:ascii="Open Sans" w:eastAsia="Open Sans" w:hAnsi="Open Sans" w:cs="Open Sans"/>
                <w:color w:val="000000"/>
                <w:sz w:val="22"/>
                <w:szCs w:val="22"/>
              </w:rPr>
              <w:t xml:space="preserve">Huesca </w:t>
            </w:r>
          </w:p>
        </w:tc>
        <w:tc>
          <w:tcPr>
            <w:tcW w:w="3543" w:type="dxa"/>
            <w:vAlign w:val="bottom"/>
          </w:tcPr>
          <w:p w14:paraId="44C6B4D4" w14:textId="77777777" w:rsidR="00DD2A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sz w:val="22"/>
                <w:szCs w:val="22"/>
              </w:rPr>
              <w:t>-4,3</w:t>
            </w:r>
          </w:p>
        </w:tc>
      </w:tr>
    </w:tbl>
    <w:p w14:paraId="16FB118A" w14:textId="77777777" w:rsidR="00DD2A2E" w:rsidRDefault="00DD2A2E">
      <w:pPr>
        <w:spacing w:line="276" w:lineRule="auto"/>
        <w:ind w:right="-560"/>
        <w:jc w:val="both"/>
        <w:rPr>
          <w:rFonts w:ascii="Open Sans" w:eastAsia="Open Sans" w:hAnsi="Open Sans" w:cs="Open Sans"/>
          <w:b/>
          <w:bCs/>
          <w:color w:val="262626"/>
          <w:sz w:val="22"/>
          <w:szCs w:val="22"/>
        </w:rPr>
      </w:pPr>
    </w:p>
    <w:p w14:paraId="448A8660" w14:textId="77777777" w:rsidR="0084398F" w:rsidRDefault="0084398F">
      <w:pPr>
        <w:spacing w:line="276" w:lineRule="auto"/>
        <w:ind w:right="-426"/>
        <w:jc w:val="right"/>
        <w:rPr>
          <w:rFonts w:ascii="Open Sans Light" w:eastAsia="Open Sans Light" w:hAnsi="Open Sans Light" w:cs="Open Sans Light"/>
          <w:b/>
          <w:bCs/>
          <w:color w:val="303AB2"/>
        </w:rPr>
      </w:pPr>
    </w:p>
    <w:p w14:paraId="740CAB8E" w14:textId="7DD737F4" w:rsidR="00DD2A2E" w:rsidRDefault="00000000">
      <w:pPr>
        <w:spacing w:line="276" w:lineRule="auto"/>
        <w:ind w:right="-426"/>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w:t>
      </w:r>
      <w:proofErr w:type="spellStart"/>
      <w:r>
        <w:rPr>
          <w:rFonts w:ascii="Open Sans Light" w:eastAsia="Open Sans Light" w:hAnsi="Open Sans Light" w:cs="Open Sans Light"/>
          <w:b/>
          <w:bCs/>
          <w:color w:val="303AB2"/>
        </w:rPr>
        <w:t>DataVenues</w:t>
      </w:r>
      <w:proofErr w:type="spellEnd"/>
    </w:p>
    <w:p w14:paraId="251E6597" w14:textId="77777777" w:rsidR="00DD2A2E" w:rsidRDefault="00000000">
      <w:pPr>
        <w:shd w:val="clear" w:color="auto" w:fill="FFFFFF"/>
        <w:spacing w:before="280" w:after="280" w:line="276" w:lineRule="auto"/>
        <w:ind w:right="-426"/>
        <w:jc w:val="both"/>
        <w:rPr>
          <w:rFonts w:ascii="Open Sans" w:eastAsia="Open Sans" w:hAnsi="Open Sans" w:cs="Open Sans"/>
        </w:rPr>
      </w:pPr>
      <w:hyperlink r:id="rId16">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7">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w:t>
      </w:r>
      <w:proofErr w:type="spellStart"/>
      <w:r>
        <w:rPr>
          <w:rFonts w:ascii="Open Sans" w:eastAsia="Open Sans" w:hAnsi="Open Sans" w:cs="Open Sans"/>
          <w:sz w:val="22"/>
          <w:szCs w:val="22"/>
        </w:rPr>
        <w:t>portal</w:t>
      </w:r>
      <w:proofErr w:type="spellEnd"/>
      <w:r>
        <w:rPr>
          <w:rFonts w:ascii="Open Sans" w:eastAsia="Open Sans" w:hAnsi="Open Sans" w:cs="Open Sans"/>
          <w:sz w:val="22"/>
          <w:szCs w:val="22"/>
        </w:rPr>
        <w:t xml:space="preserve">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w:t>
      </w:r>
    </w:p>
    <w:p w14:paraId="1A2C2734" w14:textId="77777777" w:rsidR="00DD2A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AE8A519"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A127431"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9">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10059E8"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Pr>
            <w:rFonts w:ascii="Open Sans" w:eastAsia="Open Sans" w:hAnsi="Open Sans" w:cs="Open Sans"/>
            <w:b/>
            <w:bCs/>
            <w:color w:val="0000FF"/>
            <w:sz w:val="22"/>
            <w:szCs w:val="22"/>
            <w:u w:val="single"/>
          </w:rPr>
          <w:t>Sala de Prensa</w:t>
        </w:r>
      </w:hyperlink>
    </w:p>
    <w:p w14:paraId="35861EE1" w14:textId="77777777" w:rsidR="00DD2A2E" w:rsidRDefault="00DD2A2E">
      <w:pPr>
        <w:spacing w:line="276" w:lineRule="auto"/>
        <w:ind w:right="-284"/>
        <w:rPr>
          <w:rFonts w:ascii="Open Sans Light" w:eastAsia="Open Sans Light" w:hAnsi="Open Sans Light" w:cs="Open Sans Light"/>
          <w:b/>
          <w:bCs/>
          <w:color w:val="303AB2"/>
        </w:rPr>
      </w:pPr>
    </w:p>
    <w:p w14:paraId="755B727B" w14:textId="77777777" w:rsidR="00DD2A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5043C33B"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2A593A9"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5">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6">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51EA372" w14:textId="77777777" w:rsidR="00DD2A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3711936" w14:textId="77777777" w:rsidR="00DD2A2E"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54E133C9" w14:textId="77777777" w:rsidR="00DD2A2E" w:rsidRDefault="00DD2A2E">
      <w:pPr>
        <w:spacing w:line="276" w:lineRule="auto"/>
        <w:ind w:right="-284"/>
        <w:jc w:val="both"/>
        <w:rPr>
          <w:rFonts w:ascii="Open Sans" w:eastAsia="Open Sans" w:hAnsi="Open Sans" w:cs="Open Sans"/>
          <w:sz w:val="22"/>
          <w:szCs w:val="22"/>
        </w:rPr>
      </w:pPr>
    </w:p>
    <w:p w14:paraId="5E8C99EF" w14:textId="77777777" w:rsidR="00DD2A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2FA3F96" w14:textId="77777777" w:rsidR="00DD2A2E" w:rsidRDefault="00DD2A2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65664E8F" w14:textId="77777777" w:rsidR="00DD2A2E"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7">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20E0A176" w14:textId="77777777" w:rsidR="00DD2A2E" w:rsidRDefault="00DD2A2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649EF9B7" w14:textId="77777777" w:rsidR="00DD2A2E"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1DED71E" w14:textId="77777777" w:rsidR="00DD2A2E" w:rsidRDefault="00DD2A2E">
      <w:pPr>
        <w:spacing w:line="276" w:lineRule="auto"/>
        <w:ind w:right="-284"/>
        <w:rPr>
          <w:rFonts w:ascii="Open Sans" w:eastAsia="Open Sans" w:hAnsi="Open Sans" w:cs="Open Sans"/>
        </w:rPr>
      </w:pPr>
    </w:p>
    <w:p w14:paraId="1CEF7A7C" w14:textId="77777777" w:rsidR="00DD2A2E" w:rsidRDefault="00DD2A2E">
      <w:pPr>
        <w:spacing w:line="276" w:lineRule="auto"/>
        <w:ind w:right="-284"/>
        <w:rPr>
          <w:rFonts w:ascii="Open Sans" w:eastAsia="Open Sans" w:hAnsi="Open Sans" w:cs="Open Sans"/>
        </w:rPr>
      </w:pPr>
    </w:p>
    <w:p w14:paraId="2A3A9FB2" w14:textId="77777777" w:rsidR="00DD2A2E" w:rsidRDefault="00000000">
      <w:pPr>
        <w:spacing w:line="276" w:lineRule="auto"/>
        <w:ind w:right="-426"/>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60D2F6E" w14:textId="77777777" w:rsidR="00DD2A2E" w:rsidRDefault="00000000">
      <w:pPr>
        <w:shd w:val="clear" w:color="auto" w:fill="FFFFFF"/>
        <w:spacing w:line="276" w:lineRule="auto"/>
        <w:ind w:right="-426"/>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2E1588A" w14:textId="77777777" w:rsidR="00DD2A2E" w:rsidRDefault="00000000">
      <w:pPr>
        <w:shd w:val="clear" w:color="auto" w:fill="FFFFFF"/>
        <w:spacing w:line="276" w:lineRule="auto"/>
        <w:ind w:right="-426"/>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7A0E8E34" w14:textId="77777777" w:rsidR="00DD2A2E" w:rsidRDefault="00000000">
      <w:pPr>
        <w:shd w:val="clear" w:color="auto" w:fill="FFFFFF"/>
        <w:spacing w:line="276" w:lineRule="auto"/>
        <w:ind w:right="-426"/>
        <w:rPr>
          <w:rFonts w:ascii="Open Sans" w:eastAsia="Open Sans" w:hAnsi="Open Sans" w:cs="Open Sans"/>
          <w:sz w:val="22"/>
          <w:szCs w:val="22"/>
        </w:rPr>
      </w:pPr>
      <w:r>
        <w:rPr>
          <w:rFonts w:ascii="Open Sans" w:eastAsia="Open Sans" w:hAnsi="Open Sans" w:cs="Open Sans"/>
          <w:color w:val="000000"/>
          <w:sz w:val="22"/>
          <w:szCs w:val="22"/>
        </w:rPr>
        <w:t>620 66 29 26</w:t>
      </w:r>
    </w:p>
    <w:sectPr w:rsidR="00DD2A2E">
      <w:headerReference w:type="default" r:id="rId29"/>
      <w:footerReference w:type="default" r:id="rId30"/>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8800D" w14:textId="77777777" w:rsidR="00200687" w:rsidRDefault="00200687">
      <w:r>
        <w:separator/>
      </w:r>
    </w:p>
  </w:endnote>
  <w:endnote w:type="continuationSeparator" w:id="0">
    <w:p w14:paraId="7302DEA3" w14:textId="77777777" w:rsidR="00200687" w:rsidRDefault="00200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7A5BFAA-818F-49A1-9196-0051C7FFA6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3A3078-6B53-4324-8009-C12B345F7F7B}"/>
    <w:embedBold r:id="rId3" w:fontKey="{13E1FE64-8F6E-4C75-A23E-D70679E1AE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A6DC533-B529-476D-94F5-27EA1464138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136726BB-7C86-4779-BC65-535372D26A55}"/>
    <w:embedBold r:id="rId6" w:fontKey="{619ABB1B-4E7E-4DA1-B1C1-A1C0BAA11209}"/>
    <w:embedItalic r:id="rId7" w:fontKey="{C77EACC5-8FD4-4470-B9ED-41D12B5A8172}"/>
    <w:embedBoldItalic r:id="rId8" w:fontKey="{354236B6-FFBB-4DA4-944D-71D9A38ACA97}"/>
  </w:font>
  <w:font w:name="Open Sans Light">
    <w:charset w:val="00"/>
    <w:family w:val="swiss"/>
    <w:pitch w:val="variable"/>
    <w:sig w:usb0="E00002EF" w:usb1="4000205B" w:usb2="00000028" w:usb3="00000000" w:csb0="0000019F" w:csb1="00000000"/>
    <w:embedBold r:id="rId9" w:fontKey="{869E9EE4-3690-487E-9E0F-FAA07FB0B39A}"/>
  </w:font>
  <w:font w:name="Cambria">
    <w:panose1 w:val="02040503050406030204"/>
    <w:charset w:val="00"/>
    <w:family w:val="roman"/>
    <w:pitch w:val="variable"/>
    <w:sig w:usb0="E00006FF" w:usb1="420024FF" w:usb2="02000000" w:usb3="00000000" w:csb0="0000019F" w:csb1="00000000"/>
    <w:embedRegular r:id="rId10" w:fontKey="{047B07FA-A2B8-476C-B454-80AAB7997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D062" w14:textId="77777777" w:rsidR="00DD2A2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5382125F" wp14:editId="4007999C">
          <wp:simplePos x="0" y="0"/>
          <wp:positionH relativeFrom="column">
            <wp:posOffset>-1080130</wp:posOffset>
          </wp:positionH>
          <wp:positionV relativeFrom="paragraph">
            <wp:posOffset>294640</wp:posOffset>
          </wp:positionV>
          <wp:extent cx="7670550" cy="451315"/>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CD36C" w14:textId="77777777" w:rsidR="00200687" w:rsidRDefault="00200687">
      <w:r>
        <w:separator/>
      </w:r>
    </w:p>
  </w:footnote>
  <w:footnote w:type="continuationSeparator" w:id="0">
    <w:p w14:paraId="6C2E0760" w14:textId="77777777" w:rsidR="00200687" w:rsidRDefault="00200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60DB" w14:textId="77777777" w:rsidR="00DD2A2E"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875CAE5" wp14:editId="29F56193">
          <wp:simplePos x="0" y="0"/>
          <wp:positionH relativeFrom="column">
            <wp:posOffset>-1234435</wp:posOffset>
          </wp:positionH>
          <wp:positionV relativeFrom="paragraph">
            <wp:posOffset>-239389</wp:posOffset>
          </wp:positionV>
          <wp:extent cx="2939415" cy="1019175"/>
          <wp:effectExtent l="0" t="0" r="0" b="0"/>
          <wp:wrapNone/>
          <wp:docPr id="1"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l="-1336" r="62566"/>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AD1F95" wp14:editId="1DA163E5">
          <wp:simplePos x="0" y="0"/>
          <wp:positionH relativeFrom="column">
            <wp:posOffset>3903345</wp:posOffset>
          </wp:positionH>
          <wp:positionV relativeFrom="paragraph">
            <wp:posOffset>-33016</wp:posOffset>
          </wp:positionV>
          <wp:extent cx="2352040" cy="895350"/>
          <wp:effectExtent l="0" t="0" r="0" b="0"/>
          <wp:wrapSquare wrapText="bothSides" distT="0" distB="0" distL="114300" distR="114300"/>
          <wp:docPr id="4" name="image1.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285071C6" w14:textId="77777777" w:rsidR="00DD2A2E" w:rsidRDefault="00DD2A2E">
    <w:pPr>
      <w:pBdr>
        <w:top w:val="nil"/>
        <w:left w:val="nil"/>
        <w:bottom w:val="nil"/>
        <w:right w:val="nil"/>
        <w:between w:val="nil"/>
      </w:pBdr>
      <w:tabs>
        <w:tab w:val="center" w:pos="4252"/>
        <w:tab w:val="right" w:pos="8504"/>
      </w:tabs>
      <w:rPr>
        <w:color w:val="000000"/>
      </w:rPr>
    </w:pPr>
  </w:p>
  <w:p w14:paraId="312985F5" w14:textId="77777777" w:rsidR="00DD2A2E" w:rsidRDefault="00DD2A2E">
    <w:pPr>
      <w:pBdr>
        <w:top w:val="nil"/>
        <w:left w:val="nil"/>
        <w:bottom w:val="nil"/>
        <w:right w:val="nil"/>
        <w:between w:val="nil"/>
      </w:pBdr>
      <w:tabs>
        <w:tab w:val="center" w:pos="4252"/>
        <w:tab w:val="right" w:pos="8504"/>
      </w:tabs>
      <w:rPr>
        <w:color w:val="000000"/>
      </w:rPr>
    </w:pPr>
  </w:p>
  <w:p w14:paraId="2104D75B" w14:textId="77777777" w:rsidR="00DD2A2E" w:rsidRDefault="00DD2A2E">
    <w:pPr>
      <w:pBdr>
        <w:top w:val="nil"/>
        <w:left w:val="nil"/>
        <w:bottom w:val="nil"/>
        <w:right w:val="nil"/>
        <w:between w:val="nil"/>
      </w:pBdr>
      <w:tabs>
        <w:tab w:val="center" w:pos="4252"/>
        <w:tab w:val="right" w:pos="8504"/>
      </w:tabs>
      <w:rPr>
        <w:color w:val="000000"/>
      </w:rPr>
    </w:pPr>
  </w:p>
  <w:p w14:paraId="51C67F3F" w14:textId="77777777" w:rsidR="00DD2A2E" w:rsidRDefault="00DD2A2E">
    <w:pPr>
      <w:pBdr>
        <w:top w:val="nil"/>
        <w:left w:val="nil"/>
        <w:bottom w:val="nil"/>
        <w:right w:val="nil"/>
        <w:between w:val="nil"/>
      </w:pBdr>
      <w:tabs>
        <w:tab w:val="center" w:pos="4252"/>
        <w:tab w:val="right" w:pos="8504"/>
      </w:tabs>
      <w:rPr>
        <w:color w:val="000000"/>
      </w:rPr>
    </w:pPr>
  </w:p>
  <w:p w14:paraId="470C6EC6" w14:textId="77777777" w:rsidR="00DD2A2E" w:rsidRDefault="00DD2A2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33DE4"/>
    <w:multiLevelType w:val="multilevel"/>
    <w:tmpl w:val="15525E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44415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A2E"/>
    <w:rsid w:val="00200687"/>
    <w:rsid w:val="0084398F"/>
    <w:rsid w:val="00A10833"/>
    <w:rsid w:val="00CD31FE"/>
    <w:rsid w:val="00DD2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AB60"/>
  <w15:docId w15:val="{3243FDAB-31DD-48A1-B1F5-9BD13883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hyperlink" Target="https://www.fotocasa.es/es/"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datavenues.com/" TargetMode="External"/><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datavenues.com/" TargetMode="External"/><Relationship Id="rId20" Type="http://schemas.openxmlformats.org/officeDocument/2006/relationships/hyperlink" Target="http://prensa.fotocasa.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datavenu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rofesionales.fotocasa.es/" TargetMode="External"/><Relationship Id="rId28" Type="http://schemas.openxmlformats.org/officeDocument/2006/relationships/hyperlink" Target="mailto:comunicacion@fotocasa.es" TargetMode="External"/><Relationship Id="rId10" Type="http://schemas.openxmlformats.org/officeDocument/2006/relationships/hyperlink" Target="https://datavenues.com/" TargetMode="External"/><Relationship Id="rId19" Type="http://schemas.openxmlformats.org/officeDocument/2006/relationships/hyperlink" Target="https://www.research.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1.png"/><Relationship Id="rId22" Type="http://schemas.openxmlformats.org/officeDocument/2006/relationships/hyperlink" Target="https://www.habitaclia.com/" TargetMode="External"/><Relationship Id="rId27" Type="http://schemas.openxmlformats.org/officeDocument/2006/relationships/hyperlink" Target="https://www.immobilienscout24.de/"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T/sp52D0ezlROYwYJVJ9zxB8OA==">CgMxLjAyCWguMzBqMHpsbDIOaC5nbWVwZjI0dzNwcmY4AHIhMXZnZmZvY0h2d0FJUTZWYTFhakljeHNQb0ZXbUtxZUM3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1576</Words>
  <Characters>8672</Characters>
  <Application>Microsoft Office Word</Application>
  <DocSecurity>0</DocSecurity>
  <Lines>72</Lines>
  <Paragraphs>20</Paragraphs>
  <ScaleCrop>false</ScaleCrop>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2026-04-13T13:34:00Z</dcterms:created>
  <dcterms:modified xsi:type="dcterms:W3CDTF">2026-04-13T13:38:00Z</dcterms:modified>
</cp:coreProperties>
</file>