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6D64C" w14:textId="77777777" w:rsidR="000248A8" w:rsidRDefault="00000000">
      <w:r>
        <w:rPr>
          <w:noProof/>
        </w:rPr>
        <w:drawing>
          <wp:anchor distT="0" distB="0" distL="114300" distR="114300" simplePos="0" relativeHeight="251658240" behindDoc="0" locked="0" layoutInCell="1" hidden="0" allowOverlap="1" wp14:anchorId="1ABEE2B6" wp14:editId="280C2EDE">
            <wp:simplePos x="0" y="0"/>
            <wp:positionH relativeFrom="column">
              <wp:posOffset>-1080116</wp:posOffset>
            </wp:positionH>
            <wp:positionV relativeFrom="paragraph">
              <wp:posOffset>-654665</wp:posOffset>
            </wp:positionV>
            <wp:extent cx="7581265" cy="101917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B27E08C" w14:textId="77777777" w:rsidR="000248A8" w:rsidRDefault="000248A8">
      <w:pPr>
        <w:jc w:val="right"/>
        <w:rPr>
          <w:rFonts w:ascii="National" w:eastAsia="National" w:hAnsi="National" w:cs="National"/>
          <w:color w:val="303AB2"/>
          <w:sz w:val="36"/>
          <w:szCs w:val="36"/>
        </w:rPr>
      </w:pPr>
    </w:p>
    <w:p w14:paraId="73DE4AE0" w14:textId="77777777" w:rsidR="000248A8" w:rsidRDefault="000248A8">
      <w:pPr>
        <w:rPr>
          <w:rFonts w:ascii="National" w:eastAsia="National" w:hAnsi="National" w:cs="National"/>
          <w:color w:val="303AB2"/>
          <w:sz w:val="18"/>
          <w:szCs w:val="18"/>
        </w:rPr>
      </w:pPr>
    </w:p>
    <w:p w14:paraId="31EB627F" w14:textId="601D9F6F" w:rsidR="000248A8" w:rsidRDefault="00000000">
      <w:pPr>
        <w:jc w:val="center"/>
        <w:rPr>
          <w:rFonts w:ascii="National" w:eastAsia="National" w:hAnsi="National" w:cs="National"/>
          <w:b/>
          <w:bCs/>
          <w:color w:val="303AB2"/>
          <w:sz w:val="46"/>
          <w:szCs w:val="46"/>
        </w:rPr>
      </w:pPr>
      <w:r>
        <w:rPr>
          <w:rFonts w:ascii="National" w:eastAsia="National" w:hAnsi="National" w:cs="National"/>
          <w:b/>
          <w:bCs/>
          <w:color w:val="1DBDC5"/>
          <w:sz w:val="34"/>
          <w:szCs w:val="34"/>
        </w:rPr>
        <w:t xml:space="preserve">TRES AÑOS DE LA APROBACIÓN DE LA </w:t>
      </w:r>
      <w:r w:rsidR="00EF3F8B">
        <w:rPr>
          <w:rFonts w:ascii="National" w:eastAsia="National" w:hAnsi="National" w:cs="National"/>
          <w:b/>
          <w:bCs/>
          <w:color w:val="1DBDC5"/>
          <w:sz w:val="34"/>
          <w:szCs w:val="34"/>
        </w:rPr>
        <w:t>LEY DE VIVIENDA</w:t>
      </w:r>
    </w:p>
    <w:p w14:paraId="2E2E6400" w14:textId="7C1C1E14" w:rsidR="000248A8" w:rsidRPr="00EF3F8B" w:rsidRDefault="00EF3F8B">
      <w:pPr>
        <w:jc w:val="center"/>
        <w:rPr>
          <w:rFonts w:ascii="National" w:eastAsia="National" w:hAnsi="National" w:cs="National"/>
          <w:b/>
          <w:bCs/>
          <w:color w:val="303AB2"/>
          <w:sz w:val="44"/>
          <w:szCs w:val="44"/>
        </w:rPr>
      </w:pPr>
      <w:r w:rsidRPr="00EF3F8B">
        <w:rPr>
          <w:rFonts w:ascii="National" w:eastAsia="National" w:hAnsi="National" w:cs="National"/>
          <w:b/>
          <w:bCs/>
          <w:color w:val="303AB2"/>
          <w:sz w:val="44"/>
          <w:szCs w:val="44"/>
        </w:rPr>
        <w:t>El alquiler temporal sigue ganando terreno: e</w:t>
      </w:r>
      <w:r w:rsidR="00000000" w:rsidRPr="00EF3F8B">
        <w:rPr>
          <w:rFonts w:ascii="National" w:eastAsia="National" w:hAnsi="National" w:cs="National"/>
          <w:b/>
          <w:bCs/>
          <w:color w:val="303AB2"/>
          <w:sz w:val="44"/>
          <w:szCs w:val="44"/>
        </w:rPr>
        <w:t xml:space="preserve">l 29% de los propietarios </w:t>
      </w:r>
      <w:r w:rsidRPr="00EF3F8B">
        <w:rPr>
          <w:rFonts w:ascii="National" w:eastAsia="National" w:hAnsi="National" w:cs="National"/>
          <w:b/>
          <w:bCs/>
          <w:color w:val="303AB2"/>
          <w:sz w:val="44"/>
          <w:szCs w:val="44"/>
        </w:rPr>
        <w:t>se plantea</w:t>
      </w:r>
      <w:r w:rsidR="00000000" w:rsidRPr="00EF3F8B">
        <w:rPr>
          <w:rFonts w:ascii="National" w:eastAsia="National" w:hAnsi="National" w:cs="National"/>
          <w:b/>
          <w:bCs/>
          <w:color w:val="303AB2"/>
          <w:sz w:val="44"/>
          <w:szCs w:val="44"/>
        </w:rPr>
        <w:t xml:space="preserve"> pasar al alquiler temporal a causa de las regulaciones de la Ley de Vivienda</w:t>
      </w:r>
    </w:p>
    <w:p w14:paraId="44BF20E0" w14:textId="77777777" w:rsidR="000248A8" w:rsidRDefault="000248A8">
      <w:pPr>
        <w:jc w:val="center"/>
        <w:rPr>
          <w:rFonts w:ascii="Open Sans" w:eastAsia="Open Sans" w:hAnsi="Open Sans" w:cs="Open Sans"/>
          <w:color w:val="303AB2"/>
        </w:rPr>
      </w:pPr>
    </w:p>
    <w:p w14:paraId="559AB699" w14:textId="77777777" w:rsidR="000248A8"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reducción del riesgo de impago y la mayor seguridad jurídica impulsan el giro hacia contratos menos estables</w:t>
      </w:r>
    </w:p>
    <w:p w14:paraId="2B5BE5B9" w14:textId="77777777" w:rsidR="000248A8"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Comunidad Valenciana y Andalucía lideran el fenómeno, con más del 37% de propietarios oscilando hacia el alquiler temporal</w:t>
      </w:r>
    </w:p>
    <w:p w14:paraId="7F88B163" w14:textId="77777777" w:rsidR="000248A8" w:rsidRDefault="000248A8">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3A0A123C" w14:textId="77777777" w:rsidR="000248A8"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27 de abril de 2026</w:t>
      </w:r>
      <w:r>
        <w:rPr>
          <w:rFonts w:ascii="Open Sans Light" w:eastAsia="Open Sans Light" w:hAnsi="Open Sans Light" w:cs="Open Sans Light"/>
          <w:b/>
          <w:bCs/>
          <w:color w:val="303AB2"/>
        </w:rPr>
        <w:tab/>
      </w:r>
    </w:p>
    <w:p w14:paraId="2F6A5799" w14:textId="77777777" w:rsidR="000248A8" w:rsidRDefault="000248A8">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1DAF4D38" w14:textId="77777777" w:rsidR="000248A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Tres años después de la aprobación de la Ley de Vivienda, el mercado del alquiler comienza a evidenciar cambios significativos en el comportamiento de los propietarios. Actualmente, </w:t>
      </w:r>
      <w:r>
        <w:rPr>
          <w:rFonts w:ascii="Open Sans" w:eastAsia="Open Sans" w:hAnsi="Open Sans" w:cs="Open Sans"/>
          <w:b/>
          <w:bCs/>
        </w:rPr>
        <w:t>el 29% de los arrendadores se plantean o directamente ya han pasado del alquiler de larga duración al alquiler temporal como consecuencia directa de las regulaciones introducidas por la normativa</w:t>
      </w:r>
      <w:r>
        <w:rPr>
          <w:rFonts w:ascii="Open Sans" w:eastAsia="Open Sans" w:hAnsi="Open Sans" w:cs="Open Sans"/>
        </w:rPr>
        <w:t xml:space="preserve">. En concreto, un 11% de los propietarios considera bastante probable realizar este cambio, un 6% lo ve totalmente probable, y un 12% asegura que ya está operando bajo esta modalidad hoy en día. En conjunto, estos datos reflejan una tendencia clara hacia modelos de arrendamiento más flexibles como es el caso del alquiler temporal, frente a los contratos residenciales tradicionales a largo plazo. Por el contrario, un 46% de los propietarios de viviendas en alquiler no ven nada probable hacer este cambio hacia el arrendamiento temporal, y un 26% lo consideran poco probable, </w:t>
      </w:r>
      <w:r>
        <w:rPr>
          <w:rFonts w:ascii="Open Sans" w:eastAsia="Open Sans" w:hAnsi="Open Sans" w:cs="Open Sans"/>
          <w:b/>
          <w:bCs/>
        </w:rPr>
        <w:t xml:space="preserve">según los datos extraídos a partir de una encuesta de </w:t>
      </w:r>
      <w:hyperlink r:id="rId9">
        <w:r>
          <w:rPr>
            <w:rFonts w:ascii="Open Sans" w:eastAsia="Open Sans" w:hAnsi="Open Sans" w:cs="Open Sans"/>
            <w:b/>
            <w:bCs/>
            <w:color w:val="0000FF"/>
            <w:u w:val="single"/>
          </w:rPr>
          <w:t>Fotocasa Research</w:t>
        </w:r>
      </w:hyperlink>
      <w:r>
        <w:rPr>
          <w:rFonts w:ascii="Open Sans" w:eastAsia="Open Sans" w:hAnsi="Open Sans" w:cs="Open Sans"/>
          <w:b/>
          <w:bCs/>
        </w:rPr>
        <w:t xml:space="preserve"> realizada en febrero de 2026</w:t>
      </w:r>
      <w:r>
        <w:rPr>
          <w:rFonts w:ascii="Open Sans" w:eastAsia="Open Sans" w:hAnsi="Open Sans" w:cs="Open Sans"/>
        </w:rPr>
        <w:t>.</w:t>
      </w:r>
    </w:p>
    <w:p w14:paraId="69321F81" w14:textId="77777777" w:rsidR="000248A8" w:rsidRDefault="000248A8">
      <w:pPr>
        <w:pBdr>
          <w:top w:val="nil"/>
          <w:left w:val="nil"/>
          <w:bottom w:val="nil"/>
          <w:right w:val="nil"/>
          <w:between w:val="nil"/>
        </w:pBdr>
        <w:spacing w:line="276" w:lineRule="auto"/>
        <w:jc w:val="both"/>
        <w:rPr>
          <w:rFonts w:ascii="Open Sans" w:eastAsia="Open Sans" w:hAnsi="Open Sans" w:cs="Open Sans"/>
        </w:rPr>
      </w:pPr>
    </w:p>
    <w:p w14:paraId="42EF809D" w14:textId="77777777" w:rsidR="000248A8"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"Aunque ambas modalidades están reguladas, conviene matizar que el alquiler temporal, a diferencia del arrendamiento de vivienda habitual, no está sujeto de forma general a límites de precio en la mayor parte del territorio. Este diferencial regulatorio explica que una parte de los propietarios esté desplazando su vivienda desde el alquiler de larga duración hacia fórmulas temporales. La razón es </w:t>
      </w:r>
      <w:r>
        <w:rPr>
          <w:rFonts w:ascii="Open Sans" w:eastAsia="Open Sans" w:hAnsi="Open Sans" w:cs="Open Sans"/>
        </w:rPr>
        <w:lastRenderedPageBreak/>
        <w:t xml:space="preserve">fundamentalmente económica, ya que la rentabilidad sigue siendo el principal motor de decisión para quien pone una vivienda en alquiler. En un contexto de mayor intervención e inseguridad jurídica, muchos arrendadores buscan fórmulas que les ofrezcan mayor flexibilidad, control y capacidad de ajustar precios. El alquiler temporal responde a estas necesidades y, en muchos casos, permite obtener ingresos más elevados”, </w:t>
      </w:r>
      <w:r>
        <w:rPr>
          <w:rFonts w:ascii="Open Sans" w:eastAsia="Open Sans" w:hAnsi="Open Sans" w:cs="Open Sans"/>
          <w:b/>
          <w:bCs/>
        </w:rPr>
        <w:t xml:space="preserve">explica María Matos, directora de Estudios y portavoz de </w:t>
      </w:r>
      <w:hyperlink r:id="rId10">
        <w:r>
          <w:rPr>
            <w:rFonts w:ascii="Open Sans" w:eastAsia="Open Sans" w:hAnsi="Open Sans" w:cs="Open Sans"/>
            <w:b/>
            <w:bCs/>
            <w:color w:val="0000FF"/>
            <w:u w:val="single"/>
          </w:rPr>
          <w:t>Fotocasa</w:t>
        </w:r>
      </w:hyperlink>
      <w:r>
        <w:rPr>
          <w:rFonts w:ascii="Open Sans" w:eastAsia="Open Sans" w:hAnsi="Open Sans" w:cs="Open Sans"/>
          <w:b/>
          <w:bCs/>
        </w:rPr>
        <w:t>.</w:t>
      </w:r>
    </w:p>
    <w:p w14:paraId="7925DE53" w14:textId="77777777" w:rsidR="000248A8" w:rsidRDefault="000248A8">
      <w:pPr>
        <w:pBdr>
          <w:top w:val="nil"/>
          <w:left w:val="nil"/>
          <w:bottom w:val="nil"/>
          <w:right w:val="nil"/>
          <w:between w:val="nil"/>
        </w:pBdr>
        <w:spacing w:line="276" w:lineRule="auto"/>
        <w:jc w:val="both"/>
        <w:rPr>
          <w:rFonts w:ascii="Open Sans" w:eastAsia="Open Sans" w:hAnsi="Open Sans" w:cs="Open Sans"/>
        </w:rPr>
      </w:pPr>
    </w:p>
    <w:p w14:paraId="3CCF0772" w14:textId="77777777" w:rsidR="000248A8"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El alquiler temporal gana peso como respuesta a la incertidumbre</w:t>
      </w:r>
    </w:p>
    <w:p w14:paraId="6D5D6C77" w14:textId="77777777" w:rsidR="000248A8" w:rsidRDefault="000248A8">
      <w:pPr>
        <w:pBdr>
          <w:top w:val="nil"/>
          <w:left w:val="nil"/>
          <w:bottom w:val="nil"/>
          <w:right w:val="nil"/>
          <w:between w:val="nil"/>
        </w:pBdr>
        <w:spacing w:line="276" w:lineRule="auto"/>
        <w:jc w:val="both"/>
        <w:rPr>
          <w:rFonts w:ascii="Open Sans" w:eastAsia="Open Sans" w:hAnsi="Open Sans" w:cs="Open Sans"/>
        </w:rPr>
      </w:pPr>
    </w:p>
    <w:p w14:paraId="3416F915" w14:textId="77777777" w:rsidR="000248A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giro hacia el alquiler temporal responde principalmente a factores vinculados a la gestión del riesgo y la seguridad jurídica. </w:t>
      </w:r>
      <w:r>
        <w:rPr>
          <w:rFonts w:ascii="Open Sans" w:eastAsia="Open Sans" w:hAnsi="Open Sans" w:cs="Open Sans"/>
          <w:b/>
          <w:bCs/>
        </w:rPr>
        <w:t>Entre los principales motivos señalados por los propietarios destaca la intención de reducir el riesgo de impago, un punto mencionado por el 33% de los encuestados</w:t>
      </w:r>
      <w:r>
        <w:rPr>
          <w:rFonts w:ascii="Open Sans" w:eastAsia="Open Sans" w:hAnsi="Open Sans" w:cs="Open Sans"/>
        </w:rPr>
        <w:t xml:space="preserve">, seguido muy de cerca por la búsqueda de una mayor seguridad jurídica (32%), al permitir una rotación más ágil de inquilinos. </w:t>
      </w:r>
    </w:p>
    <w:p w14:paraId="705E6B2D" w14:textId="77777777" w:rsidR="000248A8" w:rsidRDefault="000248A8">
      <w:pPr>
        <w:pBdr>
          <w:top w:val="nil"/>
          <w:left w:val="nil"/>
          <w:bottom w:val="nil"/>
          <w:right w:val="nil"/>
          <w:between w:val="nil"/>
        </w:pBdr>
        <w:spacing w:line="276" w:lineRule="auto"/>
        <w:jc w:val="both"/>
        <w:rPr>
          <w:rFonts w:ascii="Open Sans" w:eastAsia="Open Sans" w:hAnsi="Open Sans" w:cs="Open Sans"/>
        </w:rPr>
      </w:pPr>
    </w:p>
    <w:p w14:paraId="7142814D" w14:textId="77777777" w:rsidR="000248A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Asimismo, </w:t>
      </w:r>
      <w:r>
        <w:rPr>
          <w:rFonts w:ascii="Open Sans" w:eastAsia="Open Sans" w:hAnsi="Open Sans" w:cs="Open Sans"/>
          <w:b/>
          <w:bCs/>
        </w:rPr>
        <w:t>un 27% de los propietarios valora el mayor control sobre el uso de la vivienda, mientras que un 25% apunta a la posibilidad de obtener una mayor rentabilidad mediante precios más elevados</w:t>
      </w:r>
      <w:r>
        <w:rPr>
          <w:rFonts w:ascii="Open Sans" w:eastAsia="Open Sans" w:hAnsi="Open Sans" w:cs="Open Sans"/>
        </w:rPr>
        <w:t>. Otros factores relevantes son la capacidad de recuperar la vivienda en un corto plazo (24%), el aumento de la demanda de alquiler temporal (21%) y la posibilidad de disfrutar del inmueble en periodos vacacionales (20%). Igualmente, también influyen aspectos como la flexibilidad para ajustar precios según la temporada (20%).</w:t>
      </w:r>
    </w:p>
    <w:p w14:paraId="1F674CCD" w14:textId="77777777" w:rsidR="000248A8" w:rsidRDefault="000248A8">
      <w:pPr>
        <w:pBdr>
          <w:top w:val="nil"/>
          <w:left w:val="nil"/>
          <w:bottom w:val="nil"/>
          <w:right w:val="nil"/>
          <w:between w:val="nil"/>
        </w:pBdr>
        <w:spacing w:line="276" w:lineRule="auto"/>
        <w:jc w:val="both"/>
        <w:rPr>
          <w:rFonts w:ascii="Open Sans" w:eastAsia="Open Sans" w:hAnsi="Open Sans" w:cs="Open Sans"/>
        </w:rPr>
      </w:pPr>
    </w:p>
    <w:p w14:paraId="58FA289E" w14:textId="77777777" w:rsidR="000248A8"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Mayor tendencia en la Comunidad Valenciana y Andalucía</w:t>
      </w:r>
    </w:p>
    <w:p w14:paraId="0FF50E91" w14:textId="77777777" w:rsidR="000248A8" w:rsidRDefault="000248A8">
      <w:pPr>
        <w:pBdr>
          <w:top w:val="nil"/>
          <w:left w:val="nil"/>
          <w:bottom w:val="nil"/>
          <w:right w:val="nil"/>
          <w:between w:val="nil"/>
        </w:pBdr>
        <w:spacing w:line="276" w:lineRule="auto"/>
        <w:jc w:val="both"/>
        <w:rPr>
          <w:rFonts w:ascii="Open Sans" w:eastAsia="Open Sans" w:hAnsi="Open Sans" w:cs="Open Sans"/>
        </w:rPr>
      </w:pPr>
    </w:p>
    <w:p w14:paraId="473C89FF" w14:textId="77777777" w:rsidR="000248A8"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se analizan los principales mercados inmobiliarios de España, se observa que el impacto de esta tendencia no es homogéneo en todo el territorio. Por comunidades autónomas, </w:t>
      </w:r>
      <w:r>
        <w:rPr>
          <w:rFonts w:ascii="Open Sans" w:eastAsia="Open Sans" w:hAnsi="Open Sans" w:cs="Open Sans"/>
          <w:b/>
          <w:bCs/>
        </w:rPr>
        <w:t>la Comunidad Valenciana lidera este fenómeno, con un 41% de propietarios que ya han pasado o prevén cambiar del arrendamiento a largo plazo hacia el alquiler temporal como consecuencia de la Ley de Vivienda</w:t>
      </w:r>
      <w:r>
        <w:rPr>
          <w:rFonts w:ascii="Open Sans" w:eastAsia="Open Sans" w:hAnsi="Open Sans" w:cs="Open Sans"/>
        </w:rPr>
        <w:t>. Le sigue Andalucía, con un 37%, mientras que Cataluña registra un 23% y la Comunidad de Madrid un 22%.</w:t>
      </w:r>
    </w:p>
    <w:p w14:paraId="7886D3C0" w14:textId="77777777" w:rsidR="000248A8" w:rsidRDefault="000248A8">
      <w:pPr>
        <w:pBdr>
          <w:top w:val="nil"/>
          <w:left w:val="nil"/>
          <w:bottom w:val="nil"/>
          <w:right w:val="nil"/>
          <w:between w:val="nil"/>
        </w:pBdr>
        <w:spacing w:line="276" w:lineRule="auto"/>
        <w:jc w:val="both"/>
        <w:rPr>
          <w:rFonts w:ascii="Open Sans" w:eastAsia="Open Sans" w:hAnsi="Open Sans" w:cs="Open Sans"/>
        </w:rPr>
      </w:pPr>
    </w:p>
    <w:p w14:paraId="07CDFD90" w14:textId="77777777" w:rsidR="00777271" w:rsidRDefault="00777271">
      <w:pPr>
        <w:pBdr>
          <w:top w:val="nil"/>
          <w:left w:val="nil"/>
          <w:bottom w:val="nil"/>
          <w:right w:val="nil"/>
          <w:between w:val="nil"/>
        </w:pBdr>
        <w:spacing w:line="276" w:lineRule="auto"/>
        <w:jc w:val="both"/>
        <w:rPr>
          <w:rFonts w:ascii="Open Sans" w:eastAsia="Open Sans" w:hAnsi="Open Sans" w:cs="Open Sans"/>
        </w:rPr>
      </w:pPr>
    </w:p>
    <w:p w14:paraId="67765DF7" w14:textId="77777777" w:rsidR="000248A8" w:rsidRDefault="000248A8">
      <w:pPr>
        <w:pBdr>
          <w:top w:val="nil"/>
          <w:left w:val="nil"/>
          <w:bottom w:val="nil"/>
          <w:right w:val="nil"/>
          <w:between w:val="nil"/>
        </w:pBdr>
        <w:spacing w:line="276" w:lineRule="auto"/>
        <w:jc w:val="both"/>
        <w:rPr>
          <w:rFonts w:ascii="Open Sans" w:eastAsia="Open Sans" w:hAnsi="Open Sans" w:cs="Open Sans"/>
        </w:rPr>
      </w:pPr>
    </w:p>
    <w:p w14:paraId="42FFB841" w14:textId="77777777" w:rsidR="000248A8" w:rsidRDefault="00000000" w:rsidP="00777271">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w:t>
      </w:r>
    </w:p>
    <w:p w14:paraId="674C6230" w14:textId="77777777" w:rsidR="000248A8" w:rsidRDefault="00000000" w:rsidP="00777271">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785FBDB3" w14:textId="77777777" w:rsidR="000248A8" w:rsidRDefault="00000000" w:rsidP="00777271">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1">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2">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0BFD7C4F" w14:textId="77777777" w:rsidR="000248A8" w:rsidRDefault="00000000" w:rsidP="00777271">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3">
        <w:r>
          <w:rPr>
            <w:rFonts w:ascii="Open Sans" w:eastAsia="Open Sans" w:hAnsi="Open Sans" w:cs="Open Sans"/>
            <w:b/>
            <w:bCs/>
            <w:color w:val="0000FF"/>
            <w:sz w:val="22"/>
            <w:szCs w:val="22"/>
            <w:u w:val="single"/>
          </w:rPr>
          <w:t>Sala de Prensa</w:t>
        </w:r>
      </w:hyperlink>
    </w:p>
    <w:p w14:paraId="169694FB" w14:textId="77777777" w:rsidR="000248A8" w:rsidRDefault="000248A8" w:rsidP="00777271">
      <w:pPr>
        <w:spacing w:line="276" w:lineRule="auto"/>
        <w:ind w:right="141"/>
        <w:rPr>
          <w:rFonts w:ascii="Open Sans Light" w:eastAsia="Open Sans Light" w:hAnsi="Open Sans Light" w:cs="Open Sans Light"/>
          <w:b/>
          <w:bCs/>
          <w:color w:val="303AB2"/>
        </w:rPr>
      </w:pPr>
    </w:p>
    <w:p w14:paraId="29DE1017" w14:textId="77777777" w:rsidR="000248A8" w:rsidRDefault="00000000" w:rsidP="00777271">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471C10F5" w14:textId="77777777" w:rsidR="000248A8" w:rsidRDefault="00000000" w:rsidP="00777271">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1AC34F3D" w14:textId="77777777" w:rsidR="000248A8" w:rsidRDefault="00000000" w:rsidP="00777271">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4">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5">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6">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7">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18">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19">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51C38E88" w14:textId="77777777" w:rsidR="000248A8" w:rsidRDefault="00000000" w:rsidP="00777271">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563FDA29" w14:textId="77777777" w:rsidR="000248A8" w:rsidRDefault="00000000" w:rsidP="00777271">
      <w:pP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6AA1402B" w14:textId="77777777" w:rsidR="000248A8" w:rsidRDefault="000248A8" w:rsidP="00777271">
      <w:pPr>
        <w:spacing w:line="276" w:lineRule="auto"/>
        <w:ind w:right="141"/>
        <w:jc w:val="both"/>
        <w:rPr>
          <w:rFonts w:ascii="Open Sans" w:eastAsia="Open Sans" w:hAnsi="Open Sans" w:cs="Open Sans"/>
          <w:sz w:val="22"/>
          <w:szCs w:val="22"/>
        </w:rPr>
      </w:pPr>
    </w:p>
    <w:p w14:paraId="7BC2990A" w14:textId="77777777" w:rsidR="000248A8" w:rsidRDefault="00000000" w:rsidP="00777271">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73760A31" w14:textId="77777777" w:rsidR="000248A8" w:rsidRDefault="000248A8" w:rsidP="00777271">
      <w:pPr>
        <w:pBdr>
          <w:top w:val="nil"/>
          <w:left w:val="nil"/>
          <w:bottom w:val="nil"/>
          <w:right w:val="nil"/>
          <w:between w:val="nil"/>
        </w:pBdr>
        <w:spacing w:line="276" w:lineRule="auto"/>
        <w:ind w:right="141"/>
        <w:jc w:val="both"/>
        <w:rPr>
          <w:rFonts w:ascii="Open Sans" w:eastAsia="Open Sans" w:hAnsi="Open Sans" w:cs="Open Sans"/>
          <w:sz w:val="22"/>
          <w:szCs w:val="22"/>
        </w:rPr>
      </w:pPr>
    </w:p>
    <w:p w14:paraId="1271F9DB" w14:textId="77777777" w:rsidR="000248A8" w:rsidRDefault="00000000" w:rsidP="00777271">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0">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398B0A5F" w14:textId="77777777" w:rsidR="000248A8" w:rsidRDefault="000248A8" w:rsidP="00777271">
      <w:pPr>
        <w:pBdr>
          <w:top w:val="nil"/>
          <w:left w:val="nil"/>
          <w:bottom w:val="nil"/>
          <w:right w:val="nil"/>
          <w:between w:val="nil"/>
        </w:pBdr>
        <w:spacing w:line="276" w:lineRule="auto"/>
        <w:ind w:right="141"/>
        <w:jc w:val="both"/>
        <w:rPr>
          <w:rFonts w:ascii="Open Sans" w:eastAsia="Open Sans" w:hAnsi="Open Sans" w:cs="Open Sans"/>
          <w:sz w:val="22"/>
          <w:szCs w:val="22"/>
        </w:rPr>
      </w:pPr>
    </w:p>
    <w:p w14:paraId="2619A0C0" w14:textId="77777777" w:rsidR="000248A8" w:rsidRDefault="00000000" w:rsidP="00777271">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4038AF1B" w14:textId="77777777" w:rsidR="000248A8" w:rsidRDefault="000248A8" w:rsidP="00777271">
      <w:pPr>
        <w:spacing w:line="276" w:lineRule="auto"/>
        <w:ind w:right="141"/>
        <w:rPr>
          <w:rFonts w:ascii="Open Sans" w:eastAsia="Open Sans" w:hAnsi="Open Sans" w:cs="Open Sans"/>
        </w:rPr>
      </w:pPr>
    </w:p>
    <w:p w14:paraId="59A271FA" w14:textId="77777777" w:rsidR="000248A8" w:rsidRDefault="000248A8" w:rsidP="00777271">
      <w:pPr>
        <w:spacing w:line="276" w:lineRule="auto"/>
        <w:ind w:right="141"/>
        <w:rPr>
          <w:rFonts w:ascii="Open Sans Light" w:eastAsia="Open Sans Light" w:hAnsi="Open Sans Light" w:cs="Open Sans Light"/>
          <w:b/>
          <w:bCs/>
          <w:color w:val="303AB2"/>
          <w:sz w:val="22"/>
          <w:szCs w:val="22"/>
        </w:rPr>
      </w:pPr>
    </w:p>
    <w:p w14:paraId="47FB757D" w14:textId="77777777" w:rsidR="000248A8" w:rsidRDefault="00000000" w:rsidP="00777271">
      <w:pPr>
        <w:spacing w:line="276" w:lineRule="auto"/>
        <w:ind w:right="141"/>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14D704F2" w14:textId="77777777" w:rsidR="000248A8" w:rsidRDefault="00000000" w:rsidP="00777271">
      <w:pPr>
        <w:shd w:val="clear" w:color="auto" w:fill="FFFFFF"/>
        <w:spacing w:line="276" w:lineRule="auto"/>
        <w:ind w:right="141"/>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17E564CD" w14:textId="77777777" w:rsidR="000248A8" w:rsidRDefault="00000000" w:rsidP="00777271">
      <w:pPr>
        <w:shd w:val="clear" w:color="auto" w:fill="FFFFFF"/>
        <w:spacing w:line="276" w:lineRule="auto"/>
        <w:ind w:right="141"/>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5658B861" w14:textId="77777777" w:rsidR="000248A8" w:rsidRDefault="00000000" w:rsidP="00777271">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4A64C03" w14:textId="77777777" w:rsidR="000248A8" w:rsidRDefault="000248A8">
      <w:pPr>
        <w:spacing w:line="276" w:lineRule="auto"/>
        <w:jc w:val="right"/>
        <w:rPr>
          <w:rFonts w:ascii="Open Sans" w:eastAsia="Open Sans" w:hAnsi="Open Sans" w:cs="Open Sans"/>
          <w:color w:val="000000"/>
          <w:sz w:val="22"/>
          <w:szCs w:val="22"/>
        </w:rPr>
      </w:pPr>
    </w:p>
    <w:sectPr w:rsidR="000248A8">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AB591" w14:textId="77777777" w:rsidR="001454A9" w:rsidRDefault="001454A9">
      <w:r>
        <w:separator/>
      </w:r>
    </w:p>
  </w:endnote>
  <w:endnote w:type="continuationSeparator" w:id="0">
    <w:p w14:paraId="10D55342" w14:textId="77777777" w:rsidR="001454A9" w:rsidRDefault="00145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961D844-8EFD-427D-A945-B3BADFDACF8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0613455-FD2E-4166-B471-51A6E3A43BFE}"/>
    <w:embedBold r:id="rId3" w:fontKey="{66345E64-D3AC-4D47-8858-7E7955D57B8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0656155-0F3C-4730-ACFE-BB7154A21003}"/>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AB0EA6EA-4232-448C-9DF3-9A923DDFD843}"/>
    <w:embedBold r:id="rId6" w:fontKey="{052DF431-0937-4206-B339-7BADB37FFEC4}"/>
  </w:font>
  <w:font w:name="Open Sans Light">
    <w:charset w:val="00"/>
    <w:family w:val="swiss"/>
    <w:pitch w:val="variable"/>
    <w:sig w:usb0="E00002EF" w:usb1="4000205B" w:usb2="00000028" w:usb3="00000000" w:csb0="0000019F" w:csb1="00000000"/>
    <w:embedBold r:id="rId7" w:fontKey="{19271CF0-3BA1-4396-AC16-EEA61F9C69CE}"/>
  </w:font>
  <w:font w:name="Cambria">
    <w:panose1 w:val="02040503050406030204"/>
    <w:charset w:val="00"/>
    <w:family w:val="roman"/>
    <w:pitch w:val="variable"/>
    <w:sig w:usb0="E00006FF" w:usb1="420024FF" w:usb2="02000000" w:usb3="00000000" w:csb0="0000019F" w:csb1="00000000"/>
    <w:embedRegular r:id="rId8" w:fontKey="{D24BB574-0085-4A47-93B0-FE6F29AD9A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2D76B" w14:textId="77777777" w:rsidR="000248A8"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E7EFF7D" wp14:editId="091C2346">
          <wp:simplePos x="0" y="0"/>
          <wp:positionH relativeFrom="column">
            <wp:posOffset>-1068040</wp:posOffset>
          </wp:positionH>
          <wp:positionV relativeFrom="paragraph">
            <wp:posOffset>174608</wp:posOffset>
          </wp:positionV>
          <wp:extent cx="7670550" cy="45131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A7FDF" w14:textId="77777777" w:rsidR="001454A9" w:rsidRDefault="001454A9">
      <w:r>
        <w:separator/>
      </w:r>
    </w:p>
  </w:footnote>
  <w:footnote w:type="continuationSeparator" w:id="0">
    <w:p w14:paraId="21078D93" w14:textId="77777777" w:rsidR="001454A9" w:rsidRDefault="001454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43CC7"/>
    <w:multiLevelType w:val="multilevel"/>
    <w:tmpl w:val="F426FB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3937694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8A8"/>
    <w:rsid w:val="000248A8"/>
    <w:rsid w:val="001454A9"/>
    <w:rsid w:val="00777271"/>
    <w:rsid w:val="00843C79"/>
    <w:rsid w:val="00EF3F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025BC"/>
  <w15:docId w15:val="{C15DFC58-B2DC-4E2A-A145-7FDB454BF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get.witei.com/en/"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research.fotocasa.es" TargetMode="External"/><Relationship Id="rId17" Type="http://schemas.openxmlformats.org/officeDocument/2006/relationships/hyperlink" Target="https://datavenues.com/" TargetMode="External"/><Relationship Id="rId2" Type="http://schemas.openxmlformats.org/officeDocument/2006/relationships/numbering" Target="numbering.xml"/><Relationship Id="rId16" Type="http://schemas.openxmlformats.org/officeDocument/2006/relationships/hyperlink" Target="https://profesionales.fotocasa.es/" TargetMode="External"/><Relationship Id="rId20" Type="http://schemas.openxmlformats.org/officeDocument/2006/relationships/hyperlink" Target="https://www.immobilienscout24.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fontTable" Target="fontTable.xml"/><Relationship Id="rId10" Type="http://schemas.openxmlformats.org/officeDocument/2006/relationships/hyperlink" Target="https://www.fotocasa.es" TargetMode="External"/><Relationship Id="rId19" Type="http://schemas.openxmlformats.org/officeDocument/2006/relationships/hyperlink" Target="https://www.inmoweb.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9wDQzRWb3hEZnvxDeqy5Iq/Gow==">CgMxLjA4AHIhMTRacHhZQUZBUjdOS21Xa3ZESTU3QzBOaXpnMzBPZTVz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1096</Words>
  <Characters>6034</Characters>
  <Application>Microsoft Office Word</Application>
  <DocSecurity>0</DocSecurity>
  <Lines>50</Lines>
  <Paragraphs>14</Paragraphs>
  <ScaleCrop>false</ScaleCrop>
  <Company/>
  <LinksUpToDate>false</LinksUpToDate>
  <CharactersWithSpaces>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4</cp:revision>
  <dcterms:created xsi:type="dcterms:W3CDTF">2026-04-21T22:15:00Z</dcterms:created>
  <dcterms:modified xsi:type="dcterms:W3CDTF">2026-04-21T22:17:00Z</dcterms:modified>
</cp:coreProperties>
</file>