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ECECE" w14:textId="77777777" w:rsidR="00631556" w:rsidRDefault="00000000">
      <w:r>
        <w:rPr>
          <w:noProof/>
        </w:rPr>
        <w:drawing>
          <wp:anchor distT="0" distB="0" distL="114300" distR="114300" simplePos="0" relativeHeight="251658240" behindDoc="0" locked="0" layoutInCell="1" hidden="0" allowOverlap="1" wp14:anchorId="1DA84310" wp14:editId="5B21772E">
            <wp:simplePos x="0" y="0"/>
            <wp:positionH relativeFrom="column">
              <wp:posOffset>-1080116</wp:posOffset>
            </wp:positionH>
            <wp:positionV relativeFrom="paragraph">
              <wp:posOffset>-654665</wp:posOffset>
            </wp:positionV>
            <wp:extent cx="7581265" cy="1019175"/>
            <wp:effectExtent l="0" t="0" r="0" b="0"/>
            <wp:wrapNone/>
            <wp:docPr id="20668166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9E0804A" w14:textId="77777777" w:rsidR="00631556" w:rsidRDefault="00631556">
      <w:pPr>
        <w:jc w:val="right"/>
        <w:rPr>
          <w:rFonts w:ascii="National" w:eastAsia="National" w:hAnsi="National" w:cs="National"/>
          <w:color w:val="303AB2"/>
          <w:sz w:val="36"/>
          <w:szCs w:val="36"/>
        </w:rPr>
      </w:pPr>
    </w:p>
    <w:p w14:paraId="74A66D59" w14:textId="77777777" w:rsidR="00631556" w:rsidRDefault="00631556">
      <w:pPr>
        <w:rPr>
          <w:rFonts w:ascii="National" w:eastAsia="National" w:hAnsi="National" w:cs="National"/>
          <w:color w:val="303AB2"/>
          <w:sz w:val="18"/>
          <w:szCs w:val="18"/>
        </w:rPr>
      </w:pPr>
    </w:p>
    <w:p w14:paraId="2FBDE0B3" w14:textId="77777777" w:rsidR="00631556"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LIMITACIONES DE RENTAS EN EL MERCADO INMOBILIARIO</w:t>
      </w:r>
    </w:p>
    <w:p w14:paraId="22620620" w14:textId="77777777" w:rsidR="00631556" w:rsidRPr="00DC1527" w:rsidRDefault="00000000">
      <w:pPr>
        <w:jc w:val="center"/>
        <w:rPr>
          <w:rFonts w:ascii="National" w:eastAsia="National" w:hAnsi="National" w:cs="National"/>
          <w:b/>
          <w:bCs/>
          <w:color w:val="303AB2"/>
          <w:sz w:val="50"/>
          <w:szCs w:val="50"/>
        </w:rPr>
      </w:pPr>
      <w:r w:rsidRPr="00DC1527">
        <w:rPr>
          <w:rFonts w:ascii="National" w:eastAsia="National" w:hAnsi="National" w:cs="National"/>
          <w:b/>
          <w:bCs/>
          <w:color w:val="303AB2"/>
          <w:sz w:val="50"/>
          <w:szCs w:val="50"/>
        </w:rPr>
        <w:t>El 40% de los españoles considera que los topes a los alquileres están reduciendo la oferta en el mercado</w:t>
      </w:r>
    </w:p>
    <w:p w14:paraId="2591BDF6" w14:textId="77777777" w:rsidR="00631556" w:rsidRDefault="00631556">
      <w:pPr>
        <w:jc w:val="center"/>
        <w:rPr>
          <w:rFonts w:ascii="Open Sans" w:eastAsia="Open Sans" w:hAnsi="Open Sans" w:cs="Open Sans"/>
          <w:color w:val="303AB2"/>
        </w:rPr>
      </w:pPr>
    </w:p>
    <w:p w14:paraId="63315304" w14:textId="77777777" w:rsidR="0063155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Casi un 40% de los encuestados también apuntan que la medida ha aumentado la contratación de alquileres temporales</w:t>
      </w:r>
    </w:p>
    <w:p w14:paraId="764AB9AF" w14:textId="77777777" w:rsidR="0063155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Cataluña es la comunidad donde más ciudadanos señalan que la limitación de precios reduce la oferta de vivienda en alquiler</w:t>
      </w:r>
    </w:p>
    <w:p w14:paraId="2BC26ABB" w14:textId="77777777" w:rsidR="0063155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vendedores y los arrendadores de viviendas son los más críticos con el intervencionismo en el mercado inmobiliario</w:t>
      </w:r>
    </w:p>
    <w:p w14:paraId="5C856106" w14:textId="77777777" w:rsidR="00631556" w:rsidRDefault="00631556">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03E7FBE6" w14:textId="60C7DBBF" w:rsidR="00631556"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BA5856">
        <w:rPr>
          <w:rFonts w:ascii="Open Sans Light" w:eastAsia="Open Sans Light" w:hAnsi="Open Sans Light" w:cs="Open Sans Light"/>
          <w:b/>
          <w:bCs/>
          <w:color w:val="303AB2"/>
        </w:rPr>
        <w:t>9</w:t>
      </w:r>
      <w:r>
        <w:rPr>
          <w:rFonts w:ascii="Open Sans Light" w:eastAsia="Open Sans Light" w:hAnsi="Open Sans Light" w:cs="Open Sans Light"/>
          <w:b/>
          <w:bCs/>
          <w:color w:val="303AB2"/>
        </w:rPr>
        <w:t xml:space="preserve"> de abril de 2026</w:t>
      </w:r>
      <w:r>
        <w:rPr>
          <w:rFonts w:ascii="Open Sans Light" w:eastAsia="Open Sans Light" w:hAnsi="Open Sans Light" w:cs="Open Sans Light"/>
          <w:b/>
          <w:bCs/>
          <w:color w:val="303AB2"/>
        </w:rPr>
        <w:tab/>
      </w:r>
    </w:p>
    <w:p w14:paraId="75B75C6D" w14:textId="77777777" w:rsidR="00631556" w:rsidRDefault="00631556">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661B271"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debate en torno a la intervención del mercado del alquiler mediante la declaración de zonas tensionadas y la aplicación de topes a las rentas continúa generando opiniones opuestas entre la ciudadanía. Según los datos analizados, existe una percepción mayoritaria de que estas medidas tienen efectos directos sobre la oferta disponible, al tiempo que también se les atribuyen impactos en otros ámbitos como la fijación de precios, o la transparencia contractual. En concreto, el 40% de los españoles considera que declarar zonas tensionadas reduce la oferta de vivienda en alquiler, frente a un 22% que discrepa de esta afirmación. Por su parte, un 38% de los encuestados mantiene una posición neutral. Este resultado sitúa la reducción de la oferta como una de las principales preocupaciones asociadas a este tipo de intervenciones, </w:t>
      </w:r>
      <w:r>
        <w:rPr>
          <w:rFonts w:ascii="Open Sans" w:eastAsia="Open Sans" w:hAnsi="Open Sans" w:cs="Open Sans"/>
          <w:b/>
          <w:bCs/>
        </w:rPr>
        <w:t xml:space="preserve">según los datos extraídos a partir de una encuesta de </w:t>
      </w:r>
      <w:hyperlink r:id="rId9">
        <w:r w:rsidR="00631556">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febrero de 2026</w:t>
      </w:r>
      <w:r>
        <w:rPr>
          <w:rFonts w:ascii="Open Sans" w:eastAsia="Open Sans" w:hAnsi="Open Sans" w:cs="Open Sans"/>
        </w:rPr>
        <w:t>.</w:t>
      </w:r>
    </w:p>
    <w:p w14:paraId="3D0761CF"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5F4003FC" w14:textId="77777777" w:rsidR="00631556"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"Los datos reflejan que una parte muy significativa de la ciudadanía ya identifica uno de los principales riesgos de intervenir el mercado del alquiler: limitar las rentas sin aumentar al mismo tiempo la oferta disponible acaba contrayendo el mercado. Cuando se aplican medidas punitivas que no cuentan con el consenso de los propietarios, se desincentiva que mantengan sus viviendas en alquiler: </w:t>
      </w:r>
      <w:r>
        <w:rPr>
          <w:rFonts w:ascii="Open Sans" w:eastAsia="Open Sans" w:hAnsi="Open Sans" w:cs="Open Sans"/>
        </w:rPr>
        <w:lastRenderedPageBreak/>
        <w:t xml:space="preserve">muchos optan por vender o trasladarlas a otros usos. Es decir, medidas que nacen con el objetivo de aliviar los precios pueden, en paralelo, agravar el problema estructural de fondo, que es la falta de vivienda disponible. Y cuando la oferta se reduce, el acceso a la vivienda se vuelve aún más difícil, especialmente para quienes intentan alquilar por primera vez", </w:t>
      </w:r>
      <w:r>
        <w:rPr>
          <w:rFonts w:ascii="Open Sans" w:eastAsia="Open Sans" w:hAnsi="Open Sans" w:cs="Open Sans"/>
          <w:b/>
          <w:bCs/>
        </w:rPr>
        <w:t xml:space="preserve">explica María Matos, directora de Estudios y portavoz de </w:t>
      </w:r>
      <w:hyperlink r:id="rId10">
        <w:r w:rsidR="00631556">
          <w:rPr>
            <w:rFonts w:ascii="Open Sans" w:eastAsia="Open Sans" w:hAnsi="Open Sans" w:cs="Open Sans"/>
            <w:b/>
            <w:bCs/>
            <w:color w:val="0000FF"/>
            <w:u w:val="single"/>
          </w:rPr>
          <w:t>Fotocasa</w:t>
        </w:r>
      </w:hyperlink>
      <w:r>
        <w:rPr>
          <w:rFonts w:ascii="Open Sans" w:eastAsia="Open Sans" w:hAnsi="Open Sans" w:cs="Open Sans"/>
          <w:b/>
          <w:bCs/>
        </w:rPr>
        <w:t>.</w:t>
      </w:r>
    </w:p>
    <w:p w14:paraId="35E5C6D2"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4B092BD2" w14:textId="77777777" w:rsidR="0063155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mayoría considera que se incrementan los alquileres temporales</w:t>
      </w:r>
    </w:p>
    <w:p w14:paraId="39E306B5"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55852B6A"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lo relativo al posible aumento de los alquileres temporales como consecuencia de estas políticas, el 38% de los encuestados considera que se produce este efecto</w:t>
      </w:r>
      <w:r>
        <w:rPr>
          <w:rFonts w:ascii="Open Sans" w:eastAsia="Open Sans" w:hAnsi="Open Sans" w:cs="Open Sans"/>
        </w:rPr>
        <w:t>, frente a un 21% que lo niega. Un 40% se mantiene neutral. Por otro lado, en cuanto a la efectividad de estas medidas para limitar los precios del alquiler, el 45% de los ciudadanos está de acuerdo en que los topes cumplen esta función de contener las rentas, mientras que un 24% se muestra en desacuerdo. Además, un 31% se posiciona de forma neutral. Por otro lado, respecto al impacto sobre la promoción de vivienda social, las opiniones se encuentran más divididas. El 36% de los encuestados cree que estas políticas fomentan la construcción de este tipo de viviendas, mientras que un 29% no comparte esta visión. Un significativo 35% se mantiene neutral.</w:t>
      </w:r>
    </w:p>
    <w:p w14:paraId="70DF5D4B"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440AF3A4"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bCs/>
        </w:rPr>
        <w:t>en relación con los beneficios fiscales, el 35% de los ciudadanos considera que la declaración de zonas tensionadas facilita este acceso a deducciones o bonificaciones impositivas</w:t>
      </w:r>
      <w:r>
        <w:rPr>
          <w:rFonts w:ascii="Open Sans" w:eastAsia="Open Sans" w:hAnsi="Open Sans" w:cs="Open Sans"/>
        </w:rPr>
        <w:t>, frente a un 19% que está en desacuerdo. Sin embargo, destaca el elevado porcentaje de población neutral, que alcanza el 46%, el más alto de todos los aspectos analizados. En términos de transparencia en los contratos de alquiler, el 43% de los españoles opina que estas medidas contribuyen a mejorarla, mientras que un 21% discrepa. El 36% restante mantiene una postura neutral.</w:t>
      </w:r>
    </w:p>
    <w:p w14:paraId="7331BBE8" w14:textId="77777777" w:rsidR="00631556" w:rsidRDefault="00631556">
      <w:pPr>
        <w:pBdr>
          <w:top w:val="nil"/>
          <w:left w:val="nil"/>
          <w:bottom w:val="nil"/>
          <w:right w:val="nil"/>
          <w:between w:val="nil"/>
        </w:pBdr>
        <w:spacing w:line="276" w:lineRule="auto"/>
        <w:jc w:val="both"/>
        <w:rPr>
          <w:rFonts w:ascii="Open Sans" w:eastAsia="Open Sans" w:hAnsi="Open Sans" w:cs="Open Sans"/>
          <w:b/>
          <w:bCs/>
        </w:rPr>
      </w:pPr>
    </w:p>
    <w:p w14:paraId="5602B19C" w14:textId="77777777" w:rsidR="0063155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Cataluña es la comunidad más crítica con los topes al alquiler</w:t>
      </w:r>
    </w:p>
    <w:p w14:paraId="4064911A" w14:textId="77777777" w:rsidR="00631556" w:rsidRDefault="00631556">
      <w:pPr>
        <w:pBdr>
          <w:top w:val="nil"/>
          <w:left w:val="nil"/>
          <w:bottom w:val="nil"/>
          <w:right w:val="nil"/>
          <w:between w:val="nil"/>
        </w:pBdr>
        <w:spacing w:line="276" w:lineRule="auto"/>
        <w:jc w:val="both"/>
        <w:rPr>
          <w:rFonts w:ascii="Open Sans" w:eastAsia="Open Sans" w:hAnsi="Open Sans" w:cs="Open Sans"/>
          <w:b/>
          <w:bCs/>
        </w:rPr>
      </w:pPr>
    </w:p>
    <w:p w14:paraId="6D1F6DB5"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análisis territorial, los datos evidencian diferencias relevantes en la percepción de los efectos de los topes al alquiler entre comunidades autónomas. Concretamente, es en el impacto sobre la oferta donde emergen las mayores diferencias. </w:t>
      </w:r>
      <w:r>
        <w:rPr>
          <w:rFonts w:ascii="Open Sans" w:eastAsia="Open Sans" w:hAnsi="Open Sans" w:cs="Open Sans"/>
          <w:b/>
          <w:bCs/>
        </w:rPr>
        <w:t xml:space="preserve">Cataluña es, con mucha diferencia, la autonomía en la que se han aplicado de forma más generalizada estos topes a los precios de los </w:t>
      </w:r>
      <w:r>
        <w:rPr>
          <w:rFonts w:ascii="Open Sans" w:eastAsia="Open Sans" w:hAnsi="Open Sans" w:cs="Open Sans"/>
          <w:b/>
          <w:bCs/>
        </w:rPr>
        <w:lastRenderedPageBreak/>
        <w:t>alquileres</w:t>
      </w:r>
      <w:r>
        <w:rPr>
          <w:rFonts w:ascii="Open Sans" w:eastAsia="Open Sans" w:hAnsi="Open Sans" w:cs="Open Sans"/>
        </w:rPr>
        <w:t>, y es también donde esta medida cuenta con un mayor número de ciudadanos críticos. Así pues, la mayoría de los catalanes (43%) son favorables a la idea de que estas medidas reducen la oferta de vivienda en alquiler. Seguidamente, se encuentra la Comunidad de Madrid (42%), la media del resto de España (40%), la Comunidad Valenciana (38%) y Andalucía (37%).</w:t>
      </w:r>
    </w:p>
    <w:p w14:paraId="69C09BBB"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1D235331"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términos de eficacia para limitar los precios, la Comunidad Valenciana (46%) y la media de las autonomías del resto de España (46%) lideran la percepción positiva</w:t>
      </w:r>
      <w:r>
        <w:rPr>
          <w:rFonts w:ascii="Open Sans" w:eastAsia="Open Sans" w:hAnsi="Open Sans" w:cs="Open Sans"/>
        </w:rPr>
        <w:t>, seguidas de Cataluña (45%) y la Comunidad de Madrid (45%), mientras que Andalucía se sitúa ligeramente por debajo (43%). Este patrón se repite en la percepción de mejora de la transparencia contractual, donde nuevamente la Comunidad Valenciana destaca con un 46% de ciudadanos favorables a este efecto de los topes de precios, frente al 43% registrado en Cataluña, el mismo porcentaje que en la Comunidad de Madrid, Andalucía y en la media del resto de España.</w:t>
      </w:r>
    </w:p>
    <w:p w14:paraId="6F3B34BF"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4D637B32"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relación con el posible desplazamiento hacia el alquiler temporal, Cataluña vuelve a situarse en cabeza (43%)</w:t>
      </w:r>
      <w:r>
        <w:rPr>
          <w:rFonts w:ascii="Open Sans" w:eastAsia="Open Sans" w:hAnsi="Open Sans" w:cs="Open Sans"/>
        </w:rPr>
        <w:t>, seguida de Andalucía (40%), la Comunidad Valenciana (37%) y el resto de España (37%), mientras que Madrid presenta el menor porcentaje (34%). Este comportamiento sugiere que en los territorios con mayor intervención también se detecta con más intensidad la aparición de efectos indirectos en el mercado.</w:t>
      </w:r>
    </w:p>
    <w:p w14:paraId="7C7A1815"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72FAE58C"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bCs/>
        </w:rPr>
        <w:t>cuando se analiza el impacto en el fomento de vivienda social, Andalucía lidera la percepción positiva (39%)</w:t>
      </w:r>
      <w:r>
        <w:rPr>
          <w:rFonts w:ascii="Open Sans" w:eastAsia="Open Sans" w:hAnsi="Open Sans" w:cs="Open Sans"/>
        </w:rPr>
        <w:t>, por delante de Madrid (37%), mientras que Cataluña (35%), la Comunidad Valenciana (35%) y el resto de España (35%) se sitúan en niveles más moderados. Una tendencia similar se observa en la percepción sobre el acceso a beneficios fiscales, donde la Comunidad Valenciana alcanza el 38%, seguida de Andalucía (36%) y el resto de España (35%), frente a Cataluña (34%) y Madrid (34%), que registran los valores más bajos.</w:t>
      </w:r>
    </w:p>
    <w:p w14:paraId="1E4518E2"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5BD854AA" w14:textId="77777777" w:rsidR="0063155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Vendedores y arrendadores se oponen más a limitar precios</w:t>
      </w:r>
    </w:p>
    <w:p w14:paraId="1534F14D"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2B19CDE6"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Desde la perspectiva de los distintos agentes del mercado, las diferencias son aún más acusadas. </w:t>
      </w:r>
      <w:r>
        <w:rPr>
          <w:rFonts w:ascii="Open Sans" w:eastAsia="Open Sans" w:hAnsi="Open Sans" w:cs="Open Sans"/>
          <w:b/>
          <w:bCs/>
        </w:rPr>
        <w:t xml:space="preserve">En lo relativo a la reducción de la oferta de vivienda en alquiler, son los vendedores (53%) y los arrendadores (52%) quienes </w:t>
      </w:r>
      <w:r>
        <w:rPr>
          <w:rFonts w:ascii="Open Sans" w:eastAsia="Open Sans" w:hAnsi="Open Sans" w:cs="Open Sans"/>
          <w:b/>
          <w:bCs/>
        </w:rPr>
        <w:lastRenderedPageBreak/>
        <w:t>muestran una percepción más crítica</w:t>
      </w:r>
      <w:r>
        <w:rPr>
          <w:rFonts w:ascii="Open Sans" w:eastAsia="Open Sans" w:hAnsi="Open Sans" w:cs="Open Sans"/>
        </w:rPr>
        <w:t>, muy por encima de compradores (41%) e inquilinos (41%). Este dato confirma que los actores directamente vinculados a la puesta en mercado de la vivienda son los que perciben con mayor intensidad los efectos negativos de estas medidas sobre la oferta.</w:t>
      </w:r>
    </w:p>
    <w:p w14:paraId="17FCA981"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52FF6F23"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En cuanto a la eficacia para limitar los precios, los compradores (45%) son los más favorables a esta afirmación, seguidos de los inquilinos (43%)</w:t>
      </w:r>
      <w:r>
        <w:rPr>
          <w:rFonts w:ascii="Open Sans" w:eastAsia="Open Sans" w:hAnsi="Open Sans" w:cs="Open Sans"/>
        </w:rPr>
        <w:t>, mientras que vendedores (41%) y, especialmente, arrendadores (38%) muestran un menor grado de acuerdo. Una dinámica similar se observa en la percepción de transparencia contractual, donde los inquilinos (47%) y compradores (43%) lideran las opiniones positivas, frente a niveles más moderados entre arrendadores (36%) y, especialmente, vendedores (33%).</w:t>
      </w:r>
    </w:p>
    <w:p w14:paraId="2C57712D"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319D8E8F"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Respecto al aumento del alquiler temporal, todos los colectivos presentan niveles relativamente homogéneos, aunque destacan ligeramente los arrendadores (45%) y vendedores (43%) frente a compradores (41%) e inquilinos (42%). Por otro lado, </w:t>
      </w:r>
      <w:r>
        <w:rPr>
          <w:rFonts w:ascii="Open Sans" w:eastAsia="Open Sans" w:hAnsi="Open Sans" w:cs="Open Sans"/>
          <w:b/>
          <w:bCs/>
        </w:rPr>
        <w:t>en el fomento de vivienda social, los inquilinos (39%) y compradores (37%) muestran una percepción más favorable</w:t>
      </w:r>
      <w:r>
        <w:rPr>
          <w:rFonts w:ascii="Open Sans" w:eastAsia="Open Sans" w:hAnsi="Open Sans" w:cs="Open Sans"/>
        </w:rPr>
        <w:t xml:space="preserve"> que los vendedores (37%), mientras que los arrendadores se desmarcan claramente con un 23%, evidenciando un menor convencimiento sobre este efecto.</w:t>
      </w:r>
    </w:p>
    <w:p w14:paraId="0472DB2B" w14:textId="77777777" w:rsidR="00631556" w:rsidRDefault="00631556">
      <w:pPr>
        <w:pBdr>
          <w:top w:val="nil"/>
          <w:left w:val="nil"/>
          <w:bottom w:val="nil"/>
          <w:right w:val="nil"/>
          <w:between w:val="nil"/>
        </w:pBdr>
        <w:spacing w:line="276" w:lineRule="auto"/>
        <w:jc w:val="both"/>
        <w:rPr>
          <w:rFonts w:ascii="Open Sans" w:eastAsia="Open Sans" w:hAnsi="Open Sans" w:cs="Open Sans"/>
        </w:rPr>
      </w:pPr>
    </w:p>
    <w:p w14:paraId="454EC495" w14:textId="77777777" w:rsidR="006315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Finalmente, </w:t>
      </w:r>
      <w:r>
        <w:rPr>
          <w:rFonts w:ascii="Open Sans" w:eastAsia="Open Sans" w:hAnsi="Open Sans" w:cs="Open Sans"/>
          <w:b/>
          <w:bCs/>
        </w:rPr>
        <w:t>en lo relativo al acceso a beneficios fiscales, compradores (35%), inquilinos (37%) y vendedores (37%) presentan niveles similares de acuerdo</w:t>
      </w:r>
      <w:r>
        <w:rPr>
          <w:rFonts w:ascii="Open Sans" w:eastAsia="Open Sans" w:hAnsi="Open Sans" w:cs="Open Sans"/>
        </w:rPr>
        <w:t>, en contraste con los arrendadores (24%), que vuelven a situarse como el colectivo más escéptico. En conjunto, los datos reflejan una clara brecha entre la percepción de quienes demandan vivienda y quienes la ofrecen, siendo estos últimos los más críticos con los efectos de los topes al alquiler, particularmente en lo que respecta a la reducción de la oferta disponible.</w:t>
      </w:r>
    </w:p>
    <w:p w14:paraId="79D8584D" w14:textId="77777777" w:rsidR="00631556" w:rsidRDefault="00631556">
      <w:pPr>
        <w:pBdr>
          <w:top w:val="nil"/>
          <w:left w:val="nil"/>
          <w:bottom w:val="nil"/>
          <w:right w:val="nil"/>
          <w:between w:val="nil"/>
        </w:pBdr>
        <w:spacing w:line="276" w:lineRule="auto"/>
        <w:jc w:val="both"/>
        <w:rPr>
          <w:rFonts w:ascii="Open Sans" w:eastAsia="Open Sans" w:hAnsi="Open Sans" w:cs="Open Sans"/>
          <w:b/>
          <w:bCs/>
        </w:rPr>
      </w:pPr>
    </w:p>
    <w:p w14:paraId="7BC06972" w14:textId="77777777" w:rsidR="00631556"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F9A34C6" w14:textId="77777777" w:rsidR="0063155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9E75B3B" w14:textId="77777777" w:rsidR="0063155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631556">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631556">
          <w:rPr>
            <w:rFonts w:ascii="Open Sans" w:eastAsia="Open Sans" w:hAnsi="Open Sans" w:cs="Open Sans"/>
            <w:b/>
            <w:bCs/>
            <w:color w:val="0000FF"/>
            <w:sz w:val="22"/>
            <w:szCs w:val="22"/>
            <w:u w:val="single"/>
          </w:rPr>
          <w:t xml:space="preserve">Fotocasa </w:t>
        </w:r>
        <w:r w:rsidR="00631556">
          <w:rPr>
            <w:rFonts w:ascii="Open Sans" w:eastAsia="Open Sans" w:hAnsi="Open Sans" w:cs="Open Sans"/>
            <w:b/>
            <w:bCs/>
            <w:color w:val="0000FF"/>
            <w:sz w:val="22"/>
            <w:szCs w:val="22"/>
            <w:u w:val="single"/>
          </w:rPr>
          <w:lastRenderedPageBreak/>
          <w:t>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BA3D554" w14:textId="77777777" w:rsidR="0063155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631556">
          <w:rPr>
            <w:rFonts w:ascii="Open Sans" w:eastAsia="Open Sans" w:hAnsi="Open Sans" w:cs="Open Sans"/>
            <w:b/>
            <w:bCs/>
            <w:color w:val="0000FF"/>
            <w:sz w:val="22"/>
            <w:szCs w:val="22"/>
            <w:u w:val="single"/>
          </w:rPr>
          <w:t>Sala de Prensa</w:t>
        </w:r>
      </w:hyperlink>
    </w:p>
    <w:p w14:paraId="173BCAC4" w14:textId="77777777" w:rsidR="00631556" w:rsidRDefault="00631556">
      <w:pPr>
        <w:spacing w:line="276" w:lineRule="auto"/>
        <w:ind w:right="141"/>
        <w:rPr>
          <w:rFonts w:ascii="Open Sans Light" w:eastAsia="Open Sans Light" w:hAnsi="Open Sans Light" w:cs="Open Sans Light"/>
          <w:b/>
          <w:bCs/>
          <w:color w:val="303AB2"/>
        </w:rPr>
      </w:pPr>
    </w:p>
    <w:p w14:paraId="6BDE6D1C" w14:textId="77777777" w:rsidR="00631556"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F0CB5F2" w14:textId="77777777" w:rsidR="0063155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5ACD89C" w14:textId="77777777" w:rsidR="0063155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631556">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sidR="00631556">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sidR="00631556">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sidR="00631556">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sidR="00631556">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sidR="00631556">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2FEAE64" w14:textId="77777777" w:rsidR="0063155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F750460" w14:textId="77777777" w:rsidR="00631556"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735ACBF" w14:textId="77777777" w:rsidR="00631556" w:rsidRDefault="00631556">
      <w:pPr>
        <w:spacing w:line="276" w:lineRule="auto"/>
        <w:ind w:right="141"/>
        <w:jc w:val="both"/>
        <w:rPr>
          <w:rFonts w:ascii="Open Sans" w:eastAsia="Open Sans" w:hAnsi="Open Sans" w:cs="Open Sans"/>
          <w:sz w:val="22"/>
          <w:szCs w:val="22"/>
        </w:rPr>
      </w:pPr>
    </w:p>
    <w:p w14:paraId="3130D502" w14:textId="77777777" w:rsidR="00631556"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9687B5A" w14:textId="77777777" w:rsidR="00631556" w:rsidRDefault="00631556">
      <w:pPr>
        <w:pBdr>
          <w:top w:val="nil"/>
          <w:left w:val="nil"/>
          <w:bottom w:val="nil"/>
          <w:right w:val="nil"/>
          <w:between w:val="nil"/>
        </w:pBdr>
        <w:spacing w:line="276" w:lineRule="auto"/>
        <w:ind w:right="141"/>
        <w:jc w:val="both"/>
        <w:rPr>
          <w:rFonts w:ascii="Open Sans" w:eastAsia="Open Sans" w:hAnsi="Open Sans" w:cs="Open Sans"/>
          <w:sz w:val="22"/>
          <w:szCs w:val="22"/>
        </w:rPr>
      </w:pPr>
    </w:p>
    <w:p w14:paraId="78510C6D" w14:textId="77777777" w:rsidR="00631556"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0">
        <w:r w:rsidR="00631556">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58569E8B" w14:textId="77777777" w:rsidR="00631556" w:rsidRDefault="00631556">
      <w:pPr>
        <w:pBdr>
          <w:top w:val="nil"/>
          <w:left w:val="nil"/>
          <w:bottom w:val="nil"/>
          <w:right w:val="nil"/>
          <w:between w:val="nil"/>
        </w:pBdr>
        <w:spacing w:line="276" w:lineRule="auto"/>
        <w:ind w:right="141"/>
        <w:jc w:val="both"/>
        <w:rPr>
          <w:rFonts w:ascii="Open Sans" w:eastAsia="Open Sans" w:hAnsi="Open Sans" w:cs="Open Sans"/>
          <w:sz w:val="22"/>
          <w:szCs w:val="22"/>
        </w:rPr>
      </w:pPr>
    </w:p>
    <w:p w14:paraId="0E0D1889" w14:textId="77777777" w:rsidR="00631556"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772F1AC" w14:textId="77777777" w:rsidR="00631556" w:rsidRDefault="00631556">
      <w:pPr>
        <w:spacing w:line="276" w:lineRule="auto"/>
        <w:ind w:right="141"/>
        <w:rPr>
          <w:rFonts w:ascii="Open Sans" w:eastAsia="Open Sans" w:hAnsi="Open Sans" w:cs="Open Sans"/>
        </w:rPr>
      </w:pPr>
    </w:p>
    <w:p w14:paraId="57E55CA2" w14:textId="77777777" w:rsidR="00631556"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151F9F93" w14:textId="77777777" w:rsidR="00631556"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9399361" w14:textId="77777777" w:rsidR="00631556" w:rsidRDefault="00631556">
      <w:pPr>
        <w:shd w:val="clear" w:color="auto" w:fill="FFFFFF"/>
        <w:spacing w:line="276" w:lineRule="auto"/>
        <w:ind w:right="141"/>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30D7ED4B" w14:textId="77777777" w:rsidR="00631556"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6B7363A" w14:textId="77777777" w:rsidR="00631556" w:rsidRDefault="00631556">
      <w:pPr>
        <w:spacing w:line="276" w:lineRule="auto"/>
        <w:jc w:val="right"/>
        <w:rPr>
          <w:rFonts w:ascii="Open Sans" w:eastAsia="Open Sans" w:hAnsi="Open Sans" w:cs="Open Sans"/>
          <w:color w:val="000000"/>
          <w:sz w:val="22"/>
          <w:szCs w:val="22"/>
        </w:rPr>
      </w:pPr>
    </w:p>
    <w:sectPr w:rsidR="00631556">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CB260" w14:textId="77777777" w:rsidR="00CD0DEF" w:rsidRDefault="00CD0DEF">
      <w:r>
        <w:separator/>
      </w:r>
    </w:p>
  </w:endnote>
  <w:endnote w:type="continuationSeparator" w:id="0">
    <w:p w14:paraId="15D8AF04" w14:textId="77777777" w:rsidR="00CD0DEF" w:rsidRDefault="00CD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525B2C-C01B-4F26-BFCB-F208FAAF79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A98DA6F-D015-4F08-9010-13208140A3E7}"/>
    <w:embedBold r:id="rId3" w:fontKey="{CBE766A1-C6A7-4EBA-AD07-A4CD9368F24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64A019A-7918-43FC-B6AA-D1BFCD9A5A8A}"/>
  </w:font>
  <w:font w:name="Georgia">
    <w:panose1 w:val="02040502050405020303"/>
    <w:charset w:val="00"/>
    <w:family w:val="roman"/>
    <w:pitch w:val="variable"/>
    <w:sig w:usb0="00000287" w:usb1="00000000" w:usb2="00000000" w:usb3="00000000" w:csb0="0000009F" w:csb1="00000000"/>
    <w:embedItalic r:id="rId5" w:fontKey="{F4223DE0-B7D8-45F9-B887-4B1C662DA1B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99632A5-ECED-4A9E-8C97-1F8A0AA9EE5E}"/>
    <w:embedBold r:id="rId7" w:fontKey="{ADAFCCBC-B5B8-469B-9292-5CB05D325BC8}"/>
  </w:font>
  <w:font w:name="Open Sans Light">
    <w:charset w:val="00"/>
    <w:family w:val="swiss"/>
    <w:pitch w:val="variable"/>
    <w:sig w:usb0="E00002EF" w:usb1="4000205B" w:usb2="00000028" w:usb3="00000000" w:csb0="0000019F" w:csb1="00000000"/>
    <w:embedBold r:id="rId8" w:fontKey="{6061B93E-3421-466D-902D-4607AB453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FE3A" w14:textId="77777777" w:rsidR="0063155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2809475" wp14:editId="79CC4091">
          <wp:simplePos x="0" y="0"/>
          <wp:positionH relativeFrom="column">
            <wp:posOffset>-1068040</wp:posOffset>
          </wp:positionH>
          <wp:positionV relativeFrom="paragraph">
            <wp:posOffset>174608</wp:posOffset>
          </wp:positionV>
          <wp:extent cx="7670550" cy="451315"/>
          <wp:effectExtent l="0" t="0" r="0" b="0"/>
          <wp:wrapNone/>
          <wp:docPr id="2066816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768B2" w14:textId="77777777" w:rsidR="00CD0DEF" w:rsidRDefault="00CD0DEF">
      <w:r>
        <w:separator/>
      </w:r>
    </w:p>
  </w:footnote>
  <w:footnote w:type="continuationSeparator" w:id="0">
    <w:p w14:paraId="7751CE70" w14:textId="77777777" w:rsidR="00CD0DEF" w:rsidRDefault="00CD0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25C5E"/>
    <w:multiLevelType w:val="multilevel"/>
    <w:tmpl w:val="6F3E3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6628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56"/>
    <w:rsid w:val="00513114"/>
    <w:rsid w:val="006262E6"/>
    <w:rsid w:val="00631556"/>
    <w:rsid w:val="00BA5856"/>
    <w:rsid w:val="00CD0DEF"/>
    <w:rsid w:val="00DC1527"/>
    <w:rsid w:val="00F44F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A65B3"/>
  <w15:docId w15:val="{8E36944D-54BE-4882-B3B9-F78CFA2B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1"/>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DC1527"/>
    <w:pPr>
      <w:tabs>
        <w:tab w:val="center" w:pos="4252"/>
        <w:tab w:val="right" w:pos="8504"/>
      </w:tabs>
    </w:pPr>
  </w:style>
  <w:style w:type="character" w:customStyle="1" w:styleId="EncabezadoCar">
    <w:name w:val="Encabezado Car"/>
    <w:basedOn w:val="Fuentedeprrafopredeter"/>
    <w:link w:val="Encabezado"/>
    <w:uiPriority w:val="99"/>
    <w:rsid w:val="00DC1527"/>
  </w:style>
  <w:style w:type="paragraph" w:styleId="Piedepgina">
    <w:name w:val="footer"/>
    <w:basedOn w:val="Normal"/>
    <w:link w:val="PiedepginaCar"/>
    <w:uiPriority w:val="99"/>
    <w:unhideWhenUsed/>
    <w:rsid w:val="00DC1527"/>
    <w:pPr>
      <w:tabs>
        <w:tab w:val="center" w:pos="4252"/>
        <w:tab w:val="right" w:pos="8504"/>
      </w:tabs>
    </w:pPr>
  </w:style>
  <w:style w:type="character" w:customStyle="1" w:styleId="PiedepginaCar">
    <w:name w:val="Pie de página Car"/>
    <w:basedOn w:val="Fuentedeprrafopredeter"/>
    <w:link w:val="Piedepgina"/>
    <w:uiPriority w:val="99"/>
    <w:rsid w:val="00DC1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W92w/HFRICMaL0a5PDm8XAI8Q==">CgMxLjA4AHIhMWFpMW5aaHlaZE5ldDA4VGhFdG5FdnJtTXpzc1hXV0VP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1759</Words>
  <Characters>9679</Characters>
  <Application>Microsoft Office Word</Application>
  <DocSecurity>0</DocSecurity>
  <Lines>80</Lines>
  <Paragraphs>22</Paragraphs>
  <ScaleCrop>false</ScaleCrop>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cp:lastPrinted>2026-03-26T13:42:00Z</cp:lastPrinted>
  <dcterms:created xsi:type="dcterms:W3CDTF">2024-02-06T13:46:00Z</dcterms:created>
  <dcterms:modified xsi:type="dcterms:W3CDTF">2026-03-26T13:42:00Z</dcterms:modified>
</cp:coreProperties>
</file>