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“El mercado hipotecario mantiene su fortaleza mientras crece la incertidumbre sobre el próximo movimiento del BCE”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27 de mayo de 2026</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constitución de hipotecas sobre vivienda correspondientes a febrero de 2026 publicados por el INE reflejan un ascenso mensual del 2,4% y una subida interanual del 9%, confirmando que el mercado hipotecario mantiene un elevado dinamismo durante el primer trimestre del año. “La actividad hipotecaria continúa mostrando una gran </w:t>
      </w:r>
      <w:r w:rsidDel="00000000" w:rsidR="00000000" w:rsidRPr="00000000">
        <w:rPr>
          <w:rFonts w:ascii="Open Sans" w:cs="Open Sans" w:eastAsia="Open Sans" w:hAnsi="Open Sans"/>
          <w:b w:val="1"/>
          <w:bCs w:val="1"/>
          <w:sz w:val="21"/>
          <w:szCs w:val="21"/>
          <w:rtl w:val="0"/>
        </w:rPr>
        <w:t xml:space="preserve">fortaleza gracias a unas condiciones de financiación que, aunque empiezan a ajustarse, siguen siendo atractivas</w:t>
      </w:r>
      <w:r w:rsidDel="00000000" w:rsidR="00000000" w:rsidRPr="00000000">
        <w:rPr>
          <w:rFonts w:ascii="Open Sans" w:cs="Open Sans" w:eastAsia="Open Sans" w:hAnsi="Open Sans"/>
          <w:sz w:val="21"/>
          <w:szCs w:val="21"/>
          <w:rtl w:val="0"/>
        </w:rPr>
        <w:t xml:space="preserve"> para los compradores. El crédito continúa fluyendo con intensidad y el volumen de concesiones se mantiene en niveles muy elevados, en línea con el buen comportamiento que está registrando el mercado de la compraventa en este inicio de año”, 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marzo se firmaron 46.661 operaciones hipotecarias, una cifra que vuelve a situarse por encima de la media mensual habitual de 40.000 concesiones del pasado año y que evidencia que la demanda mantiene un importante apetito por la compra de vivienda. Este volumen refleja que el mercado sigue atravesando una </w:t>
      </w:r>
      <w:r w:rsidDel="00000000" w:rsidR="00000000" w:rsidRPr="00000000">
        <w:rPr>
          <w:rFonts w:ascii="Open Sans" w:cs="Open Sans" w:eastAsia="Open Sans" w:hAnsi="Open Sans"/>
          <w:b w:val="1"/>
          <w:bCs w:val="1"/>
          <w:sz w:val="21"/>
          <w:szCs w:val="21"/>
          <w:rtl w:val="0"/>
        </w:rPr>
        <w:t xml:space="preserve">fase expansiva, aprovechando el dulce momento antes de que el Banco Central Europeo suba los tipos de interés</w:t>
      </w:r>
      <w:r w:rsidDel="00000000" w:rsidR="00000000" w:rsidRPr="00000000">
        <w:rPr>
          <w:rFonts w:ascii="Open Sans" w:cs="Open Sans" w:eastAsia="Open Sans" w:hAnsi="Open Sans"/>
          <w:sz w:val="21"/>
          <w:szCs w:val="21"/>
          <w:rtl w:val="0"/>
        </w:rPr>
        <w:t xml:space="preserve">”, asegura María Matos, portavoz de </w:t>
      </w:r>
      <w:hyperlink r:id="rId8">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7">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momento actual indica una divergencia entre volumen y condiciones porque el mercado sigue creciendo en número de operaciones, pero las condiciones de financiación comienzan a endurecerse de forma gradual. Es decir, el crédito continúa fluyendo, aunque ya no lo hace en las mismas condiciones que hace unos meses. El tipo de interés medio ya se sitúa en el 2,84%. Este comportamiento refleja un momento muy particular del ciclo: </w:t>
      </w:r>
      <w:r w:rsidDel="00000000" w:rsidR="00000000" w:rsidRPr="00000000">
        <w:rPr>
          <w:rFonts w:ascii="Open Sans" w:cs="Open Sans" w:eastAsia="Open Sans" w:hAnsi="Open Sans"/>
          <w:b w:val="1"/>
          <w:bCs w:val="1"/>
          <w:sz w:val="21"/>
          <w:szCs w:val="21"/>
          <w:rtl w:val="0"/>
        </w:rPr>
        <w:t xml:space="preserve">la demanda se mantiene sólida, pero es la banca la que está empezando a redefinir el mercado desde la oferta de crédito</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Tras un año de fuerte competencia comercial, las entidades están adoptando una posición más prudente</w:t>
      </w:r>
      <w:r w:rsidDel="00000000" w:rsidR="00000000" w:rsidRPr="00000000">
        <w:rPr>
          <w:rFonts w:ascii="Open Sans" w:cs="Open Sans" w:eastAsia="Open Sans" w:hAnsi="Open Sans"/>
          <w:sz w:val="21"/>
          <w:szCs w:val="21"/>
          <w:rtl w:val="0"/>
        </w:rPr>
        <w:t xml:space="preserve">, ajustando precios y condiciones y anticipándose los próximos movimientos del Banco Central Europeo”, añade María Matos.</w:t>
      </w:r>
    </w:p>
    <w:p w:rsidR="00000000" w:rsidDel="00000000" w:rsidP="00000000" w:rsidRDefault="00000000" w:rsidRPr="00000000" w14:paraId="00000008">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“Las hipotecas a tipo fijo seguirán siendo las más demandadas (representan actualmente el 63,8% de las firmas mensuales), ya que aportan estabilidad y protección frente a posibles episodios de volatilidad futura del Euríbor. Además, las </w:t>
      </w:r>
      <w:r w:rsidDel="00000000" w:rsidR="00000000" w:rsidRPr="00000000">
        <w:rPr>
          <w:rFonts w:ascii="Open Sans" w:cs="Open Sans" w:eastAsia="Open Sans" w:hAnsi="Open Sans"/>
          <w:b w:val="1"/>
          <w:bCs w:val="1"/>
          <w:sz w:val="21"/>
          <w:szCs w:val="21"/>
          <w:rtl w:val="0"/>
        </w:rPr>
        <w:t xml:space="preserve">entidades financieras continúan compitiendo por captar clientes solventes mediante bonificaciones y mejoras comerciale</w:t>
      </w:r>
      <w:r w:rsidDel="00000000" w:rsidR="00000000" w:rsidRPr="00000000">
        <w:rPr>
          <w:rFonts w:ascii="Open Sans" w:cs="Open Sans" w:eastAsia="Open Sans" w:hAnsi="Open Sans"/>
          <w:sz w:val="21"/>
          <w:szCs w:val="21"/>
          <w:rtl w:val="0"/>
        </w:rPr>
        <w:t xml:space="preserve">s, lo que mantiene vivas las oportunidades de negociación para los hogares. De hecho, desde el propio BCE se recomienda a los consumidores comparar ofertas y fomentar la competencia entre entidades para conseguir unas cuotas hipotecarias ajustadas a su capacidad económica”, asegura la portavoz de </w:t>
      </w:r>
      <w:hyperlink r:id="rId9">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9">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b w:val="1"/>
          <w:bCs w:val="1"/>
          <w:color w:val="303ab2"/>
          <w:sz w:val="24"/>
          <w:szCs w:val="24"/>
          <w:rtl w:val="0"/>
        </w:rPr>
        <w:t xml:space="preserve">Cambio en el perfil del comprador</w:t>
      </w:r>
      <w:r w:rsidDel="00000000" w:rsidR="00000000" w:rsidRPr="00000000">
        <w:rPr>
          <w:rtl w:val="0"/>
        </w:rPr>
      </w:r>
    </w:p>
    <w:p w:rsidR="00000000" w:rsidDel="00000000" w:rsidP="00000000" w:rsidRDefault="00000000" w:rsidRPr="00000000" w14:paraId="0000000A">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Este nuevo entorno comienza a trasladarse al comportamiento de la demanda. “Un contexto de financiación menos competitiva tiende a </w:t>
      </w:r>
      <w:r w:rsidDel="00000000" w:rsidR="00000000" w:rsidRPr="00000000">
        <w:rPr>
          <w:rFonts w:ascii="Open Sans" w:cs="Open Sans" w:eastAsia="Open Sans" w:hAnsi="Open Sans"/>
          <w:b w:val="1"/>
          <w:bCs w:val="1"/>
          <w:sz w:val="21"/>
          <w:szCs w:val="21"/>
          <w:rtl w:val="0"/>
        </w:rPr>
        <w:t xml:space="preserve">seleccionar más al comprador, favoreciendo a aquellos perfiles con mayor solvencia y capacidad de ahorro</w:t>
      </w:r>
      <w:r w:rsidDel="00000000" w:rsidR="00000000" w:rsidRPr="00000000">
        <w:rPr>
          <w:rFonts w:ascii="Open Sans" w:cs="Open Sans" w:eastAsia="Open Sans" w:hAnsi="Open Sans"/>
          <w:sz w:val="21"/>
          <w:szCs w:val="21"/>
          <w:rtl w:val="0"/>
        </w:rPr>
        <w:t xml:space="preserve">, mientras que dificulta el acceso a quienes dependen en mayor medida del crédito. Es  relevante la </w:t>
      </w:r>
      <w:r w:rsidDel="00000000" w:rsidR="00000000" w:rsidRPr="00000000">
        <w:rPr>
          <w:rFonts w:ascii="Open Sans" w:cs="Open Sans" w:eastAsia="Open Sans" w:hAnsi="Open Sans"/>
          <w:b w:val="1"/>
          <w:bCs w:val="1"/>
          <w:sz w:val="21"/>
          <w:szCs w:val="21"/>
          <w:rtl w:val="0"/>
        </w:rPr>
        <w:t xml:space="preserve">caída de 5 puntos porcentuales del perfil del comprador inversor, que se sitúa en el 7%</w:t>
      </w:r>
      <w:r w:rsidDel="00000000" w:rsidR="00000000" w:rsidRPr="00000000">
        <w:rPr>
          <w:rFonts w:ascii="Open Sans" w:cs="Open Sans" w:eastAsia="Open Sans" w:hAnsi="Open Sans"/>
          <w:sz w:val="21"/>
          <w:szCs w:val="21"/>
          <w:rtl w:val="0"/>
        </w:rPr>
        <w:t xml:space="preserve"> detectada en </w:t>
      </w:r>
      <w:hyperlink r:id="rId10">
        <w:r w:rsidDel="00000000" w:rsidR="00000000" w:rsidRPr="00000000">
          <w:rPr>
            <w:rFonts w:ascii="Open Sans" w:cs="Open Sans" w:eastAsia="Open Sans" w:hAnsi="Open Sans"/>
            <w:color w:val="1155cc"/>
            <w:sz w:val="21"/>
            <w:szCs w:val="21"/>
            <w:u w:val="single"/>
            <w:rtl w:val="0"/>
          </w:rPr>
          <w:t xml:space="preserve">Fotocasa Research</w:t>
        </w:r>
      </w:hyperlink>
      <w:r w:rsidDel="00000000" w:rsidR="00000000" w:rsidRPr="00000000">
        <w:rPr>
          <w:rFonts w:ascii="Open Sans" w:cs="Open Sans" w:eastAsia="Open Sans" w:hAnsi="Open Sans"/>
          <w:sz w:val="21"/>
          <w:szCs w:val="21"/>
          <w:rtl w:val="0"/>
        </w:rPr>
        <w:t xml:space="preserve">. Este ajuste refleja una menor rentabilidad percibida en un contexto de precios elevados y un encarecimiento progresivo del crédito, lo que reduce el atractivo de la inversión frente a otros momentos del ciclo”, añade.</w:t>
      </w:r>
    </w:p>
    <w:p w:rsidR="00000000" w:rsidDel="00000000" w:rsidP="00000000" w:rsidRDefault="00000000" w:rsidRPr="00000000" w14:paraId="0000000B">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explica la portavoz.</w:t>
      </w:r>
    </w:p>
    <w:p w:rsidR="00000000" w:rsidDel="00000000" w:rsidP="00000000" w:rsidRDefault="00000000" w:rsidRPr="00000000" w14:paraId="0000000C">
      <w:pPr>
        <w:shd w:fill="ffffff" w:val="clear"/>
        <w:spacing w:after="225"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para el primer semestre de 2026</w:t>
      </w:r>
      <w:r w:rsidDel="00000000" w:rsidR="00000000" w:rsidRPr="00000000">
        <w:rPr>
          <w:rtl w:val="0"/>
        </w:rPr>
      </w:r>
    </w:p>
    <w:p w:rsidR="00000000" w:rsidDel="00000000" w:rsidP="00000000" w:rsidRDefault="00000000" w:rsidRPr="00000000" w14:paraId="0000000D">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condicionado por la evolución de los tipos de interés y por la evolución de la inflación en la eurozona. </w:t>
      </w:r>
      <w:r w:rsidDel="00000000" w:rsidR="00000000" w:rsidRPr="00000000">
        <w:rPr>
          <w:rFonts w:ascii="Open Sans" w:cs="Open Sans" w:eastAsia="Open Sans" w:hAnsi="Open Sans"/>
          <w:b w:val="1"/>
          <w:bCs w:val="1"/>
          <w:sz w:val="21"/>
          <w:szCs w:val="21"/>
          <w:rtl w:val="0"/>
        </w:rPr>
        <w:t xml:space="preserve">Las tensiones geopolíticas podrían derivar en un repunte inflacionista con impacto directo en el mercado inmobiliario</w:t>
      </w:r>
      <w:r w:rsidDel="00000000" w:rsidR="00000000" w:rsidRPr="00000000">
        <w:rPr>
          <w:rFonts w:ascii="Open Sans" w:cs="Open Sans" w:eastAsia="Open Sans" w:hAnsi="Open Sans"/>
          <w:sz w:val="21"/>
          <w:szCs w:val="21"/>
          <w:rtl w:val="0"/>
        </w:rPr>
        <w:t xml:space="preserve">. Un encarecimiento de los costes de construcción dificultará la generación de nueva oferta y, en paralelo, un posible endurecimiento de la política monetaria por parte del BCE podría encarecer de nuevo la financiación, afectando especialmente a la demanda más dependiente del crédito, que en estos momentos representa al 75% de los compradores”, advierte María Matos, portavoz de Fotocasa.</w:t>
      </w:r>
    </w:p>
    <w:p w:rsidR="00000000" w:rsidDel="00000000" w:rsidP="00000000" w:rsidRDefault="00000000" w:rsidRPr="00000000" w14:paraId="0000000E">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se aproxima al </w:t>
      </w:r>
      <w:r w:rsidDel="00000000" w:rsidR="00000000" w:rsidRPr="00000000">
        <w:rPr>
          <w:rFonts w:ascii="Open Sans" w:cs="Open Sans" w:eastAsia="Open Sans" w:hAnsi="Open Sans"/>
          <w:b w:val="1"/>
          <w:bCs w:val="1"/>
          <w:sz w:val="21"/>
          <w:szCs w:val="21"/>
          <w:rtl w:val="0"/>
        </w:rPr>
        <w:t xml:space="preserve">inicio de una fase de estabilización, no tanto por un posible deterioro de la financiación, como por el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explica la portavoz.</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p>
    <w:p w:rsidR="00000000" w:rsidDel="00000000" w:rsidP="00000000" w:rsidRDefault="00000000" w:rsidRPr="00000000" w14:paraId="00000010">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1">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2">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11">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2">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6">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7">
      <w:pPr>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-1916380</wp:posOffset>
          </wp:positionH>
          <wp:positionV relativeFrom="paragraph">
            <wp:posOffset>304800</wp:posOffset>
          </wp:positionV>
          <wp:extent cx="8620125" cy="44767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-914388</wp:posOffset>
          </wp:positionH>
          <wp:positionV relativeFrom="paragraph">
            <wp:posOffset>-243189</wp:posOffset>
          </wp:positionV>
          <wp:extent cx="7711147" cy="1037167"/>
          <wp:effectExtent b="0" l="0" r="0" t="0"/>
          <wp:wrapSquare wrapText="bothSides" distB="0" distT="0" distL="0" distR="0"/>
          <wp:docPr descr="Patrón de fondo&#10;&#10;El contenido generado por IA puede ser incorrecto." id="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comunicacion@fotocasa.es" TargetMode="External"/><Relationship Id="rId10" Type="http://schemas.openxmlformats.org/officeDocument/2006/relationships/hyperlink" Target="https://research.fotocasa.es/" TargetMode="External"/><Relationship Id="rId13" Type="http://schemas.openxmlformats.org/officeDocument/2006/relationships/header" Target="header1.xm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S8dnYnVm7gETHih/wXwbRhZOQ==">CgMxLjA4AHIhMUE0am1WMm43RHVKdDFqN0NfTjRRV0dmU2tHVEFEenRK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