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2167C" w14:textId="77777777" w:rsidR="00AC29AE" w:rsidRDefault="00000000">
      <w:r>
        <w:rPr>
          <w:noProof/>
        </w:rPr>
        <w:drawing>
          <wp:anchor distT="0" distB="0" distL="114300" distR="114300" simplePos="0" relativeHeight="251658240" behindDoc="0" locked="0" layoutInCell="1" hidden="0" allowOverlap="1" wp14:anchorId="1C3CACC0" wp14:editId="11901BF1">
            <wp:simplePos x="0" y="0"/>
            <wp:positionH relativeFrom="column">
              <wp:posOffset>-1132840</wp:posOffset>
            </wp:positionH>
            <wp:positionV relativeFrom="paragraph">
              <wp:posOffset>-843915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5B55F7A" w14:textId="77777777" w:rsidR="00AC29AE" w:rsidRDefault="00AC29AE">
      <w:pPr>
        <w:jc w:val="right"/>
        <w:rPr>
          <w:rFonts w:ascii="National" w:eastAsia="National" w:hAnsi="National" w:cs="National"/>
          <w:color w:val="303AB2"/>
          <w:sz w:val="36"/>
          <w:szCs w:val="36"/>
        </w:rPr>
      </w:pPr>
    </w:p>
    <w:p w14:paraId="53CB97AD" w14:textId="77777777" w:rsidR="00AC29AE" w:rsidRDefault="00000000">
      <w:pPr>
        <w:pBdr>
          <w:top w:val="nil"/>
          <w:left w:val="nil"/>
          <w:bottom w:val="nil"/>
          <w:right w:val="nil"/>
          <w:between w:val="nil"/>
        </w:pBdr>
        <w:spacing w:line="276" w:lineRule="auto"/>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PROFESIONALIZACIÓN DEL SECTOR INMOBILIARIO</w:t>
      </w:r>
    </w:p>
    <w:p w14:paraId="44869FBD" w14:textId="77777777" w:rsidR="00AC29AE"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Fotocasa Pro Academy celebra su 10º aniversario tras contar con más de 179.000 asistentes del sector inmobiliario</w:t>
      </w:r>
    </w:p>
    <w:p w14:paraId="7BAAF1F8" w14:textId="77777777" w:rsidR="00AC29AE" w:rsidRDefault="00AC29AE">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811AEE7" w14:textId="77777777" w:rsidR="00AC29A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propuesta formativa de Fotocasa supera los 179.000 asistentes en una década y consolida el formato online como principal motor de crecimiento</w:t>
      </w:r>
    </w:p>
    <w:p w14:paraId="096FBED8" w14:textId="77777777" w:rsidR="00AC29A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 millar de eventos en los últimos años reflejan la expansión de su oferta formativa, que ya supera las 200 sesiones anuales</w:t>
      </w:r>
    </w:p>
    <w:p w14:paraId="1EF91FAA" w14:textId="77777777" w:rsidR="00AC29A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Inteligencia Artificial, el análisis de datos y la digitalización lideran la nueva demanda formativa del sector</w:t>
      </w:r>
    </w:p>
    <w:p w14:paraId="56408344" w14:textId="77777777" w:rsidR="00AC29A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y Barcelona se consolidan como los principales epicentros de formación presencial</w:t>
      </w:r>
    </w:p>
    <w:p w14:paraId="03F89EA0" w14:textId="77777777" w:rsidR="00AC29AE" w:rsidRDefault="00AC29AE">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3EA0835" w14:textId="7F637B40" w:rsidR="00AC29AE"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15680C">
        <w:rPr>
          <w:rFonts w:ascii="Open Sans Light" w:eastAsia="Open Sans Light" w:hAnsi="Open Sans Light" w:cs="Open Sans Light"/>
          <w:b/>
          <w:bCs/>
          <w:color w:val="303AB2"/>
        </w:rPr>
        <w:t>13 de mayo</w:t>
      </w:r>
      <w:r>
        <w:rPr>
          <w:rFonts w:ascii="Open Sans Light" w:eastAsia="Open Sans Light" w:hAnsi="Open Sans Light" w:cs="Open Sans Light"/>
          <w:b/>
          <w:bCs/>
          <w:color w:val="303AB2"/>
        </w:rPr>
        <w:t xml:space="preserve"> de 2026</w:t>
      </w:r>
      <w:r>
        <w:rPr>
          <w:rFonts w:ascii="Open Sans Light" w:eastAsia="Open Sans Light" w:hAnsi="Open Sans Light" w:cs="Open Sans Light"/>
          <w:b/>
          <w:bCs/>
          <w:color w:val="303AB2"/>
        </w:rPr>
        <w:tab/>
      </w:r>
    </w:p>
    <w:p w14:paraId="7449E046" w14:textId="77777777" w:rsidR="00AC29AE" w:rsidRDefault="00AC29AE">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12DC38E"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hyperlink r:id="rId9">
        <w:r>
          <w:rPr>
            <w:rFonts w:ascii="Open Sans" w:eastAsia="Open Sans" w:hAnsi="Open Sans" w:cs="Open Sans"/>
            <w:color w:val="0000FF"/>
            <w:u w:val="single"/>
          </w:rPr>
          <w:t>Fotocasa Pro Academy</w:t>
        </w:r>
      </w:hyperlink>
      <w:r>
        <w:rPr>
          <w:rFonts w:ascii="Open Sans" w:eastAsia="Open Sans" w:hAnsi="Open Sans" w:cs="Open Sans"/>
        </w:rPr>
        <w:t xml:space="preserve"> celebra su décimo aniversario consolidándose como una de las principales propuestas de formación del sector inmobiliario en España, tras haber contado con más de 179.000 asistentes desde su creación en 2016. </w:t>
      </w:r>
      <w:r>
        <w:rPr>
          <w:rFonts w:ascii="Open Sans" w:eastAsia="Open Sans" w:hAnsi="Open Sans" w:cs="Open Sans"/>
          <w:b/>
          <w:bCs/>
        </w:rPr>
        <w:t>En esta década, la iniciativa ha experimentado una profunda transformación, tanto en volumen como en enfoque, adaptándose a la evolución del mercado y a las nuevas necesidades de los agentes inmobiliarios</w:t>
      </w:r>
      <w:r>
        <w:rPr>
          <w:rFonts w:ascii="Open Sans" w:eastAsia="Open Sans" w:hAnsi="Open Sans" w:cs="Open Sans"/>
        </w:rPr>
        <w:t xml:space="preserve">. En total, la plataforma ha impartido más de un millar de eventos formativos presenciales y online, y ha contado con la participación de decenas de formadores, entre expertos recurrentes y colaboradores invitados, abordando temáticas clave como captación, marketing, fotografía, derecho inmobiliario o tecnología. </w:t>
      </w:r>
    </w:p>
    <w:p w14:paraId="63B40E9A"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0DA118FE"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w:t>
      </w:r>
      <w:hyperlink r:id="rId10">
        <w:r w:rsidR="00AC29AE">
          <w:rPr>
            <w:rFonts w:ascii="Open Sans" w:eastAsia="Open Sans" w:hAnsi="Open Sans" w:cs="Open Sans"/>
            <w:color w:val="0000FF"/>
            <w:u w:val="single"/>
          </w:rPr>
          <w:t>Fotocasa Pro Academy</w:t>
        </w:r>
      </w:hyperlink>
      <w:r>
        <w:rPr>
          <w:rFonts w:ascii="Open Sans" w:eastAsia="Open Sans" w:hAnsi="Open Sans" w:cs="Open Sans"/>
        </w:rPr>
        <w:t xml:space="preserve"> nació hace una década con la misión clara de ser el faro de conocimiento para un sector que estaba en plena transformación. En aquel momento, detectamos que el agente inmobiliario necesitaba dejar de ser un mero intermediario para convertirse en un asesor experto. El balance de aquella iniciativa es extraordinario y hemos visto una evolución fascinante: empezamos enseñando fotografía y redacción de anuncios, y hoy impartimos formaciones en </w:t>
      </w:r>
      <w:r>
        <w:rPr>
          <w:rFonts w:ascii="Open Sans" w:eastAsia="Open Sans" w:hAnsi="Open Sans" w:cs="Open Sans"/>
        </w:rPr>
        <w:lastRenderedPageBreak/>
        <w:t xml:space="preserve">neuro-marketing, captación en exclusiva y derecho inmobiliario avanzado. Nuestra mayor contribución ha sido dotar al agente de un kit de supervivencia integral en el mercado inmobiliario”, </w:t>
      </w:r>
      <w:r>
        <w:rPr>
          <w:rFonts w:ascii="Open Sans" w:eastAsia="Open Sans" w:hAnsi="Open Sans" w:cs="Open Sans"/>
          <w:b/>
          <w:bCs/>
        </w:rPr>
        <w:t xml:space="preserve">explica Marcela González, directora de Marketing B2B de </w:t>
      </w:r>
      <w:hyperlink r:id="rId11">
        <w:r w:rsidR="00AC29AE">
          <w:rPr>
            <w:rFonts w:ascii="Open Sans" w:eastAsia="Open Sans" w:hAnsi="Open Sans" w:cs="Open Sans"/>
            <w:b/>
            <w:bCs/>
            <w:color w:val="0000FF"/>
            <w:u w:val="single"/>
          </w:rPr>
          <w:t>Fotocasa</w:t>
        </w:r>
      </w:hyperlink>
      <w:r>
        <w:rPr>
          <w:rFonts w:ascii="Open Sans" w:eastAsia="Open Sans" w:hAnsi="Open Sans" w:cs="Open Sans"/>
          <w:b/>
          <w:bCs/>
        </w:rPr>
        <w:t>.</w:t>
      </w:r>
    </w:p>
    <w:p w14:paraId="78488317"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10D9F9C0"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Un amplio elenco de formadores especializados</w:t>
      </w:r>
    </w:p>
    <w:p w14:paraId="154EFFE9"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12BC5A39"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estos diez años, Fotocasa Pro Academy ha contado con un equipo de cerca de 70 formadores</w:t>
      </w:r>
      <w:r>
        <w:rPr>
          <w:rFonts w:ascii="Open Sans" w:eastAsia="Open Sans" w:hAnsi="Open Sans" w:cs="Open Sans"/>
        </w:rPr>
        <w:t xml:space="preserve">, estructurado entre perfiles recurrentes y expertos invitados, cubriendo todas las áreas clave del negocio inmobiliario. Entre los formadores principales destacan perfiles como </w:t>
      </w:r>
      <w:r>
        <w:rPr>
          <w:rFonts w:ascii="Open Sans" w:eastAsia="Open Sans" w:hAnsi="Open Sans" w:cs="Open Sans"/>
          <w:b/>
          <w:bCs/>
        </w:rPr>
        <w:t>Ismael Kardoudi, Alberto Padilla y María Matos</w:t>
      </w:r>
      <w:r>
        <w:rPr>
          <w:rFonts w:ascii="Open Sans" w:eastAsia="Open Sans" w:hAnsi="Open Sans" w:cs="Open Sans"/>
        </w:rPr>
        <w:t>, junto a referentes como</w:t>
      </w:r>
      <w:r>
        <w:rPr>
          <w:rFonts w:ascii="Open Sans" w:eastAsia="Open Sans" w:hAnsi="Open Sans" w:cs="Open Sans"/>
          <w:b/>
          <w:bCs/>
        </w:rPr>
        <w:t xml:space="preserve"> Hugo Ballón, Iván Gomariz </w:t>
      </w:r>
      <w:r>
        <w:rPr>
          <w:rFonts w:ascii="Open Sans" w:eastAsia="Open Sans" w:hAnsi="Open Sans" w:cs="Open Sans"/>
        </w:rPr>
        <w:t xml:space="preserve">con formaciones de redes sociales y marketing inmobiliario, </w:t>
      </w:r>
      <w:r>
        <w:rPr>
          <w:rFonts w:ascii="Open Sans" w:eastAsia="Open Sans" w:hAnsi="Open Sans" w:cs="Open Sans"/>
          <w:b/>
          <w:bCs/>
        </w:rPr>
        <w:t xml:space="preserve">Pepe Piñar </w:t>
      </w:r>
      <w:r>
        <w:rPr>
          <w:rFonts w:ascii="Open Sans" w:eastAsia="Open Sans" w:hAnsi="Open Sans" w:cs="Open Sans"/>
        </w:rPr>
        <w:t xml:space="preserve">en el ámbito jurídico, </w:t>
      </w:r>
      <w:r>
        <w:rPr>
          <w:rFonts w:ascii="Open Sans" w:eastAsia="Open Sans" w:hAnsi="Open Sans" w:cs="Open Sans"/>
          <w:b/>
          <w:bCs/>
        </w:rPr>
        <w:t>Rebeca Pascual</w:t>
      </w:r>
      <w:r>
        <w:rPr>
          <w:rFonts w:ascii="Open Sans" w:eastAsia="Open Sans" w:hAnsi="Open Sans" w:cs="Open Sans"/>
        </w:rPr>
        <w:t xml:space="preserve"> en marketing y experiencia de cliente, </w:t>
      </w:r>
      <w:r>
        <w:rPr>
          <w:rFonts w:ascii="Open Sans" w:eastAsia="Open Sans" w:hAnsi="Open Sans" w:cs="Open Sans"/>
          <w:b/>
          <w:bCs/>
        </w:rPr>
        <w:t>Pau Garcia-Milà</w:t>
      </w:r>
      <w:r>
        <w:rPr>
          <w:rFonts w:ascii="Open Sans" w:eastAsia="Open Sans" w:hAnsi="Open Sans" w:cs="Open Sans"/>
        </w:rPr>
        <w:t xml:space="preserve"> en formaciones de Inteligencia Artificial o </w:t>
      </w:r>
      <w:r>
        <w:rPr>
          <w:rFonts w:ascii="Open Sans" w:eastAsia="Open Sans" w:hAnsi="Open Sans" w:cs="Open Sans"/>
          <w:b/>
          <w:bCs/>
        </w:rPr>
        <w:t>Gonzalo Bernardos</w:t>
      </w:r>
      <w:r>
        <w:rPr>
          <w:rFonts w:ascii="Open Sans" w:eastAsia="Open Sans" w:hAnsi="Open Sans" w:cs="Open Sans"/>
        </w:rPr>
        <w:t xml:space="preserve"> que imparte masterclass de macroeconomía. </w:t>
      </w:r>
    </w:p>
    <w:p w14:paraId="5EDE089C"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06FD2297"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A este núcleo se suma una amplia red de expertos y colaboradores especializados en áreas como la digitalización, datos, estrategia comercial o legalidad, así como alianzas con empresas y organizaciones del sector, entre las que se encuentran agencias inmobiliarias, compañías de financiación o firmas de branding.</w:t>
      </w:r>
    </w:p>
    <w:p w14:paraId="3824AD22"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7212C69E" w14:textId="77777777" w:rsidR="00AC29A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salto al online impulsa un crecimiento exponencial</w:t>
      </w:r>
    </w:p>
    <w:p w14:paraId="555A905C"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0E610818"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Uno de los principales puntos de inflexión en la trayectoria de Fotocasa Pro Academy se produce a partir de 2020, con la incorporación del formato online. Este cambio ha permitido multiplicar el alcance de la formación y democratizar el acceso a contenidos especializados. </w:t>
      </w:r>
      <w:r>
        <w:rPr>
          <w:rFonts w:ascii="Open Sans" w:eastAsia="Open Sans" w:hAnsi="Open Sans" w:cs="Open Sans"/>
          <w:b/>
          <w:bCs/>
        </w:rPr>
        <w:t>Actualmente, el formato digital concentra la gran mayoría de la asistencia.</w:t>
      </w:r>
      <w:r>
        <w:rPr>
          <w:rFonts w:ascii="Open Sans" w:eastAsia="Open Sans" w:hAnsi="Open Sans" w:cs="Open Sans"/>
        </w:rPr>
        <w:t xml:space="preserve"> Por ejemplo, en 2025, el 85% de los casi 38.000 asistentes participaron en webinars y formatos online. </w:t>
      </w:r>
    </w:p>
    <w:p w14:paraId="3B803F0F"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42000115" w14:textId="53512438" w:rsidR="00AC29AE"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digitalización no solo ha cambiado lo que enseñamos, sino cómo lo enseñamos. Hemos pasado de un modelo puramente presencial a un ecosistema híbrido </w:t>
      </w:r>
      <w:r w:rsidR="00E37185">
        <w:rPr>
          <w:rFonts w:ascii="Open Sans" w:eastAsia="Open Sans" w:hAnsi="Open Sans" w:cs="Open Sans"/>
        </w:rPr>
        <w:t>y bajo</w:t>
      </w:r>
      <w:r>
        <w:rPr>
          <w:rFonts w:ascii="Open Sans" w:eastAsia="Open Sans" w:hAnsi="Open Sans" w:cs="Open Sans"/>
        </w:rPr>
        <w:t xml:space="preserve"> demanda. Gracias a la tecnología, un agente en un pueblo apartado tiene acceso en tiempo real a las mismas estrategias de vanguardia que una gran consultora en Madrid”, añade la </w:t>
      </w:r>
      <w:r>
        <w:rPr>
          <w:rFonts w:ascii="Open Sans" w:eastAsia="Open Sans" w:hAnsi="Open Sans" w:cs="Open Sans"/>
          <w:b/>
          <w:bCs/>
        </w:rPr>
        <w:t xml:space="preserve">directora de Marketing B2B de </w:t>
      </w:r>
      <w:hyperlink r:id="rId12">
        <w:r w:rsidR="00AC29AE">
          <w:rPr>
            <w:rFonts w:ascii="Open Sans" w:eastAsia="Open Sans" w:hAnsi="Open Sans" w:cs="Open Sans"/>
            <w:b/>
            <w:bCs/>
            <w:color w:val="0000FF"/>
            <w:u w:val="single"/>
          </w:rPr>
          <w:t>Fotocasa</w:t>
        </w:r>
      </w:hyperlink>
      <w:r>
        <w:rPr>
          <w:rFonts w:ascii="Open Sans" w:eastAsia="Open Sans" w:hAnsi="Open Sans" w:cs="Open Sans"/>
          <w:b/>
          <w:bCs/>
        </w:rPr>
        <w:t>.</w:t>
      </w:r>
    </w:p>
    <w:p w14:paraId="59590605" w14:textId="77777777" w:rsidR="00AC29A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De la captación a la IA: evolución de la demanda formativa</w:t>
      </w:r>
    </w:p>
    <w:p w14:paraId="4748E4BA"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527B9786"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Este impulso también se refleja en el volumen de actividad. En los últimos años, se han celebrado casi un millar de eventos formativos, con un crecimiento progresivo que ha llevado a duplicar el número de sesiones anuales en los últimos años, superando las 200 en ejercicios como 2024 y 2025. A lo largo de estos diez años, la demanda formativa ha evolucionado en paralelo a la transformación del sector</w:t>
      </w:r>
      <w:r>
        <w:rPr>
          <w:rFonts w:ascii="Open Sans" w:eastAsia="Open Sans" w:hAnsi="Open Sans" w:cs="Open Sans"/>
          <w:b/>
          <w:bCs/>
        </w:rPr>
        <w:t>. Históricamente, las áreas más solicitadas han sido el derecho inmobiliario y la fiscalidad, así como la gestión comercial y la captación de clientes, con sesiones que han llegado a reunir entre 400 y 700 asistentes</w:t>
      </w:r>
      <w:r>
        <w:rPr>
          <w:rFonts w:ascii="Open Sans" w:eastAsia="Open Sans" w:hAnsi="Open Sans" w:cs="Open Sans"/>
        </w:rPr>
        <w:t>.</w:t>
      </w:r>
    </w:p>
    <w:p w14:paraId="6A70D55B"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05B5F08F"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este sentido, destacan temáticas como la fiscalidad inmobiliaria, los contratos de arras o la gestión de objeciones en procesos de captación, que han mantenido un alto interés sostenido en el tiempo. </w:t>
      </w:r>
      <w:r>
        <w:rPr>
          <w:rFonts w:ascii="Open Sans" w:eastAsia="Open Sans" w:hAnsi="Open Sans" w:cs="Open Sans"/>
          <w:b/>
          <w:bCs/>
        </w:rPr>
        <w:t>Sin embargo, en los últimos años se ha producido un cambio significativo hacia nuevas áreas vinculadas a la innovación</w:t>
      </w:r>
      <w:r>
        <w:rPr>
          <w:rFonts w:ascii="Open Sans" w:eastAsia="Open Sans" w:hAnsi="Open Sans" w:cs="Open Sans"/>
        </w:rPr>
        <w:t>. La Inteligencia Artificial se ha consolidado como la temática de mayor crecimiento, con formaciones centradas en automatización de procesos, generación de contenidos o mejora de la productividad. A ello se suman el análisis de datos (Big Data), la digitalización mediante herramientas CRM y nuevas estrategias de marketing digital orientadas a redes sociales y posicionamiento online.</w:t>
      </w:r>
    </w:p>
    <w:p w14:paraId="2FDA5207"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6589933C"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Implantación territorial y éxito del formato presencial</w:t>
      </w:r>
    </w:p>
    <w:p w14:paraId="69E24394"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28477C5A"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Aunque el entorno digital concentra la mayor parte de la actividad, la formación presencial sigue desempeñando un papel clave en la estrategia de Fotocasa Pro Academy, especialmente en grandes núcleos urbanos. </w:t>
      </w:r>
      <w:r>
        <w:rPr>
          <w:rFonts w:ascii="Open Sans" w:eastAsia="Open Sans" w:hAnsi="Open Sans" w:cs="Open Sans"/>
          <w:b/>
          <w:bCs/>
        </w:rPr>
        <w:t>Madrid y Barcelona lideran el ranking de ciudades con mayor número de eventos, con más de 69 y 46 visitas respectivamente</w:t>
      </w:r>
      <w:r>
        <w:rPr>
          <w:rFonts w:ascii="Open Sans" w:eastAsia="Open Sans" w:hAnsi="Open Sans" w:cs="Open Sans"/>
        </w:rPr>
        <w:t>. Les siguen Málaga y Marbella, Valencia, Sevilla y el eje Alicante-Jávea, consolidando una fuerte presencia en los principales mercados inmobiliarios del país. En términos de asistencia, Barcelona destaca como la plaza más potente, con eventos que han reunido hasta 500 profesionales, seguida de Madrid, Valencia y otras ciudades como Sevilla, Alicante o Málaga, donde la convocatoria presencial mantiene altos niveles de participación.</w:t>
      </w:r>
    </w:p>
    <w:p w14:paraId="597A5EA3"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468D7A2B"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40CF1A73" w14:textId="09F2E453" w:rsidR="003350A9" w:rsidRDefault="003350A9" w:rsidP="003350A9">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Fotocasa Pro Academy Day: la fiesta de la formación inmobiliaria</w:t>
      </w:r>
    </w:p>
    <w:p w14:paraId="71400A11" w14:textId="77777777" w:rsidR="003350A9" w:rsidRDefault="003350A9">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4D768E83" w14:textId="333CF594" w:rsidR="003350A9" w:rsidRPr="00E37185" w:rsidRDefault="003350A9">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Durante e</w:t>
      </w:r>
      <w:r w:rsidRPr="003350A9">
        <w:rPr>
          <w:rFonts w:ascii="Open Sans" w:eastAsia="Open Sans" w:hAnsi="Open Sans" w:cs="Open Sans"/>
        </w:rPr>
        <w:t xml:space="preserve">n esta década de trayectoria, </w:t>
      </w:r>
      <w:r w:rsidR="00E37185">
        <w:rPr>
          <w:rFonts w:ascii="Open Sans" w:eastAsia="Open Sans" w:hAnsi="Open Sans" w:cs="Open Sans"/>
        </w:rPr>
        <w:t xml:space="preserve">la Fotocasa Pro Academy ha puesto en marcha los </w:t>
      </w:r>
      <w:hyperlink r:id="rId13" w:history="1">
        <w:r w:rsidR="001F2077" w:rsidRPr="001F2077">
          <w:rPr>
            <w:rStyle w:val="Hipervnculo"/>
            <w:rFonts w:ascii="Open Sans" w:eastAsia="Open Sans" w:hAnsi="Open Sans" w:cs="Open Sans"/>
          </w:rPr>
          <w:t xml:space="preserve">Fotocasa Pro </w:t>
        </w:r>
        <w:r w:rsidR="00E37185" w:rsidRPr="001F2077">
          <w:rPr>
            <w:rStyle w:val="Hipervnculo"/>
            <w:rFonts w:ascii="Open Sans" w:eastAsia="Open Sans" w:hAnsi="Open Sans" w:cs="Open Sans"/>
          </w:rPr>
          <w:t>Academy Day</w:t>
        </w:r>
      </w:hyperlink>
      <w:r w:rsidR="00E37185">
        <w:rPr>
          <w:rFonts w:ascii="Open Sans" w:eastAsia="Open Sans" w:hAnsi="Open Sans" w:cs="Open Sans"/>
        </w:rPr>
        <w:t xml:space="preserve">, el gran hito presencial de las formaciones y que se ha convertido también en un encuentro de referencia para el sector. </w:t>
      </w:r>
      <w:r w:rsidRPr="003350A9">
        <w:rPr>
          <w:rFonts w:ascii="Open Sans" w:eastAsia="Open Sans" w:hAnsi="Open Sans" w:cs="Open Sans"/>
        </w:rPr>
        <w:t xml:space="preserve">Estas jornadas de inmersión total, que recorren anualmente </w:t>
      </w:r>
      <w:r w:rsidR="00E37185">
        <w:rPr>
          <w:rFonts w:ascii="Open Sans" w:eastAsia="Open Sans" w:hAnsi="Open Sans" w:cs="Open Sans"/>
        </w:rPr>
        <w:t>cuatro grandes</w:t>
      </w:r>
      <w:r w:rsidRPr="003350A9">
        <w:rPr>
          <w:rFonts w:ascii="Open Sans" w:eastAsia="Open Sans" w:hAnsi="Open Sans" w:cs="Open Sans"/>
        </w:rPr>
        <w:t xml:space="preserve"> ciudades de España, reúnen a un panel de ponentes de primer nivel para abordar, durante todo un día, las tendencias y retos más urgentes del mercado inmobiliario. Con su carácter itinerante, los </w:t>
      </w:r>
      <w:r w:rsidR="006705EE">
        <w:rPr>
          <w:rFonts w:ascii="Open Sans" w:eastAsia="Open Sans" w:hAnsi="Open Sans" w:cs="Open Sans"/>
        </w:rPr>
        <w:t xml:space="preserve">Fotocasa Pro </w:t>
      </w:r>
      <w:r w:rsidRPr="003350A9">
        <w:rPr>
          <w:rFonts w:ascii="Open Sans" w:eastAsia="Open Sans" w:hAnsi="Open Sans" w:cs="Open Sans"/>
        </w:rPr>
        <w:t>Academy Day no solo han permitido descentralizar el conocimiento de alta calidad, sino que han fortalecido el tejido profesional local, fomentando el networking y la excelencia en cada rincón del país</w:t>
      </w:r>
      <w:r>
        <w:rPr>
          <w:rFonts w:ascii="Open Sans" w:eastAsia="Open Sans" w:hAnsi="Open Sans" w:cs="Open Sans"/>
        </w:rPr>
        <w:t>.</w:t>
      </w:r>
    </w:p>
    <w:p w14:paraId="121A8604" w14:textId="77777777" w:rsidR="003350A9" w:rsidRDefault="003350A9">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3C948D20" w14:textId="58460AD6" w:rsidR="00AC29A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Un pilar estratégico para el sector inmobiliario</w:t>
      </w:r>
    </w:p>
    <w:p w14:paraId="29F6E5BC"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7FD8205B"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Tras una década de trayectoria, </w:t>
      </w:r>
      <w:r>
        <w:rPr>
          <w:rFonts w:ascii="Open Sans" w:eastAsia="Open Sans" w:hAnsi="Open Sans" w:cs="Open Sans"/>
          <w:b/>
          <w:bCs/>
        </w:rPr>
        <w:t>Fotocasa Pro Academy se ha posicionado claramente como un actor clave en la profesionalización del sector, facilitando el acceso a formación especializada y contribuyendo a elevar los estándares de calidad</w:t>
      </w:r>
      <w:r>
        <w:rPr>
          <w:rFonts w:ascii="Open Sans" w:eastAsia="Open Sans" w:hAnsi="Open Sans" w:cs="Open Sans"/>
        </w:rPr>
        <w:t xml:space="preserve">. </w:t>
      </w:r>
    </w:p>
    <w:p w14:paraId="215E32B4"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35CBEFBE"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impacto ha sido disruptivo. Hemos logrado democratizar el acceso a la formación de alto nivel. El profesional que pasa por el Academy no solo vende inmuebles, sino que gestiona expectativas, entiende la psicología del cliente y domina la normativa legal. Fotocasa Academy Pro es el corazón de nuestro compromiso con el sector. No nos entendemos sólo como un portal de anuncios, somos un partner estratégico”, </w:t>
      </w:r>
      <w:r>
        <w:rPr>
          <w:rFonts w:ascii="Open Sans" w:eastAsia="Open Sans" w:hAnsi="Open Sans" w:cs="Open Sans"/>
          <w:b/>
          <w:bCs/>
        </w:rPr>
        <w:t>destaca Marcela González</w:t>
      </w:r>
      <w:r>
        <w:rPr>
          <w:rFonts w:ascii="Open Sans" w:eastAsia="Open Sans" w:hAnsi="Open Sans" w:cs="Open Sans"/>
        </w:rPr>
        <w:t>.</w:t>
      </w:r>
    </w:p>
    <w:p w14:paraId="6BB92962"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39757AE1" w14:textId="77777777" w:rsidR="00AC29A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Mirando al futuro: especialización, sostenibilidad e IA</w:t>
      </w:r>
    </w:p>
    <w:p w14:paraId="6AF7E154"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428C3A51" w14:textId="77777777" w:rsidR="00AC29A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 cara a los próximos años, Fotocasa Pro Academy continuará evolucionando con el objetivo de liderar la formación inmobiliaria en España, poniendo el foco en tres grandes ejes: la Inteligencia Artificial aplicada, la sostenibilidad y la especialización. </w:t>
      </w:r>
    </w:p>
    <w:p w14:paraId="0DF25D92" w14:textId="77777777" w:rsidR="00955251" w:rsidRDefault="00955251">
      <w:pPr>
        <w:pBdr>
          <w:top w:val="nil"/>
          <w:left w:val="nil"/>
          <w:bottom w:val="nil"/>
          <w:right w:val="nil"/>
          <w:between w:val="nil"/>
        </w:pBdr>
        <w:spacing w:line="276" w:lineRule="auto"/>
        <w:jc w:val="both"/>
        <w:rPr>
          <w:rFonts w:ascii="Open Sans" w:eastAsia="Open Sans" w:hAnsi="Open Sans" w:cs="Open Sans"/>
        </w:rPr>
      </w:pPr>
    </w:p>
    <w:p w14:paraId="603464C0" w14:textId="77777777" w:rsidR="00955251" w:rsidRDefault="00955251">
      <w:pPr>
        <w:pBdr>
          <w:top w:val="nil"/>
          <w:left w:val="nil"/>
          <w:bottom w:val="nil"/>
          <w:right w:val="nil"/>
          <w:between w:val="nil"/>
        </w:pBdr>
        <w:spacing w:line="276" w:lineRule="auto"/>
        <w:jc w:val="both"/>
        <w:rPr>
          <w:rFonts w:ascii="Open Sans" w:eastAsia="Open Sans" w:hAnsi="Open Sans" w:cs="Open Sans"/>
        </w:rPr>
      </w:pPr>
    </w:p>
    <w:p w14:paraId="18A6175C" w14:textId="77777777" w:rsidR="00AC29AE" w:rsidRDefault="00AC29AE">
      <w:pPr>
        <w:pBdr>
          <w:top w:val="nil"/>
          <w:left w:val="nil"/>
          <w:bottom w:val="nil"/>
          <w:right w:val="nil"/>
          <w:between w:val="nil"/>
        </w:pBdr>
        <w:spacing w:line="276" w:lineRule="auto"/>
        <w:jc w:val="both"/>
        <w:rPr>
          <w:rFonts w:ascii="Open Sans" w:eastAsia="Open Sans" w:hAnsi="Open Sans" w:cs="Open Sans"/>
        </w:rPr>
      </w:pPr>
    </w:p>
    <w:p w14:paraId="36DAE769" w14:textId="77777777" w:rsidR="00AC29AE"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“Miramos a los próximos años con la ambición de seguir liderando la vanguardia formativa. Nos gustaría que cualquier profesional que aspire a ser referente en España sienta que su formación debe llevar el sello de Fotocasa Academy Pro”, concluye la </w:t>
      </w:r>
      <w:r>
        <w:rPr>
          <w:rFonts w:ascii="Open Sans" w:eastAsia="Open Sans" w:hAnsi="Open Sans" w:cs="Open Sans"/>
          <w:b/>
          <w:bCs/>
        </w:rPr>
        <w:t xml:space="preserve">directora de Marketing B2B de </w:t>
      </w:r>
      <w:hyperlink r:id="rId14">
        <w:r w:rsidR="00AC29AE">
          <w:rPr>
            <w:rFonts w:ascii="Open Sans" w:eastAsia="Open Sans" w:hAnsi="Open Sans" w:cs="Open Sans"/>
            <w:b/>
            <w:bCs/>
            <w:color w:val="0000FF"/>
            <w:u w:val="single"/>
          </w:rPr>
          <w:t>Fotocasa</w:t>
        </w:r>
      </w:hyperlink>
      <w:r>
        <w:rPr>
          <w:rFonts w:ascii="Open Sans" w:eastAsia="Open Sans" w:hAnsi="Open Sans" w:cs="Open Sans"/>
          <w:b/>
          <w:bCs/>
        </w:rPr>
        <w:t>.</w:t>
      </w:r>
    </w:p>
    <w:p w14:paraId="06EC6976" w14:textId="77777777" w:rsidR="00AC29AE" w:rsidRDefault="00AC29AE">
      <w:pPr>
        <w:spacing w:line="276" w:lineRule="auto"/>
        <w:ind w:right="-284"/>
        <w:jc w:val="right"/>
        <w:rPr>
          <w:rFonts w:ascii="Open Sans" w:eastAsia="Open Sans" w:hAnsi="Open Sans" w:cs="Open Sans"/>
        </w:rPr>
      </w:pPr>
    </w:p>
    <w:p w14:paraId="7AD28E04" w14:textId="77777777" w:rsidR="00955251" w:rsidRDefault="00955251">
      <w:pPr>
        <w:spacing w:line="276" w:lineRule="auto"/>
        <w:ind w:right="141"/>
        <w:jc w:val="right"/>
        <w:rPr>
          <w:rFonts w:ascii="Open Sans Light" w:eastAsia="Open Sans Light" w:hAnsi="Open Sans Light" w:cs="Open Sans Light"/>
          <w:b/>
          <w:bCs/>
          <w:color w:val="303AB2"/>
        </w:rPr>
      </w:pPr>
    </w:p>
    <w:p w14:paraId="2FEA6C39" w14:textId="5509FA42" w:rsidR="00AC29AE"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6B83A44" w14:textId="44A9D7BF" w:rsidR="00AC29A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4A02E26" w14:textId="77777777" w:rsidR="00AC29A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sidR="00AC29AE">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6">
        <w:r w:rsidR="00AC29AE">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01753C7" w14:textId="77777777" w:rsidR="00AC29A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sidR="00AC29AE">
          <w:rPr>
            <w:rFonts w:ascii="Open Sans" w:eastAsia="Open Sans" w:hAnsi="Open Sans" w:cs="Open Sans"/>
            <w:b/>
            <w:bCs/>
            <w:color w:val="0000FF"/>
            <w:sz w:val="22"/>
            <w:szCs w:val="22"/>
            <w:u w:val="single"/>
          </w:rPr>
          <w:t>Sala de Prensa</w:t>
        </w:r>
      </w:hyperlink>
    </w:p>
    <w:p w14:paraId="59F5C964" w14:textId="77777777" w:rsidR="00AC29AE" w:rsidRDefault="00AC29AE">
      <w:pPr>
        <w:spacing w:line="276" w:lineRule="auto"/>
        <w:ind w:right="141"/>
        <w:rPr>
          <w:rFonts w:ascii="Open Sans Light" w:eastAsia="Open Sans Light" w:hAnsi="Open Sans Light" w:cs="Open Sans Light"/>
          <w:b/>
          <w:bCs/>
          <w:color w:val="303AB2"/>
        </w:rPr>
      </w:pPr>
    </w:p>
    <w:p w14:paraId="453BE1D6" w14:textId="77777777" w:rsidR="00AC29AE"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2553A6C9" w14:textId="77777777" w:rsidR="00AC29A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53230E8" w14:textId="77777777" w:rsidR="00AC29A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8">
        <w:r w:rsidR="00AC29AE">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r w:rsidR="00AC29AE">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0">
        <w:r w:rsidR="00AC29AE">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r w:rsidR="00AC29AE">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2">
        <w:r w:rsidR="00AC29AE">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3">
        <w:r w:rsidR="00AC29AE">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18AFD7D" w14:textId="77777777" w:rsidR="00AC29A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0C2B69A6" w14:textId="77777777" w:rsidR="00AC29AE"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7880B27C" w14:textId="77777777" w:rsidR="00AC29AE" w:rsidRDefault="00AC29AE">
      <w:pPr>
        <w:spacing w:line="276" w:lineRule="auto"/>
        <w:ind w:right="141"/>
        <w:jc w:val="both"/>
        <w:rPr>
          <w:rFonts w:ascii="Open Sans" w:eastAsia="Open Sans" w:hAnsi="Open Sans" w:cs="Open Sans"/>
          <w:sz w:val="22"/>
          <w:szCs w:val="22"/>
        </w:rPr>
      </w:pPr>
    </w:p>
    <w:p w14:paraId="7C4C2D30" w14:textId="77777777" w:rsidR="00AC29AE"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Scout24</w:t>
      </w:r>
    </w:p>
    <w:p w14:paraId="116E8B3E" w14:textId="77777777" w:rsidR="00AC29AE" w:rsidRDefault="00AC29AE">
      <w:pPr>
        <w:pBdr>
          <w:top w:val="nil"/>
          <w:left w:val="nil"/>
          <w:bottom w:val="nil"/>
          <w:right w:val="nil"/>
          <w:between w:val="nil"/>
        </w:pBdr>
        <w:spacing w:line="276" w:lineRule="auto"/>
        <w:ind w:right="141"/>
        <w:jc w:val="both"/>
        <w:rPr>
          <w:rFonts w:ascii="Open Sans" w:eastAsia="Open Sans" w:hAnsi="Open Sans" w:cs="Open Sans"/>
          <w:sz w:val="22"/>
          <w:szCs w:val="22"/>
        </w:rPr>
      </w:pPr>
    </w:p>
    <w:p w14:paraId="58E0864A" w14:textId="77777777" w:rsidR="00AC29AE"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4">
        <w:r w:rsidR="00AC29AE">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88CAAA3" w14:textId="77777777" w:rsidR="00AC29AE" w:rsidRDefault="00AC29AE">
      <w:pPr>
        <w:pBdr>
          <w:top w:val="nil"/>
          <w:left w:val="nil"/>
          <w:bottom w:val="nil"/>
          <w:right w:val="nil"/>
          <w:between w:val="nil"/>
        </w:pBdr>
        <w:spacing w:line="276" w:lineRule="auto"/>
        <w:ind w:right="141"/>
        <w:jc w:val="both"/>
        <w:rPr>
          <w:rFonts w:ascii="Open Sans" w:eastAsia="Open Sans" w:hAnsi="Open Sans" w:cs="Open Sans"/>
          <w:sz w:val="22"/>
          <w:szCs w:val="22"/>
        </w:rPr>
      </w:pPr>
    </w:p>
    <w:p w14:paraId="077AFC52" w14:textId="77777777" w:rsidR="00AC29AE"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42E85BF" w14:textId="77777777" w:rsidR="00AC29AE" w:rsidRDefault="00AC29AE">
      <w:pPr>
        <w:spacing w:line="276" w:lineRule="auto"/>
        <w:ind w:right="141"/>
        <w:rPr>
          <w:rFonts w:ascii="Open Sans" w:eastAsia="Open Sans" w:hAnsi="Open Sans" w:cs="Open Sans"/>
        </w:rPr>
      </w:pPr>
    </w:p>
    <w:p w14:paraId="57CDAD74" w14:textId="77777777" w:rsidR="00AC29AE" w:rsidRDefault="00AC29AE">
      <w:pPr>
        <w:spacing w:line="276" w:lineRule="auto"/>
        <w:ind w:right="141"/>
        <w:rPr>
          <w:rFonts w:ascii="Open Sans Light" w:eastAsia="Open Sans Light" w:hAnsi="Open Sans Light" w:cs="Open Sans Light"/>
          <w:b/>
          <w:bCs/>
          <w:color w:val="303AB2"/>
          <w:sz w:val="22"/>
          <w:szCs w:val="22"/>
        </w:rPr>
      </w:pPr>
    </w:p>
    <w:p w14:paraId="08841668" w14:textId="77777777" w:rsidR="00AC29AE"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4E5C5066" w14:textId="77777777" w:rsidR="00AC29AE"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68530DF" w14:textId="77777777" w:rsidR="00AC29AE" w:rsidRDefault="00AC29AE">
      <w:pPr>
        <w:shd w:val="clear" w:color="auto" w:fill="FFFFFF"/>
        <w:spacing w:line="276" w:lineRule="auto"/>
        <w:ind w:right="141"/>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7EB0B05A" w14:textId="77777777" w:rsidR="00AC29AE"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B6A68A0" w14:textId="77777777" w:rsidR="00AC29AE" w:rsidRDefault="00AC29AE">
      <w:pPr>
        <w:spacing w:line="276" w:lineRule="auto"/>
        <w:jc w:val="right"/>
        <w:rPr>
          <w:rFonts w:ascii="Open Sans" w:eastAsia="Open Sans" w:hAnsi="Open Sans" w:cs="Open Sans"/>
          <w:color w:val="000000"/>
          <w:sz w:val="22"/>
          <w:szCs w:val="22"/>
        </w:rPr>
      </w:pPr>
    </w:p>
    <w:sectPr w:rsidR="00AC29AE">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7426D" w14:textId="77777777" w:rsidR="00EC43BE" w:rsidRDefault="00EC43BE">
      <w:r>
        <w:separator/>
      </w:r>
    </w:p>
  </w:endnote>
  <w:endnote w:type="continuationSeparator" w:id="0">
    <w:p w14:paraId="128FDDCB" w14:textId="77777777" w:rsidR="00EC43BE" w:rsidRDefault="00EC4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2F69099-ACF1-47AA-9ED4-C26261C698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BCC321F-EC38-429F-8763-C74F38D2B300}"/>
    <w:embedBold r:id="rId3" w:fontKey="{5FD6C368-4541-4961-84BF-8D6BE046F6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BBFC1C1-E27B-49CF-9F81-5796D8435D4C}"/>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D780EF7B-B5BC-4E36-A773-754F584417D4}"/>
  </w:font>
  <w:font w:name="Open Sans">
    <w:charset w:val="00"/>
    <w:family w:val="swiss"/>
    <w:pitch w:val="variable"/>
    <w:sig w:usb0="E00002EF" w:usb1="4000205B" w:usb2="00000028" w:usb3="00000000" w:csb0="0000019F" w:csb1="00000000"/>
    <w:embedRegular r:id="rId6" w:fontKey="{EF62C3A2-4227-4E82-AEE1-C2D519A6A796}"/>
    <w:embedBold r:id="rId7" w:fontKey="{6E85D312-BD1A-4279-AA0A-5573E2225539}"/>
  </w:font>
  <w:font w:name="Cambria">
    <w:panose1 w:val="02040503050406030204"/>
    <w:charset w:val="00"/>
    <w:family w:val="roman"/>
    <w:pitch w:val="variable"/>
    <w:sig w:usb0="E00006FF" w:usb1="420024FF" w:usb2="02000000" w:usb3="00000000" w:csb0="0000019F" w:csb1="00000000"/>
    <w:embedRegular r:id="rId8" w:fontKey="{6FBE7563-B573-41C4-B55C-67ACD9A0F6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AEFEE" w14:textId="77777777" w:rsidR="00AC29A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52FFFB6" wp14:editId="1D71A271">
          <wp:simplePos x="0" y="0"/>
          <wp:positionH relativeFrom="column">
            <wp:posOffset>-1068040</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AFC57" w14:textId="77777777" w:rsidR="00EC43BE" w:rsidRDefault="00EC43BE">
      <w:r>
        <w:separator/>
      </w:r>
    </w:p>
  </w:footnote>
  <w:footnote w:type="continuationSeparator" w:id="0">
    <w:p w14:paraId="65D79B65" w14:textId="77777777" w:rsidR="00EC43BE" w:rsidRDefault="00EC43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C01DF"/>
    <w:multiLevelType w:val="multilevel"/>
    <w:tmpl w:val="858EF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2479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9AE"/>
    <w:rsid w:val="0015680C"/>
    <w:rsid w:val="001F2077"/>
    <w:rsid w:val="003350A9"/>
    <w:rsid w:val="00395186"/>
    <w:rsid w:val="006705EE"/>
    <w:rsid w:val="00955251"/>
    <w:rsid w:val="00966E49"/>
    <w:rsid w:val="009917A0"/>
    <w:rsid w:val="00AC29AE"/>
    <w:rsid w:val="00B36C62"/>
    <w:rsid w:val="00E37185"/>
    <w:rsid w:val="00E4194E"/>
    <w:rsid w:val="00EC43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FBB1"/>
  <w15:docId w15:val="{5CE1A67C-9D6B-4F4C-AF60-3B88C2F0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1F2077"/>
    <w:rPr>
      <w:color w:val="0000FF" w:themeColor="hyperlink"/>
      <w:u w:val="single"/>
    </w:rPr>
  </w:style>
  <w:style w:type="character" w:styleId="Mencinsinresolver">
    <w:name w:val="Unresolved Mention"/>
    <w:basedOn w:val="Fuentedeprrafopredeter"/>
    <w:uiPriority w:val="99"/>
    <w:semiHidden/>
    <w:unhideWhenUsed/>
    <w:rsid w:val="001F2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fotocasa.es/academy-day/" TargetMode="External"/><Relationship Id="rId18" Type="http://schemas.openxmlformats.org/officeDocument/2006/relationships/hyperlink" Target="https://www.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https://www.immobilienscout24.de/"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theme" Target="theme/theme1.xml"/><Relationship Id="rId10" Type="http://schemas.openxmlformats.org/officeDocument/2006/relationships/hyperlink" Target="https://cursosonline.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cursosonline.fotocasa.es/" TargetMode="External"/><Relationship Id="rId14" Type="http://schemas.openxmlformats.org/officeDocument/2006/relationships/hyperlink" Target="http://www.fotocasa.es" TargetMode="External"/><Relationship Id="rId22" Type="http://schemas.openxmlformats.org/officeDocument/2006/relationships/hyperlink" Target="https://get.witei.com/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ZtBhEA8x9hqfXwgT00hOGY3LVA==">CgMxLjA4AHIhMTljWXI2UldWQ3F3eUQydDdjR1kzOXE0OTJJLWlOSjhn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1799</Words>
  <Characters>9895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7</cp:revision>
  <dcterms:created xsi:type="dcterms:W3CDTF">2026-05-06T07:42:00Z</dcterms:created>
  <dcterms:modified xsi:type="dcterms:W3CDTF">2026-05-11T11:07:00Z</dcterms:modified>
</cp:coreProperties>
</file>