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0566C" w14:textId="77777777" w:rsidR="009F7F41" w:rsidRDefault="002A7B37">
      <w:r>
        <w:rPr>
          <w:noProof/>
        </w:rPr>
        <w:drawing>
          <wp:anchor distT="0" distB="0" distL="114300" distR="114300" simplePos="0" relativeHeight="251658240" behindDoc="0" locked="0" layoutInCell="1" hidden="0" allowOverlap="1" wp14:anchorId="67F24E16" wp14:editId="55AA80ED">
            <wp:simplePos x="0" y="0"/>
            <wp:positionH relativeFrom="column">
              <wp:posOffset>-1080117</wp:posOffset>
            </wp:positionH>
            <wp:positionV relativeFrom="paragraph">
              <wp:posOffset>-654666</wp:posOffset>
            </wp:positionV>
            <wp:extent cx="7581265" cy="1019175"/>
            <wp:effectExtent l="0" t="0" r="0" b="0"/>
            <wp:wrapNone/>
            <wp:docPr id="20668166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E407740" w14:textId="77777777" w:rsidR="009F7F41" w:rsidRDefault="009F7F41">
      <w:pPr>
        <w:jc w:val="right"/>
        <w:rPr>
          <w:rFonts w:ascii="National" w:eastAsia="National" w:hAnsi="National" w:cs="National"/>
          <w:color w:val="303AB2"/>
          <w:sz w:val="36"/>
          <w:szCs w:val="36"/>
        </w:rPr>
      </w:pPr>
    </w:p>
    <w:p w14:paraId="3A2BC291" w14:textId="77777777" w:rsidR="009F7F41" w:rsidRDefault="009F7F41">
      <w:pPr>
        <w:rPr>
          <w:rFonts w:ascii="National" w:eastAsia="National" w:hAnsi="National" w:cs="National"/>
          <w:color w:val="303AB2"/>
          <w:sz w:val="18"/>
          <w:szCs w:val="18"/>
        </w:rPr>
      </w:pPr>
    </w:p>
    <w:p w14:paraId="04136FB0" w14:textId="124909C7" w:rsidR="00A90A29" w:rsidRPr="00EC06B7" w:rsidRDefault="00557613" w:rsidP="00E272C5">
      <w:pPr>
        <w:pStyle w:val="Prrafodelista"/>
        <w:pBdr>
          <w:top w:val="nil"/>
          <w:left w:val="nil"/>
          <w:bottom w:val="nil"/>
          <w:right w:val="nil"/>
          <w:between w:val="nil"/>
        </w:pBdr>
        <w:spacing w:line="276" w:lineRule="auto"/>
        <w:ind w:left="0"/>
        <w:jc w:val="center"/>
        <w:rPr>
          <w:rFonts w:ascii="National" w:eastAsia="National" w:hAnsi="National" w:cs="National"/>
          <w:b/>
          <w:color w:val="1DBDC5"/>
          <w:sz w:val="32"/>
          <w:szCs w:val="32"/>
        </w:rPr>
      </w:pPr>
      <w:r>
        <w:rPr>
          <w:rFonts w:ascii="National" w:eastAsia="National" w:hAnsi="National" w:cs="National"/>
          <w:b/>
          <w:color w:val="1DBDC5"/>
          <w:sz w:val="34"/>
          <w:szCs w:val="34"/>
        </w:rPr>
        <w:t xml:space="preserve">CONOCIMIENTO E INNOVACIÓN EN EL MERCADO </w:t>
      </w:r>
      <w:r w:rsidRPr="00EC06B7">
        <w:rPr>
          <w:rFonts w:ascii="National" w:eastAsia="National" w:hAnsi="National" w:cs="National"/>
          <w:b/>
          <w:color w:val="1DBDC5"/>
          <w:sz w:val="32"/>
          <w:szCs w:val="32"/>
        </w:rPr>
        <w:t>INMOBILIARIO</w:t>
      </w:r>
    </w:p>
    <w:p w14:paraId="0781DDFF" w14:textId="2975BC26" w:rsidR="000E24DF" w:rsidRPr="00EC06B7" w:rsidRDefault="000E24DF" w:rsidP="002A148D">
      <w:pPr>
        <w:pBdr>
          <w:top w:val="nil"/>
          <w:left w:val="nil"/>
          <w:bottom w:val="nil"/>
          <w:right w:val="nil"/>
          <w:between w:val="nil"/>
        </w:pBdr>
        <w:spacing w:line="276" w:lineRule="auto"/>
        <w:jc w:val="center"/>
        <w:rPr>
          <w:rFonts w:ascii="Open Sans Light" w:eastAsia="Open Sans Light" w:hAnsi="Open Sans Light" w:cs="Open Sans Light"/>
          <w:b/>
          <w:bCs/>
          <w:color w:val="303AB2"/>
          <w:sz w:val="22"/>
          <w:szCs w:val="22"/>
        </w:rPr>
      </w:pPr>
      <w:r w:rsidRPr="00EC06B7">
        <w:rPr>
          <w:rFonts w:ascii="National" w:eastAsia="National" w:hAnsi="National" w:cs="National"/>
          <w:b/>
          <w:bCs/>
          <w:color w:val="303AB2"/>
          <w:sz w:val="44"/>
          <w:szCs w:val="44"/>
        </w:rPr>
        <w:t>Fotocasa incorpora el precio de cierre de compraventa del Consejo General del Notariado</w:t>
      </w:r>
      <w:r w:rsidR="00EC06B7">
        <w:rPr>
          <w:rFonts w:ascii="National" w:eastAsia="National" w:hAnsi="National" w:cs="National"/>
          <w:b/>
          <w:bCs/>
          <w:color w:val="303AB2"/>
          <w:sz w:val="44"/>
          <w:szCs w:val="44"/>
        </w:rPr>
        <w:t xml:space="preserve"> en su herramienta de Big Data </w:t>
      </w:r>
      <w:r w:rsidR="00EC06B7" w:rsidRPr="00540695">
        <w:rPr>
          <w:rFonts w:ascii="National" w:eastAsia="National" w:hAnsi="National" w:cs="National"/>
          <w:b/>
          <w:bCs/>
          <w:i/>
          <w:iCs/>
          <w:color w:val="303AB2"/>
          <w:sz w:val="44"/>
          <w:szCs w:val="44"/>
        </w:rPr>
        <w:t>DataVenues</w:t>
      </w:r>
    </w:p>
    <w:p w14:paraId="2AC8401E" w14:textId="77777777" w:rsidR="00EC06B7" w:rsidRDefault="00EC06B7" w:rsidP="00EC06B7">
      <w:pPr>
        <w:pStyle w:val="Prrafodelista"/>
        <w:pBdr>
          <w:top w:val="nil"/>
          <w:left w:val="nil"/>
          <w:bottom w:val="nil"/>
          <w:right w:val="nil"/>
          <w:between w:val="nil"/>
        </w:pBdr>
        <w:spacing w:line="276" w:lineRule="auto"/>
        <w:ind w:left="1080"/>
        <w:jc w:val="both"/>
        <w:rPr>
          <w:rFonts w:ascii="Open Sans Light" w:eastAsia="Open Sans Light" w:hAnsi="Open Sans Light" w:cs="Open Sans Light"/>
          <w:b/>
          <w:bCs/>
          <w:color w:val="303AB2"/>
        </w:rPr>
      </w:pPr>
    </w:p>
    <w:p w14:paraId="3CB07353" w14:textId="0A2AE60D" w:rsidR="00580798" w:rsidRPr="00580798" w:rsidRDefault="00580798" w:rsidP="00580798">
      <w:pPr>
        <w:pStyle w:val="Prrafodelista"/>
        <w:numPr>
          <w:ilvl w:val="0"/>
          <w:numId w:val="13"/>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580798">
        <w:rPr>
          <w:rFonts w:ascii="Open Sans Light" w:eastAsia="Open Sans Light" w:hAnsi="Open Sans Light" w:cs="Open Sans Light"/>
          <w:b/>
          <w:bCs/>
          <w:color w:val="303AB2"/>
        </w:rPr>
        <w:t>La herramienta de Big Data inmobiliario de Fotocasa Pro añade información basada en operaciones formalizadas ante notario</w:t>
      </w:r>
    </w:p>
    <w:p w14:paraId="5844FDF5" w14:textId="77777777" w:rsidR="00580798" w:rsidRPr="00580798" w:rsidRDefault="00580798" w:rsidP="00580798">
      <w:pPr>
        <w:pStyle w:val="Prrafodelista"/>
        <w:numPr>
          <w:ilvl w:val="0"/>
          <w:numId w:val="13"/>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580798">
        <w:rPr>
          <w:rFonts w:ascii="Open Sans Light" w:eastAsia="Open Sans Light" w:hAnsi="Open Sans Light" w:cs="Open Sans Light"/>
          <w:b/>
          <w:bCs/>
          <w:color w:val="303AB2"/>
        </w:rPr>
        <w:t>Los profesionales podrán acceder a datos estadísticos como el precio de cierre, la fecha de la operación, la superficie del inmueble y el precio por metro cuadrado</w:t>
      </w:r>
    </w:p>
    <w:p w14:paraId="31D9F02B" w14:textId="69CF92CB" w:rsidR="00580798" w:rsidRPr="00F54EBD" w:rsidRDefault="00580798" w:rsidP="00580798">
      <w:pPr>
        <w:pStyle w:val="Prrafodelista"/>
        <w:numPr>
          <w:ilvl w:val="0"/>
          <w:numId w:val="13"/>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sidRPr="00580798">
        <w:rPr>
          <w:rFonts w:ascii="Open Sans Light" w:eastAsia="Open Sans Light" w:hAnsi="Open Sans Light" w:cs="Open Sans Light"/>
          <w:b/>
          <w:bCs/>
          <w:color w:val="303AB2"/>
        </w:rPr>
        <w:t>La integración permitirá mejorar las valoraciones, afinar el análisis de mercado y reforzar la toma de decisiones con referencias reales de compraventa</w:t>
      </w:r>
    </w:p>
    <w:p w14:paraId="5C9C2F09" w14:textId="77777777" w:rsidR="00F54EBD" w:rsidRDefault="00F54EBD" w:rsidP="00F54EBD">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13595C1D" w14:textId="01C8A9E8" w:rsidR="009F7F41" w:rsidRDefault="002A7B37">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 xml:space="preserve">Madrid, </w:t>
      </w:r>
      <w:r w:rsidR="00EC06B7">
        <w:rPr>
          <w:rFonts w:ascii="Open Sans Light" w:eastAsia="Open Sans Light" w:hAnsi="Open Sans Light" w:cs="Open Sans Light"/>
          <w:b/>
          <w:bCs/>
          <w:color w:val="303AB2"/>
        </w:rPr>
        <w:t>29</w:t>
      </w:r>
      <w:r>
        <w:rPr>
          <w:rFonts w:ascii="Open Sans Light" w:eastAsia="Open Sans Light" w:hAnsi="Open Sans Light" w:cs="Open Sans Light"/>
          <w:b/>
          <w:bCs/>
          <w:color w:val="303AB2"/>
        </w:rPr>
        <w:t xml:space="preserve"> de </w:t>
      </w:r>
      <w:r w:rsidR="00990C6A">
        <w:rPr>
          <w:rFonts w:ascii="Open Sans Light" w:eastAsia="Open Sans Light" w:hAnsi="Open Sans Light" w:cs="Open Sans Light"/>
          <w:b/>
          <w:bCs/>
          <w:color w:val="303AB2"/>
        </w:rPr>
        <w:t>mayo</w:t>
      </w:r>
      <w:r>
        <w:rPr>
          <w:rFonts w:ascii="Open Sans Light" w:eastAsia="Open Sans Light" w:hAnsi="Open Sans Light" w:cs="Open Sans Light"/>
          <w:b/>
          <w:bCs/>
          <w:color w:val="303AB2"/>
        </w:rPr>
        <w:t xml:space="preserve"> de 2026</w:t>
      </w:r>
      <w:r>
        <w:rPr>
          <w:rFonts w:ascii="Open Sans Light" w:eastAsia="Open Sans Light" w:hAnsi="Open Sans Light" w:cs="Open Sans Light"/>
          <w:b/>
          <w:bCs/>
          <w:color w:val="303AB2"/>
        </w:rPr>
        <w:tab/>
      </w:r>
    </w:p>
    <w:p w14:paraId="662F6FFE" w14:textId="77777777" w:rsidR="009F7F41" w:rsidRDefault="009F7F41">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3DAD2DAA" w14:textId="66477FEF" w:rsidR="00ED1613" w:rsidRPr="006E3AC8" w:rsidRDefault="004E20B8" w:rsidP="00ED1613">
      <w:pPr>
        <w:pBdr>
          <w:top w:val="nil"/>
          <w:left w:val="nil"/>
          <w:bottom w:val="nil"/>
          <w:right w:val="nil"/>
          <w:between w:val="nil"/>
        </w:pBdr>
        <w:spacing w:line="276" w:lineRule="auto"/>
        <w:jc w:val="both"/>
        <w:rPr>
          <w:rFonts w:ascii="Open Sans" w:eastAsia="Open Sans" w:hAnsi="Open Sans" w:cs="Open Sans"/>
        </w:rPr>
      </w:pPr>
      <w:hyperlink r:id="rId9" w:history="1">
        <w:r w:rsidRPr="00EC06B7">
          <w:rPr>
            <w:rStyle w:val="Hipervnculo"/>
            <w:rFonts w:ascii="Open Sans" w:eastAsia="Open Sans" w:hAnsi="Open Sans" w:cs="Open Sans"/>
          </w:rPr>
          <w:t>DataVenues</w:t>
        </w:r>
      </w:hyperlink>
      <w:r w:rsidRPr="006E3AC8">
        <w:rPr>
          <w:rFonts w:ascii="Open Sans" w:eastAsia="Open Sans" w:hAnsi="Open Sans" w:cs="Open Sans"/>
        </w:rPr>
        <w:t xml:space="preserve">, la herramienta de Big Data inmobiliario de </w:t>
      </w:r>
      <w:hyperlink r:id="rId10" w:history="1">
        <w:r w:rsidRPr="002047BD">
          <w:rPr>
            <w:rStyle w:val="Hipervnculo"/>
            <w:rFonts w:ascii="Open Sans" w:eastAsia="Open Sans" w:hAnsi="Open Sans" w:cs="Open Sans"/>
          </w:rPr>
          <w:t>Fotocasa Pro</w:t>
        </w:r>
      </w:hyperlink>
      <w:r w:rsidRPr="006E3AC8">
        <w:rPr>
          <w:rFonts w:ascii="Open Sans" w:eastAsia="Open Sans" w:hAnsi="Open Sans" w:cs="Open Sans"/>
        </w:rPr>
        <w:t xml:space="preserve">, incorporará a sus soluciones de análisis </w:t>
      </w:r>
      <w:r w:rsidR="000B26E4">
        <w:rPr>
          <w:rFonts w:ascii="Open Sans" w:eastAsia="Open Sans" w:hAnsi="Open Sans" w:cs="Open Sans"/>
        </w:rPr>
        <w:t xml:space="preserve">una nueva </w:t>
      </w:r>
      <w:r w:rsidRPr="006E3AC8">
        <w:rPr>
          <w:rFonts w:ascii="Open Sans" w:eastAsia="Open Sans" w:hAnsi="Open Sans" w:cs="Open Sans"/>
        </w:rPr>
        <w:t xml:space="preserve">información estadística procedente de las compraventas de viviendas formalizadas ante notario, a través de los datos del Consejo General del Notariado. Con esta integración, </w:t>
      </w:r>
      <w:r w:rsidRPr="00F50DE4">
        <w:rPr>
          <w:rFonts w:ascii="Open Sans" w:eastAsia="Open Sans" w:hAnsi="Open Sans" w:cs="Open Sans"/>
          <w:b/>
          <w:bCs/>
        </w:rPr>
        <w:t xml:space="preserve">los profesionales inmobiliarios podrán acceder dentro de la plataforma a una nueva capa de </w:t>
      </w:r>
      <w:r w:rsidR="000B26E4" w:rsidRPr="00F50DE4">
        <w:rPr>
          <w:rFonts w:ascii="Open Sans" w:eastAsia="Open Sans" w:hAnsi="Open Sans" w:cs="Open Sans"/>
          <w:b/>
          <w:bCs/>
        </w:rPr>
        <w:t>datos</w:t>
      </w:r>
      <w:r w:rsidRPr="00F50DE4">
        <w:rPr>
          <w:rFonts w:ascii="Open Sans" w:eastAsia="Open Sans" w:hAnsi="Open Sans" w:cs="Open Sans"/>
          <w:b/>
          <w:bCs/>
        </w:rPr>
        <w:t xml:space="preserve"> basada en operaciones reales de compraventa, reforzando así la capacidad de análisis y valoración del mercado</w:t>
      </w:r>
      <w:r w:rsidR="00F50DE4">
        <w:rPr>
          <w:rFonts w:ascii="Open Sans" w:eastAsia="Open Sans" w:hAnsi="Open Sans" w:cs="Open Sans"/>
          <w:b/>
          <w:bCs/>
        </w:rPr>
        <w:t xml:space="preserve"> que ofrece Fotocasa</w:t>
      </w:r>
      <w:r w:rsidRPr="006E3AC8">
        <w:rPr>
          <w:rFonts w:ascii="Open Sans" w:eastAsia="Open Sans" w:hAnsi="Open Sans" w:cs="Open Sans"/>
        </w:rPr>
        <w:t>.</w:t>
      </w:r>
      <w:r w:rsidR="00ED1613">
        <w:rPr>
          <w:rFonts w:ascii="Open Sans" w:eastAsia="Open Sans" w:hAnsi="Open Sans" w:cs="Open Sans"/>
        </w:rPr>
        <w:t xml:space="preserve"> </w:t>
      </w:r>
      <w:r w:rsidR="00ED1613" w:rsidRPr="006E3AC8">
        <w:rPr>
          <w:rFonts w:ascii="Open Sans" w:eastAsia="Open Sans" w:hAnsi="Open Sans" w:cs="Open Sans"/>
        </w:rPr>
        <w:t>Entre los nuevos datos disponibles se incluirán referencias como el precio de cierre de la operación, la fecha de compraventa, la superficie del inmueble y el precio por metro cuadrado. Esta información permitirá a agencias, promotores, consultores, entidades financieras y otros profesionales del sector disponer de una visión más precisa y completa de cada zona y del comportamiento real del mercado inmobiliario.</w:t>
      </w:r>
    </w:p>
    <w:p w14:paraId="4340E497" w14:textId="37BDB79D" w:rsidR="004E20B8" w:rsidRDefault="004E20B8" w:rsidP="004E20B8">
      <w:pPr>
        <w:pBdr>
          <w:top w:val="nil"/>
          <w:left w:val="nil"/>
          <w:bottom w:val="nil"/>
          <w:right w:val="nil"/>
          <w:between w:val="nil"/>
        </w:pBdr>
        <w:spacing w:line="276" w:lineRule="auto"/>
        <w:jc w:val="both"/>
        <w:rPr>
          <w:rFonts w:ascii="Open Sans" w:eastAsia="Open Sans" w:hAnsi="Open Sans" w:cs="Open Sans"/>
        </w:rPr>
      </w:pPr>
    </w:p>
    <w:p w14:paraId="11B2CDDB" w14:textId="77777777" w:rsidR="00EC06B7" w:rsidRPr="006E3AC8" w:rsidRDefault="00EC06B7" w:rsidP="004E20B8">
      <w:pPr>
        <w:pBdr>
          <w:top w:val="nil"/>
          <w:left w:val="nil"/>
          <w:bottom w:val="nil"/>
          <w:right w:val="nil"/>
          <w:between w:val="nil"/>
        </w:pBdr>
        <w:spacing w:line="276" w:lineRule="auto"/>
        <w:jc w:val="both"/>
        <w:rPr>
          <w:rFonts w:ascii="Open Sans" w:eastAsia="Open Sans" w:hAnsi="Open Sans" w:cs="Open Sans"/>
        </w:rPr>
      </w:pPr>
    </w:p>
    <w:p w14:paraId="5D714AAC" w14:textId="2FD57C7D" w:rsidR="0072008F" w:rsidRDefault="0072008F" w:rsidP="0072008F">
      <w:pPr>
        <w:pBdr>
          <w:top w:val="nil"/>
          <w:left w:val="nil"/>
          <w:bottom w:val="nil"/>
          <w:right w:val="nil"/>
          <w:between w:val="nil"/>
        </w:pBdr>
        <w:spacing w:line="276" w:lineRule="auto"/>
        <w:jc w:val="both"/>
        <w:rPr>
          <w:rFonts w:ascii="Open Sans" w:eastAsia="Open Sans" w:hAnsi="Open Sans" w:cs="Open Sans"/>
          <w:b/>
          <w:bCs/>
        </w:rPr>
      </w:pPr>
      <w:r w:rsidRPr="00111647">
        <w:rPr>
          <w:rFonts w:ascii="Open Sans" w:eastAsia="Open Sans" w:hAnsi="Open Sans" w:cs="Open Sans"/>
          <w:lang w:val="es-ES"/>
        </w:rPr>
        <w:lastRenderedPageBreak/>
        <w:t>"</w:t>
      </w:r>
      <w:r w:rsidR="00D55F58" w:rsidRPr="00D55F58">
        <w:rPr>
          <w:rFonts w:ascii="Open Sans" w:eastAsia="Open Sans" w:hAnsi="Open Sans" w:cs="Open Sans"/>
        </w:rPr>
        <w:t>En un mercado cada vez más profesionalizado, contar con información basada en operaciones reales es clave para mejorar el análisis y la toma de decisiones. La incorporación de los datos del Consejo General del Notariado permite ofrecer una visión más precisa y transparente del mercado. Conocer el precio efectivo de cierre permite ajustar valoraciones con mayor precisión y aportar más valor en captación, análisis de mercado y asesoramiento a compradores y vendedores. Con esta integración, DataVenues refuerza su posicionamiento como una herramienta avanzada de Big Data inmobiliario, ayudando a los profesionales a tomar decisiones con una base de información más completa y rigurosa</w:t>
      </w:r>
      <w:r w:rsidRPr="00865BA9">
        <w:rPr>
          <w:rFonts w:ascii="Open Sans" w:eastAsia="Open Sans" w:hAnsi="Open Sans" w:cs="Open Sans"/>
        </w:rPr>
        <w:t>"</w:t>
      </w:r>
      <w:r>
        <w:rPr>
          <w:rFonts w:ascii="Open Sans" w:eastAsia="Open Sans" w:hAnsi="Open Sans" w:cs="Open Sans"/>
        </w:rPr>
        <w:t xml:space="preserve">, </w:t>
      </w:r>
      <w:r w:rsidR="00540695">
        <w:rPr>
          <w:rFonts w:ascii="Open Sans" w:eastAsia="Open Sans" w:hAnsi="Open Sans" w:cs="Open Sans"/>
          <w:b/>
          <w:bCs/>
        </w:rPr>
        <w:t>María Matos, directora de Estudios</w:t>
      </w:r>
      <w:r w:rsidRPr="00540695">
        <w:rPr>
          <w:rFonts w:ascii="Open Sans" w:eastAsia="Open Sans" w:hAnsi="Open Sans" w:cs="Open Sans"/>
          <w:b/>
          <w:bCs/>
        </w:rPr>
        <w:t xml:space="preserve"> de </w:t>
      </w:r>
      <w:hyperlink r:id="rId11" w:history="1">
        <w:r w:rsidRPr="00540695">
          <w:rPr>
            <w:rStyle w:val="Hipervnculo"/>
            <w:rFonts w:ascii="Open Sans" w:eastAsia="Open Sans" w:hAnsi="Open Sans" w:cs="Open Sans"/>
            <w:b/>
            <w:bCs/>
          </w:rPr>
          <w:t>Fotocasa</w:t>
        </w:r>
      </w:hyperlink>
      <w:r w:rsidRPr="00540695">
        <w:rPr>
          <w:rFonts w:ascii="Open Sans" w:eastAsia="Open Sans" w:hAnsi="Open Sans" w:cs="Open Sans"/>
          <w:b/>
          <w:bCs/>
        </w:rPr>
        <w:t>.</w:t>
      </w:r>
    </w:p>
    <w:p w14:paraId="668F74D8" w14:textId="77777777" w:rsidR="006E3AC8" w:rsidRDefault="006E3AC8" w:rsidP="0072008F">
      <w:pPr>
        <w:pBdr>
          <w:top w:val="nil"/>
          <w:left w:val="nil"/>
          <w:bottom w:val="nil"/>
          <w:right w:val="nil"/>
          <w:between w:val="nil"/>
        </w:pBdr>
        <w:spacing w:line="276" w:lineRule="auto"/>
        <w:jc w:val="both"/>
        <w:rPr>
          <w:rFonts w:ascii="Open Sans" w:eastAsia="Open Sans" w:hAnsi="Open Sans" w:cs="Open Sans"/>
          <w:b/>
          <w:bCs/>
        </w:rPr>
      </w:pPr>
    </w:p>
    <w:p w14:paraId="0891EB78" w14:textId="5F8F75E3" w:rsidR="006E3AC8" w:rsidRPr="006E3AC8" w:rsidRDefault="006E3AC8" w:rsidP="006E3AC8">
      <w:pPr>
        <w:pBdr>
          <w:top w:val="nil"/>
          <w:left w:val="nil"/>
          <w:bottom w:val="nil"/>
          <w:right w:val="nil"/>
          <w:between w:val="nil"/>
        </w:pBdr>
        <w:spacing w:line="276" w:lineRule="auto"/>
        <w:jc w:val="both"/>
        <w:rPr>
          <w:rFonts w:ascii="Open Sans" w:eastAsia="Open Sans" w:hAnsi="Open Sans" w:cs="Open Sans"/>
        </w:rPr>
      </w:pPr>
      <w:r w:rsidRPr="006E3AC8">
        <w:rPr>
          <w:rFonts w:ascii="Open Sans" w:eastAsia="Open Sans" w:hAnsi="Open Sans" w:cs="Open Sans"/>
        </w:rPr>
        <w:t xml:space="preserve">La incorporación de esta información supone un avance relevante en el análisis de mercado, ya que </w:t>
      </w:r>
      <w:r w:rsidRPr="00AF3783">
        <w:rPr>
          <w:rFonts w:ascii="Open Sans" w:eastAsia="Open Sans" w:hAnsi="Open Sans" w:cs="Open Sans"/>
          <w:b/>
          <w:bCs/>
        </w:rPr>
        <w:t xml:space="preserve">permitirá complementar los datos procedentes de portales inmobiliarios </w:t>
      </w:r>
      <w:r w:rsidR="00454789" w:rsidRPr="00AF3783">
        <w:rPr>
          <w:rFonts w:ascii="Open Sans" w:eastAsia="Open Sans" w:hAnsi="Open Sans" w:cs="Open Sans"/>
          <w:b/>
          <w:bCs/>
        </w:rPr>
        <w:t>como</w:t>
      </w:r>
      <w:r w:rsidRPr="00AF3783">
        <w:rPr>
          <w:rFonts w:ascii="Open Sans" w:eastAsia="Open Sans" w:hAnsi="Open Sans" w:cs="Open Sans"/>
          <w:b/>
          <w:bCs/>
        </w:rPr>
        <w:t xml:space="preserve"> Fotocasa</w:t>
      </w:r>
      <w:r w:rsidR="00454789" w:rsidRPr="00AF3783">
        <w:rPr>
          <w:rFonts w:ascii="Open Sans" w:eastAsia="Open Sans" w:hAnsi="Open Sans" w:cs="Open Sans"/>
          <w:b/>
          <w:bCs/>
        </w:rPr>
        <w:t xml:space="preserve"> con</w:t>
      </w:r>
      <w:r w:rsidRPr="00AF3783">
        <w:rPr>
          <w:rFonts w:ascii="Open Sans" w:eastAsia="Open Sans" w:hAnsi="Open Sans" w:cs="Open Sans"/>
          <w:b/>
          <w:bCs/>
        </w:rPr>
        <w:t xml:space="preserve"> fuentes oficiales y estadísticas del sector con referencias basadas en operaciones escrituradas ante notario</w:t>
      </w:r>
      <w:r w:rsidRPr="006E3AC8">
        <w:rPr>
          <w:rFonts w:ascii="Open Sans" w:eastAsia="Open Sans" w:hAnsi="Open Sans" w:cs="Open Sans"/>
        </w:rPr>
        <w:t>. De este modo, DataVenues consolida un ecosistema de información más robusto y completo para el profesional inmobiliario.</w:t>
      </w:r>
      <w:r w:rsidR="00AF3783">
        <w:rPr>
          <w:rFonts w:ascii="Open Sans" w:eastAsia="Open Sans" w:hAnsi="Open Sans" w:cs="Open Sans"/>
        </w:rPr>
        <w:t xml:space="preserve"> </w:t>
      </w:r>
      <w:r w:rsidRPr="006E3AC8">
        <w:rPr>
          <w:rFonts w:ascii="Open Sans" w:eastAsia="Open Sans" w:hAnsi="Open Sans" w:cs="Open Sans"/>
        </w:rPr>
        <w:t>Hasta ahora, gran parte de las valoraciones inmobiliarias se apoyaban principalmente en precios de oferta, la evolución del mercado y el comportamiento de la demanda. Sin embargo, el precio anunciado y el precio final de compraventa no siempre coinciden. Gracias a esta nueva integración, los profesionales podrán contrastar las expectativas de mercado con información estadística procedente de operaciones reales cerradas ante notario.</w:t>
      </w:r>
    </w:p>
    <w:p w14:paraId="61031E8D" w14:textId="77777777" w:rsidR="006E3AC8" w:rsidRPr="006E3AC8" w:rsidRDefault="006E3AC8" w:rsidP="006E3AC8">
      <w:pPr>
        <w:pBdr>
          <w:top w:val="nil"/>
          <w:left w:val="nil"/>
          <w:bottom w:val="nil"/>
          <w:right w:val="nil"/>
          <w:between w:val="nil"/>
        </w:pBdr>
        <w:spacing w:line="276" w:lineRule="auto"/>
        <w:jc w:val="both"/>
        <w:rPr>
          <w:rFonts w:ascii="Open Sans" w:eastAsia="Open Sans" w:hAnsi="Open Sans" w:cs="Open Sans"/>
        </w:rPr>
      </w:pPr>
    </w:p>
    <w:p w14:paraId="17B72E2B" w14:textId="3FB2BA50" w:rsidR="00557613" w:rsidRPr="00557613" w:rsidRDefault="00557613" w:rsidP="006E3AC8">
      <w:pPr>
        <w:pBdr>
          <w:top w:val="nil"/>
          <w:left w:val="nil"/>
          <w:bottom w:val="nil"/>
          <w:right w:val="nil"/>
          <w:between w:val="nil"/>
        </w:pBdr>
        <w:spacing w:line="276" w:lineRule="auto"/>
        <w:jc w:val="both"/>
        <w:rPr>
          <w:rFonts w:ascii="National" w:eastAsia="National" w:hAnsi="National" w:cs="National"/>
          <w:b/>
          <w:bCs/>
          <w:color w:val="303AB2"/>
          <w:sz w:val="32"/>
          <w:szCs w:val="32"/>
        </w:rPr>
      </w:pPr>
      <w:r w:rsidRPr="00557613">
        <w:rPr>
          <w:rFonts w:ascii="National" w:eastAsia="National" w:hAnsi="National" w:cs="National"/>
          <w:b/>
          <w:bCs/>
          <w:color w:val="303AB2"/>
          <w:sz w:val="32"/>
          <w:szCs w:val="32"/>
        </w:rPr>
        <w:t>Una herramienta clave para los profesionales del sector</w:t>
      </w:r>
    </w:p>
    <w:p w14:paraId="60AA8B90" w14:textId="77777777" w:rsidR="00557613" w:rsidRDefault="00557613" w:rsidP="006E3AC8">
      <w:pPr>
        <w:pBdr>
          <w:top w:val="nil"/>
          <w:left w:val="nil"/>
          <w:bottom w:val="nil"/>
          <w:right w:val="nil"/>
          <w:between w:val="nil"/>
        </w:pBdr>
        <w:spacing w:line="276" w:lineRule="auto"/>
        <w:jc w:val="both"/>
        <w:rPr>
          <w:rFonts w:ascii="Open Sans" w:eastAsia="Open Sans" w:hAnsi="Open Sans" w:cs="Open Sans"/>
        </w:rPr>
      </w:pPr>
    </w:p>
    <w:p w14:paraId="64A57E8F" w14:textId="19100C5E" w:rsidR="006E3AC8" w:rsidRDefault="006E3AC8" w:rsidP="006E3AC8">
      <w:pPr>
        <w:pBdr>
          <w:top w:val="nil"/>
          <w:left w:val="nil"/>
          <w:bottom w:val="nil"/>
          <w:right w:val="nil"/>
          <w:between w:val="nil"/>
        </w:pBdr>
        <w:spacing w:line="276" w:lineRule="auto"/>
        <w:jc w:val="both"/>
        <w:rPr>
          <w:rFonts w:ascii="Open Sans" w:eastAsia="Open Sans" w:hAnsi="Open Sans" w:cs="Open Sans"/>
        </w:rPr>
      </w:pPr>
      <w:r w:rsidRPr="006E3AC8">
        <w:rPr>
          <w:rFonts w:ascii="Open Sans" w:eastAsia="Open Sans" w:hAnsi="Open Sans" w:cs="Open Sans"/>
        </w:rPr>
        <w:t>Esta diferencia entre el precio ofertado y el precio efectivo de cierre resulta especialmente relevante en el contexto actual del mercado inmobiliario. Poder acceder a referencias reales permitirá interpretar mejor la distancia entre la expectativa y la realidad del mercado, ajustar valoraciones con mayor precisión y ofrecer argumentos más sólidos ante propietarios, compradores o inversores.</w:t>
      </w:r>
      <w:r w:rsidR="00557613">
        <w:rPr>
          <w:rFonts w:ascii="Open Sans" w:eastAsia="Open Sans" w:hAnsi="Open Sans" w:cs="Open Sans"/>
        </w:rPr>
        <w:t xml:space="preserve"> </w:t>
      </w:r>
      <w:r w:rsidRPr="006E3AC8">
        <w:rPr>
          <w:rFonts w:ascii="Open Sans" w:eastAsia="Open Sans" w:hAnsi="Open Sans" w:cs="Open Sans"/>
        </w:rPr>
        <w:t xml:space="preserve">Con esta nueva funcionalidad, </w:t>
      </w:r>
      <w:r w:rsidRPr="00557613">
        <w:rPr>
          <w:rFonts w:ascii="Open Sans" w:eastAsia="Open Sans" w:hAnsi="Open Sans" w:cs="Open Sans"/>
          <w:b/>
          <w:bCs/>
        </w:rPr>
        <w:t>DataVenues permitirá evolucionar desde una estimación basada exclusivamente en referencias de oferta hacia un análisis más completo, que incorpora también información sobre precios efectivos de cierre</w:t>
      </w:r>
      <w:r w:rsidRPr="006E3AC8">
        <w:rPr>
          <w:rFonts w:ascii="Open Sans" w:eastAsia="Open Sans" w:hAnsi="Open Sans" w:cs="Open Sans"/>
        </w:rPr>
        <w:t>. El resultado es una herramienta más precisa para analizar tendencias, valorar inmuebles y tomar decisiones estratégicas con una base de datos más sólida y contrastada.</w:t>
      </w:r>
    </w:p>
    <w:p w14:paraId="2D007DF7" w14:textId="4E75D389" w:rsidR="006E3AC8" w:rsidRPr="006E3AC8" w:rsidRDefault="006E3AC8" w:rsidP="006E3AC8">
      <w:pPr>
        <w:pBdr>
          <w:top w:val="nil"/>
          <w:left w:val="nil"/>
          <w:bottom w:val="nil"/>
          <w:right w:val="nil"/>
          <w:between w:val="nil"/>
        </w:pBdr>
        <w:spacing w:line="276" w:lineRule="auto"/>
        <w:jc w:val="both"/>
        <w:rPr>
          <w:rFonts w:ascii="Open Sans" w:eastAsia="Open Sans" w:hAnsi="Open Sans" w:cs="Open Sans"/>
        </w:rPr>
      </w:pPr>
      <w:r w:rsidRPr="006E3AC8">
        <w:rPr>
          <w:rFonts w:ascii="Open Sans" w:eastAsia="Open Sans" w:hAnsi="Open Sans" w:cs="Open Sans"/>
        </w:rPr>
        <w:lastRenderedPageBreak/>
        <w:t>La integración de los datos estadísticos del Consejo General del Notariado también tendrá un impacto directo en el trabajo diario del profesional inmobiliario. La herramienta permitirá preparar captaciones con más información, elaborar informes de valoración más completos, analizar la evolución real de una zona y detectar oportunidades con un mayor nivel de detalle y criterio.</w:t>
      </w:r>
      <w:r w:rsidR="00AA4001">
        <w:rPr>
          <w:rFonts w:ascii="Open Sans" w:eastAsia="Open Sans" w:hAnsi="Open Sans" w:cs="Open Sans"/>
        </w:rPr>
        <w:t xml:space="preserve"> </w:t>
      </w:r>
      <w:r w:rsidRPr="006E3AC8">
        <w:rPr>
          <w:rFonts w:ascii="Open Sans" w:eastAsia="Open Sans" w:hAnsi="Open Sans" w:cs="Open Sans"/>
        </w:rPr>
        <w:t xml:space="preserve">En el ámbito de la captación, esta nueva capa de información será especialmente útil para reforzar la argumentación comercial. </w:t>
      </w:r>
      <w:r w:rsidRPr="005B0BB7">
        <w:rPr>
          <w:rFonts w:ascii="Open Sans" w:eastAsia="Open Sans" w:hAnsi="Open Sans" w:cs="Open Sans"/>
          <w:b/>
          <w:bCs/>
        </w:rPr>
        <w:t>Poder explicar al propietario no solo qué precio tienen viviendas similares anunciadas en el mercado, sino también a qué precios se han cerrado operaciones comparables, permitirá aportar mayor credibilidad y confianza</w:t>
      </w:r>
      <w:r w:rsidRPr="006E3AC8">
        <w:rPr>
          <w:rFonts w:ascii="Open Sans" w:eastAsia="Open Sans" w:hAnsi="Open Sans" w:cs="Open Sans"/>
        </w:rPr>
        <w:t xml:space="preserve"> en la propuesta de valoración presentada por el profesional.</w:t>
      </w:r>
    </w:p>
    <w:p w14:paraId="06ED4945" w14:textId="77777777" w:rsidR="006E3AC8" w:rsidRPr="006E3AC8" w:rsidRDefault="006E3AC8" w:rsidP="006E3AC8">
      <w:pPr>
        <w:pBdr>
          <w:top w:val="nil"/>
          <w:left w:val="nil"/>
          <w:bottom w:val="nil"/>
          <w:right w:val="nil"/>
          <w:between w:val="nil"/>
        </w:pBdr>
        <w:spacing w:line="276" w:lineRule="auto"/>
        <w:jc w:val="both"/>
        <w:rPr>
          <w:rFonts w:ascii="Open Sans" w:eastAsia="Open Sans" w:hAnsi="Open Sans" w:cs="Open Sans"/>
        </w:rPr>
      </w:pPr>
    </w:p>
    <w:p w14:paraId="2FA2ABC4" w14:textId="020EF4E9" w:rsidR="006E3AC8" w:rsidRPr="00ED4610" w:rsidRDefault="006E3AC8" w:rsidP="006E3AC8">
      <w:pPr>
        <w:pBdr>
          <w:top w:val="nil"/>
          <w:left w:val="nil"/>
          <w:bottom w:val="nil"/>
          <w:right w:val="nil"/>
          <w:between w:val="nil"/>
        </w:pBdr>
        <w:spacing w:line="276" w:lineRule="auto"/>
        <w:jc w:val="both"/>
        <w:rPr>
          <w:rFonts w:ascii="Open Sans" w:eastAsia="Open Sans" w:hAnsi="Open Sans" w:cs="Open Sans"/>
        </w:rPr>
      </w:pPr>
      <w:r w:rsidRPr="006E3AC8">
        <w:rPr>
          <w:rFonts w:ascii="Open Sans" w:eastAsia="Open Sans" w:hAnsi="Open Sans" w:cs="Open Sans"/>
        </w:rPr>
        <w:t>Además, esta incorporación contribuye a dotar de mayor transparencia al mercado inmobiliario, al facilitar el acceso a información estructurada, actualizada y basada en operaciones formalizadas ante notario.</w:t>
      </w:r>
      <w:r w:rsidR="005B0BB7">
        <w:rPr>
          <w:rFonts w:ascii="Open Sans" w:eastAsia="Open Sans" w:hAnsi="Open Sans" w:cs="Open Sans"/>
        </w:rPr>
        <w:t xml:space="preserve"> </w:t>
      </w:r>
      <w:r w:rsidRPr="00501E4F">
        <w:rPr>
          <w:rFonts w:ascii="Open Sans" w:eastAsia="Open Sans" w:hAnsi="Open Sans" w:cs="Open Sans"/>
          <w:b/>
          <w:bCs/>
        </w:rPr>
        <w:t>Con esta integración, DataVenues refuerza su posicionamiento como herramienta avanzada de análisis para el sector inmobiliario, ofreciendo a los profesionales una visión más completa del mercado</w:t>
      </w:r>
      <w:r w:rsidRPr="006E3AC8">
        <w:rPr>
          <w:rFonts w:ascii="Open Sans" w:eastAsia="Open Sans" w:hAnsi="Open Sans" w:cs="Open Sans"/>
        </w:rPr>
        <w:t xml:space="preserve"> y ayudándoles a trabajar con mayor precisión, mejorar la toma de decisiones y aportar un mayor valor añadido en cada operación.</w:t>
      </w:r>
    </w:p>
    <w:p w14:paraId="3B4C69FF" w14:textId="77777777" w:rsidR="00501E4F" w:rsidRDefault="00501E4F" w:rsidP="001920AB">
      <w:pPr>
        <w:spacing w:line="276" w:lineRule="auto"/>
        <w:ind w:right="-284"/>
        <w:jc w:val="right"/>
        <w:rPr>
          <w:rFonts w:ascii="Open Sans Light" w:eastAsia="Open Sans Light" w:hAnsi="Open Sans Light" w:cs="Open Sans Light"/>
          <w:b/>
          <w:bCs/>
          <w:color w:val="303AB2"/>
        </w:rPr>
      </w:pPr>
    </w:p>
    <w:p w14:paraId="4AEE1464" w14:textId="77777777" w:rsidR="00501E4F" w:rsidRDefault="00501E4F" w:rsidP="00EC06B7">
      <w:pPr>
        <w:spacing w:line="276" w:lineRule="auto"/>
        <w:ind w:right="141"/>
        <w:jc w:val="right"/>
        <w:rPr>
          <w:rFonts w:ascii="Open Sans Light" w:eastAsia="Open Sans Light" w:hAnsi="Open Sans Light" w:cs="Open Sans Light"/>
          <w:b/>
          <w:bCs/>
          <w:color w:val="303AB2"/>
        </w:rPr>
      </w:pPr>
    </w:p>
    <w:p w14:paraId="24D0090F" w14:textId="1BC40B31" w:rsidR="00DC3BFB" w:rsidRDefault="00DC3BFB" w:rsidP="00EC06B7">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5BF837DA" w14:textId="77777777" w:rsidR="00DC3BFB" w:rsidRDefault="00DC3BFB" w:rsidP="00EC06B7">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5C837C66" w14:textId="77777777" w:rsidR="00DC3BFB" w:rsidRDefault="00DC3BFB" w:rsidP="00EC06B7">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2">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3">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3B484140" w14:textId="77777777" w:rsidR="00DC3BFB" w:rsidRDefault="00DC3BFB" w:rsidP="00EC06B7">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4">
        <w:r>
          <w:rPr>
            <w:rFonts w:ascii="Open Sans" w:eastAsia="Open Sans" w:hAnsi="Open Sans" w:cs="Open Sans"/>
            <w:b/>
            <w:bCs/>
            <w:color w:val="0000FF"/>
            <w:sz w:val="22"/>
            <w:szCs w:val="22"/>
            <w:u w:val="single"/>
          </w:rPr>
          <w:t>Sala de Prensa</w:t>
        </w:r>
      </w:hyperlink>
    </w:p>
    <w:p w14:paraId="5DFC192D" w14:textId="77777777" w:rsidR="00DC3BFB" w:rsidRDefault="00DC3BFB" w:rsidP="00EC06B7">
      <w:pPr>
        <w:spacing w:line="276" w:lineRule="auto"/>
        <w:ind w:right="141"/>
        <w:rPr>
          <w:rFonts w:ascii="Open Sans Light" w:eastAsia="Open Sans Light" w:hAnsi="Open Sans Light" w:cs="Open Sans Light"/>
          <w:b/>
          <w:bCs/>
          <w:color w:val="303AB2"/>
        </w:rPr>
      </w:pPr>
    </w:p>
    <w:p w14:paraId="277E58AA" w14:textId="77777777" w:rsidR="00EC06B7" w:rsidRDefault="00EC06B7" w:rsidP="00EC06B7">
      <w:pPr>
        <w:spacing w:line="276" w:lineRule="auto"/>
        <w:ind w:right="141"/>
        <w:jc w:val="right"/>
        <w:rPr>
          <w:rFonts w:ascii="Open Sans Light" w:eastAsia="Open Sans Light" w:hAnsi="Open Sans Light" w:cs="Open Sans Light"/>
          <w:b/>
          <w:bCs/>
          <w:color w:val="303AB2"/>
        </w:rPr>
      </w:pPr>
    </w:p>
    <w:p w14:paraId="2B5EC6E3" w14:textId="5F930D9E" w:rsidR="00DC3BFB" w:rsidRDefault="00DC3BFB" w:rsidP="00EC06B7">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 Group</w:t>
      </w:r>
    </w:p>
    <w:p w14:paraId="6E00CFC0" w14:textId="77777777" w:rsidR="00DC3BFB" w:rsidRDefault="00DC3BFB" w:rsidP="00EC06B7">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302ED80F" w14:textId="77777777" w:rsidR="00DC3BFB" w:rsidRDefault="00DC3BFB" w:rsidP="00EC06B7">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5">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6">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7">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0">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10239317" w14:textId="77777777" w:rsidR="00DC3BFB" w:rsidRDefault="00DC3BFB" w:rsidP="00EC06B7">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3FCE9273" w14:textId="77777777" w:rsidR="00DC3BFB" w:rsidRDefault="00DC3BFB" w:rsidP="00EC06B7">
      <w:pP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w:t>
      </w:r>
      <w:r w:rsidRPr="00D46246">
        <w:rPr>
          <w:rFonts w:ascii="Open Sans" w:eastAsia="Open Sans" w:hAnsi="Open Sans" w:cs="Open Sans"/>
          <w:b/>
          <w:bCs/>
          <w:sz w:val="22"/>
          <w:szCs w:val="22"/>
        </w:rPr>
        <w:t>otocasa Group forma parte de Scout24</w:t>
      </w:r>
      <w:r w:rsidRPr="00D46246">
        <w:rPr>
          <w:rFonts w:ascii="Open Sans" w:eastAsia="Open Sans" w:hAnsi="Open Sans" w:cs="Open Sans"/>
          <w:sz w:val="22"/>
          <w:szCs w:val="22"/>
        </w:rPr>
        <w:t xml:space="preserve">, el grupo tecnológico alemán líder en Europa que opera </w:t>
      </w:r>
      <w:r w:rsidRPr="00D46246">
        <w:rPr>
          <w:rFonts w:ascii="Open Sans" w:eastAsia="Open Sans" w:hAnsi="Open Sans" w:cs="Open Sans"/>
          <w:b/>
          <w:bCs/>
          <w:sz w:val="22"/>
          <w:szCs w:val="22"/>
        </w:rPr>
        <w:t>ImmoScout24</w:t>
      </w:r>
      <w:r w:rsidRPr="00D46246">
        <w:rPr>
          <w:rFonts w:ascii="Open Sans" w:eastAsia="Open Sans" w:hAnsi="Open Sans" w:cs="Open Sans"/>
          <w:sz w:val="22"/>
          <w:szCs w:val="22"/>
        </w:rPr>
        <w:t xml:space="preserve">. </w:t>
      </w:r>
    </w:p>
    <w:p w14:paraId="72D52F59" w14:textId="77777777" w:rsidR="00DC3BFB" w:rsidRDefault="00DC3BFB" w:rsidP="00EC06B7">
      <w:pPr>
        <w:spacing w:line="276" w:lineRule="auto"/>
        <w:ind w:right="141"/>
        <w:jc w:val="both"/>
        <w:rPr>
          <w:rFonts w:ascii="Open Sans" w:eastAsia="Open Sans" w:hAnsi="Open Sans" w:cs="Open Sans"/>
          <w:sz w:val="22"/>
          <w:szCs w:val="22"/>
        </w:rPr>
      </w:pPr>
    </w:p>
    <w:p w14:paraId="778666E9" w14:textId="77777777" w:rsidR="00DC3BFB" w:rsidRPr="000D180B" w:rsidRDefault="00DC3BFB" w:rsidP="00EC06B7">
      <w:pPr>
        <w:spacing w:line="276" w:lineRule="auto"/>
        <w:ind w:right="141"/>
        <w:jc w:val="right"/>
        <w:rPr>
          <w:rFonts w:ascii="Open Sans Light" w:eastAsia="Open Sans Light" w:hAnsi="Open Sans Light" w:cs="Open Sans Light"/>
          <w:b/>
          <w:bCs/>
          <w:color w:val="303AB2"/>
        </w:rPr>
      </w:pPr>
      <w:r w:rsidRPr="000D180B">
        <w:rPr>
          <w:rFonts w:ascii="Open Sans Light" w:eastAsia="Open Sans Light" w:hAnsi="Open Sans Light" w:cs="Open Sans Light"/>
          <w:b/>
          <w:bCs/>
          <w:color w:val="303AB2"/>
        </w:rPr>
        <w:t>Sobre Scout24</w:t>
      </w:r>
    </w:p>
    <w:p w14:paraId="7A26E2F7" w14:textId="77777777" w:rsidR="00DC3BFB" w:rsidRDefault="00DC3BFB" w:rsidP="00EC06B7">
      <w:pPr>
        <w:pBdr>
          <w:top w:val="nil"/>
          <w:left w:val="nil"/>
          <w:bottom w:val="nil"/>
          <w:right w:val="nil"/>
          <w:between w:val="nil"/>
        </w:pBdr>
        <w:spacing w:line="276" w:lineRule="auto"/>
        <w:ind w:right="141"/>
        <w:jc w:val="both"/>
        <w:rPr>
          <w:rFonts w:ascii="Open Sans" w:eastAsia="Open Sans" w:hAnsi="Open Sans" w:cs="Open Sans"/>
          <w:sz w:val="22"/>
          <w:szCs w:val="22"/>
          <w:lang w:val="es-ES"/>
        </w:rPr>
      </w:pPr>
    </w:p>
    <w:p w14:paraId="40DE1458" w14:textId="77777777" w:rsidR="00DC3BFB" w:rsidRDefault="00DC3BFB" w:rsidP="00EC06B7">
      <w:pPr>
        <w:pBdr>
          <w:top w:val="nil"/>
          <w:left w:val="nil"/>
          <w:bottom w:val="nil"/>
          <w:right w:val="nil"/>
          <w:between w:val="nil"/>
        </w:pBdr>
        <w:spacing w:line="276" w:lineRule="auto"/>
        <w:ind w:right="141"/>
        <w:jc w:val="both"/>
        <w:rPr>
          <w:rFonts w:ascii="Open Sans" w:eastAsia="Open Sans" w:hAnsi="Open Sans" w:cs="Open Sans"/>
          <w:sz w:val="22"/>
          <w:szCs w:val="22"/>
          <w:lang w:val="es-ES"/>
        </w:rPr>
      </w:pPr>
      <w:r w:rsidRPr="000D180B">
        <w:rPr>
          <w:rFonts w:ascii="Open Sans" w:eastAsia="Open Sans" w:hAnsi="Open Sans" w:cs="Open Sans"/>
          <w:b/>
          <w:bCs/>
          <w:sz w:val="22"/>
          <w:szCs w:val="22"/>
          <w:lang w:val="es-ES"/>
        </w:rPr>
        <w:t>Scout24 es una de las empresas tecnológicas líderes en Alemania</w:t>
      </w:r>
      <w:r w:rsidRPr="000D180B">
        <w:rPr>
          <w:rFonts w:ascii="Open Sans" w:eastAsia="Open Sans" w:hAnsi="Open Sans" w:cs="Open Sans"/>
          <w:sz w:val="22"/>
          <w:szCs w:val="22"/>
          <w:lang w:val="es-ES"/>
        </w:rPr>
        <w:t xml:space="preserve">. Con el marketplace </w:t>
      </w:r>
      <w:hyperlink r:id="rId21" w:history="1">
        <w:r w:rsidRPr="000D180B">
          <w:rPr>
            <w:rStyle w:val="Hipervnculo"/>
            <w:rFonts w:ascii="Open Sans" w:eastAsia="Open Sans" w:hAnsi="Open Sans" w:cs="Open Sans"/>
            <w:sz w:val="22"/>
            <w:szCs w:val="22"/>
            <w:lang w:val="es-ES"/>
          </w:rPr>
          <w:t>ImmoScout24</w:t>
        </w:r>
      </w:hyperlink>
      <w:r w:rsidRPr="000D180B">
        <w:rPr>
          <w:rFonts w:ascii="Open Sans" w:eastAsia="Open Sans" w:hAnsi="Open Sans" w:cs="Open Sans"/>
          <w:sz w:val="22"/>
          <w:szCs w:val="22"/>
          <w:lang w:val="es-ES"/>
        </w:rPr>
        <w:t xml:space="preserve">, especializado en el sector residencial y comercial, conectamos con éxito a propietarios, agentes inmobiliarios, inquilinos y compradores desde hace más de 25 años. </w:t>
      </w:r>
    </w:p>
    <w:p w14:paraId="22BF3C20" w14:textId="77777777" w:rsidR="00DC3BFB" w:rsidRDefault="00DC3BFB" w:rsidP="00EC06B7">
      <w:pPr>
        <w:pBdr>
          <w:top w:val="nil"/>
          <w:left w:val="nil"/>
          <w:bottom w:val="nil"/>
          <w:right w:val="nil"/>
          <w:between w:val="nil"/>
        </w:pBdr>
        <w:spacing w:line="276" w:lineRule="auto"/>
        <w:ind w:right="141"/>
        <w:jc w:val="both"/>
        <w:rPr>
          <w:rFonts w:ascii="Open Sans" w:eastAsia="Open Sans" w:hAnsi="Open Sans" w:cs="Open Sans"/>
          <w:sz w:val="22"/>
          <w:szCs w:val="22"/>
          <w:lang w:val="es-ES"/>
        </w:rPr>
      </w:pPr>
    </w:p>
    <w:p w14:paraId="1D726E65" w14:textId="77777777" w:rsidR="00DC3BFB" w:rsidRPr="000D180B" w:rsidRDefault="00DC3BFB" w:rsidP="00EC06B7">
      <w:pPr>
        <w:pBdr>
          <w:top w:val="nil"/>
          <w:left w:val="nil"/>
          <w:bottom w:val="nil"/>
          <w:right w:val="nil"/>
          <w:between w:val="nil"/>
        </w:pBdr>
        <w:spacing w:line="276" w:lineRule="auto"/>
        <w:ind w:right="141"/>
        <w:jc w:val="both"/>
        <w:rPr>
          <w:rFonts w:ascii="Open Sans" w:eastAsia="Open Sans" w:hAnsi="Open Sans" w:cs="Open Sans"/>
          <w:sz w:val="22"/>
          <w:szCs w:val="22"/>
          <w:lang w:val="es-ES"/>
        </w:rPr>
      </w:pPr>
      <w:r w:rsidRPr="000D180B">
        <w:rPr>
          <w:rFonts w:ascii="Open Sans" w:eastAsia="Open Sans" w:hAnsi="Open Sans" w:cs="Open Sans"/>
          <w:sz w:val="22"/>
          <w:szCs w:val="22"/>
          <w:lang w:val="es-ES"/>
        </w:rPr>
        <w:t xml:space="preserve">Con aproximadamente 19 millones de usuarios al mes en su web o aplicación, </w:t>
      </w:r>
      <w:r w:rsidRPr="000D180B">
        <w:rPr>
          <w:rFonts w:ascii="Open Sans" w:eastAsia="Open Sans" w:hAnsi="Open Sans" w:cs="Open Sans"/>
          <w:b/>
          <w:bCs/>
          <w:sz w:val="22"/>
          <w:szCs w:val="22"/>
          <w:lang w:val="es-ES"/>
        </w:rPr>
        <w:t>ImmoScout24 es el líder del mercado en listados y búsqueda inmobiliaria digital</w:t>
      </w:r>
      <w:r w:rsidRPr="000D180B">
        <w:rPr>
          <w:rFonts w:ascii="Open Sans" w:eastAsia="Open Sans" w:hAnsi="Open Sans" w:cs="Open Sans"/>
          <w:sz w:val="22"/>
          <w:szCs w:val="22"/>
          <w:lang w:val="es-ES"/>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4A01D934" w14:textId="77777777" w:rsidR="00DC3BFB" w:rsidRPr="00D46246" w:rsidRDefault="00DC3BFB" w:rsidP="00EC06B7">
      <w:pPr>
        <w:spacing w:line="276" w:lineRule="auto"/>
        <w:ind w:right="141"/>
        <w:rPr>
          <w:rFonts w:ascii="Open Sans" w:eastAsia="Open Sans" w:hAnsi="Open Sans" w:cs="Open Sans"/>
          <w:lang w:val="es-ES"/>
        </w:rPr>
      </w:pPr>
    </w:p>
    <w:p w14:paraId="5C37764F" w14:textId="77777777" w:rsidR="009F0DE2" w:rsidRDefault="009F0DE2" w:rsidP="00EC06B7">
      <w:pPr>
        <w:spacing w:line="276" w:lineRule="auto"/>
        <w:ind w:right="141"/>
        <w:rPr>
          <w:rFonts w:ascii="Open Sans Light" w:eastAsia="Open Sans Light" w:hAnsi="Open Sans Light" w:cs="Open Sans Light"/>
          <w:b/>
          <w:bCs/>
          <w:color w:val="303AB2"/>
          <w:sz w:val="22"/>
          <w:szCs w:val="22"/>
        </w:rPr>
      </w:pPr>
    </w:p>
    <w:p w14:paraId="63EA929C" w14:textId="77777777" w:rsidR="00DC3BFB" w:rsidRDefault="00DC3BFB" w:rsidP="00EC06B7">
      <w:pPr>
        <w:spacing w:line="276" w:lineRule="auto"/>
        <w:ind w:right="141"/>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390753B9" w14:textId="77777777" w:rsidR="00DC3BFB" w:rsidRDefault="00DC3BFB" w:rsidP="00EC06B7">
      <w:pPr>
        <w:shd w:val="clear" w:color="auto" w:fill="FFFFFF"/>
        <w:spacing w:line="276" w:lineRule="auto"/>
        <w:ind w:right="141"/>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6923AD02" w14:textId="77777777" w:rsidR="00DC3BFB" w:rsidRDefault="00DC3BFB" w:rsidP="00EC06B7">
      <w:pPr>
        <w:shd w:val="clear" w:color="auto" w:fill="FFFFFF"/>
        <w:spacing w:line="276" w:lineRule="auto"/>
        <w:ind w:right="141"/>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18B10689" w14:textId="77777777" w:rsidR="00DC3BFB" w:rsidRDefault="00DC3BFB" w:rsidP="00EC06B7">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5513887" w14:textId="6F935100" w:rsidR="009F7F41" w:rsidRDefault="009F7F41" w:rsidP="00DC3BFB">
      <w:pPr>
        <w:spacing w:line="276" w:lineRule="auto"/>
        <w:jc w:val="right"/>
        <w:rPr>
          <w:rFonts w:ascii="Open Sans" w:eastAsia="Open Sans" w:hAnsi="Open Sans" w:cs="Open Sans"/>
          <w:color w:val="000000"/>
          <w:sz w:val="22"/>
          <w:szCs w:val="22"/>
        </w:rPr>
      </w:pPr>
    </w:p>
    <w:sectPr w:rsidR="009F7F41">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E01B2" w14:textId="77777777" w:rsidR="0017509E" w:rsidRDefault="0017509E">
      <w:r>
        <w:separator/>
      </w:r>
    </w:p>
  </w:endnote>
  <w:endnote w:type="continuationSeparator" w:id="0">
    <w:p w14:paraId="382B1CE8" w14:textId="77777777" w:rsidR="0017509E" w:rsidRDefault="00175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ACF4F37C-732E-4B6F-B976-95F5902F998B}"/>
  </w:font>
  <w:font w:name="Calibri">
    <w:panose1 w:val="020F0502020204030204"/>
    <w:charset w:val="00"/>
    <w:family w:val="swiss"/>
    <w:pitch w:val="variable"/>
    <w:sig w:usb0="E4002EFF" w:usb1="C200247B" w:usb2="00000009" w:usb3="00000000" w:csb0="000001FF" w:csb1="00000000"/>
    <w:embedRegular r:id="rId2" w:fontKey="{06167204-DBFF-4A68-B395-9228E25A2D0A}"/>
    <w:embedBold r:id="rId3" w:fontKey="{EAB8DEAE-83CD-49D6-A603-1370DCF90992}"/>
  </w:font>
  <w:font w:name="Cambria">
    <w:panose1 w:val="02040503050406030204"/>
    <w:charset w:val="00"/>
    <w:family w:val="roman"/>
    <w:pitch w:val="variable"/>
    <w:sig w:usb0="E00006FF" w:usb1="420024FF" w:usb2="02000000" w:usb3="00000000" w:csb0="0000019F" w:csb1="00000000"/>
    <w:embedRegular r:id="rId4" w:fontKey="{184FF8E7-1CF2-4802-89E3-88DBE1529742}"/>
  </w:font>
  <w:font w:name="Georgia">
    <w:panose1 w:val="02040502050405020303"/>
    <w:charset w:val="00"/>
    <w:family w:val="roman"/>
    <w:pitch w:val="variable"/>
    <w:sig w:usb0="00000287" w:usb1="00000000" w:usb2="00000000" w:usb3="00000000" w:csb0="0000009F" w:csb1="00000000"/>
    <w:embedItalic r:id="rId5" w:fontKey="{98285F84-96A8-48EC-A5F7-7062B6036877}"/>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6" w:fontKey="{F92E8DC0-1AE7-4311-BD73-110D14251B79}"/>
  </w:font>
  <w:font w:name="Open Sans">
    <w:charset w:val="00"/>
    <w:family w:val="swiss"/>
    <w:pitch w:val="variable"/>
    <w:sig w:usb0="E00002EF" w:usb1="4000205B" w:usb2="00000028" w:usb3="00000000" w:csb0="0000019F" w:csb1="00000000"/>
    <w:embedRegular r:id="rId7" w:fontKey="{0C0515F8-AE81-4B1D-80C6-E1453C73419B}"/>
    <w:embedBold r:id="rId8" w:fontKey="{A9A1FCC3-D0D6-485F-BC08-C60CD413BE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ABEA8" w14:textId="77777777" w:rsidR="009F7F41" w:rsidRDefault="002A7B37">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9623AA1" wp14:editId="186FF9AC">
          <wp:simplePos x="0" y="0"/>
          <wp:positionH relativeFrom="column">
            <wp:posOffset>-1068041</wp:posOffset>
          </wp:positionH>
          <wp:positionV relativeFrom="paragraph">
            <wp:posOffset>174608</wp:posOffset>
          </wp:positionV>
          <wp:extent cx="7670550" cy="451315"/>
          <wp:effectExtent l="0" t="0" r="0" b="0"/>
          <wp:wrapNone/>
          <wp:docPr id="20668166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FF649" w14:textId="77777777" w:rsidR="0017509E" w:rsidRDefault="0017509E">
      <w:r>
        <w:separator/>
      </w:r>
    </w:p>
  </w:footnote>
  <w:footnote w:type="continuationSeparator" w:id="0">
    <w:p w14:paraId="17142413" w14:textId="77777777" w:rsidR="0017509E" w:rsidRDefault="001750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C40F5"/>
    <w:multiLevelType w:val="hybridMultilevel"/>
    <w:tmpl w:val="8BB62B6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059F6462"/>
    <w:multiLevelType w:val="hybridMultilevel"/>
    <w:tmpl w:val="ADD0791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 w15:restartNumberingAfterBreak="0">
    <w:nsid w:val="092C1E13"/>
    <w:multiLevelType w:val="hybridMultilevel"/>
    <w:tmpl w:val="D9DC6432"/>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 w15:restartNumberingAfterBreak="0">
    <w:nsid w:val="26FF428A"/>
    <w:multiLevelType w:val="hybridMultilevel"/>
    <w:tmpl w:val="B0CAB49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31A36EB0"/>
    <w:multiLevelType w:val="hybridMultilevel"/>
    <w:tmpl w:val="49327D6A"/>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5" w15:restartNumberingAfterBreak="0">
    <w:nsid w:val="41C8515B"/>
    <w:multiLevelType w:val="hybridMultilevel"/>
    <w:tmpl w:val="A81CBE8C"/>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6" w15:restartNumberingAfterBreak="0">
    <w:nsid w:val="4F6A6206"/>
    <w:multiLevelType w:val="multilevel"/>
    <w:tmpl w:val="574A15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C060EA"/>
    <w:multiLevelType w:val="hybridMultilevel"/>
    <w:tmpl w:val="7C600912"/>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8" w15:restartNumberingAfterBreak="0">
    <w:nsid w:val="592248FD"/>
    <w:multiLevelType w:val="hybridMultilevel"/>
    <w:tmpl w:val="872E54DA"/>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9" w15:restartNumberingAfterBreak="0">
    <w:nsid w:val="6142764D"/>
    <w:multiLevelType w:val="hybridMultilevel"/>
    <w:tmpl w:val="916C652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63086A22"/>
    <w:multiLevelType w:val="hybridMultilevel"/>
    <w:tmpl w:val="F4087E6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6920336D"/>
    <w:multiLevelType w:val="hybridMultilevel"/>
    <w:tmpl w:val="282464D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72D40765"/>
    <w:multiLevelType w:val="hybridMultilevel"/>
    <w:tmpl w:val="9C04B51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116025766">
    <w:abstractNumId w:val="6"/>
  </w:num>
  <w:num w:numId="2" w16cid:durableId="2080248831">
    <w:abstractNumId w:val="8"/>
  </w:num>
  <w:num w:numId="3" w16cid:durableId="1068652160">
    <w:abstractNumId w:val="4"/>
  </w:num>
  <w:num w:numId="4" w16cid:durableId="659189275">
    <w:abstractNumId w:val="5"/>
  </w:num>
  <w:num w:numId="5" w16cid:durableId="2097549260">
    <w:abstractNumId w:val="3"/>
  </w:num>
  <w:num w:numId="6" w16cid:durableId="116603574">
    <w:abstractNumId w:val="2"/>
  </w:num>
  <w:num w:numId="7" w16cid:durableId="931359893">
    <w:abstractNumId w:val="11"/>
  </w:num>
  <w:num w:numId="8" w16cid:durableId="332032643">
    <w:abstractNumId w:val="0"/>
  </w:num>
  <w:num w:numId="9" w16cid:durableId="831944313">
    <w:abstractNumId w:val="10"/>
  </w:num>
  <w:num w:numId="10" w16cid:durableId="1238326033">
    <w:abstractNumId w:val="12"/>
  </w:num>
  <w:num w:numId="11" w16cid:durableId="1742216042">
    <w:abstractNumId w:val="9"/>
  </w:num>
  <w:num w:numId="12" w16cid:durableId="138959731">
    <w:abstractNumId w:val="1"/>
  </w:num>
  <w:num w:numId="13" w16cid:durableId="109586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F41"/>
    <w:rsid w:val="0000031E"/>
    <w:rsid w:val="0000084E"/>
    <w:rsid w:val="00003F15"/>
    <w:rsid w:val="00005331"/>
    <w:rsid w:val="00021200"/>
    <w:rsid w:val="00022C12"/>
    <w:rsid w:val="0003686D"/>
    <w:rsid w:val="00041D59"/>
    <w:rsid w:val="000449CA"/>
    <w:rsid w:val="000566B6"/>
    <w:rsid w:val="000603B6"/>
    <w:rsid w:val="00065BCA"/>
    <w:rsid w:val="00065FCC"/>
    <w:rsid w:val="0009103D"/>
    <w:rsid w:val="00092396"/>
    <w:rsid w:val="00096188"/>
    <w:rsid w:val="000B26E4"/>
    <w:rsid w:val="000B7AE4"/>
    <w:rsid w:val="000C7EF3"/>
    <w:rsid w:val="000D140E"/>
    <w:rsid w:val="000D1DB4"/>
    <w:rsid w:val="000E24DF"/>
    <w:rsid w:val="000F3AE5"/>
    <w:rsid w:val="000F7A5A"/>
    <w:rsid w:val="00100F82"/>
    <w:rsid w:val="00111647"/>
    <w:rsid w:val="0012630B"/>
    <w:rsid w:val="001275D3"/>
    <w:rsid w:val="00136716"/>
    <w:rsid w:val="00167F19"/>
    <w:rsid w:val="0017509E"/>
    <w:rsid w:val="00183FBF"/>
    <w:rsid w:val="001920AB"/>
    <w:rsid w:val="001A04F8"/>
    <w:rsid w:val="001A584A"/>
    <w:rsid w:val="001A649C"/>
    <w:rsid w:val="001B346A"/>
    <w:rsid w:val="001B7F92"/>
    <w:rsid w:val="001C2218"/>
    <w:rsid w:val="001C28BF"/>
    <w:rsid w:val="001C5CC4"/>
    <w:rsid w:val="002034D6"/>
    <w:rsid w:val="002047BD"/>
    <w:rsid w:val="00206D12"/>
    <w:rsid w:val="00222118"/>
    <w:rsid w:val="00226F13"/>
    <w:rsid w:val="00244C79"/>
    <w:rsid w:val="00267CD1"/>
    <w:rsid w:val="00270762"/>
    <w:rsid w:val="002806C0"/>
    <w:rsid w:val="002853E6"/>
    <w:rsid w:val="002938E0"/>
    <w:rsid w:val="00297718"/>
    <w:rsid w:val="002A148D"/>
    <w:rsid w:val="002A717D"/>
    <w:rsid w:val="002A7B37"/>
    <w:rsid w:val="002B1BBF"/>
    <w:rsid w:val="002B236D"/>
    <w:rsid w:val="002C300B"/>
    <w:rsid w:val="002C4F85"/>
    <w:rsid w:val="002C7047"/>
    <w:rsid w:val="002C799C"/>
    <w:rsid w:val="002D4EE9"/>
    <w:rsid w:val="002E42D2"/>
    <w:rsid w:val="003019CC"/>
    <w:rsid w:val="00307743"/>
    <w:rsid w:val="00312056"/>
    <w:rsid w:val="00341374"/>
    <w:rsid w:val="00350FC8"/>
    <w:rsid w:val="00351B38"/>
    <w:rsid w:val="00365C19"/>
    <w:rsid w:val="0037058D"/>
    <w:rsid w:val="0037496E"/>
    <w:rsid w:val="00380C3E"/>
    <w:rsid w:val="00383290"/>
    <w:rsid w:val="00394D31"/>
    <w:rsid w:val="003A13E8"/>
    <w:rsid w:val="003A3A69"/>
    <w:rsid w:val="003A6F3F"/>
    <w:rsid w:val="003B358A"/>
    <w:rsid w:val="003B6803"/>
    <w:rsid w:val="003C01C7"/>
    <w:rsid w:val="003E3257"/>
    <w:rsid w:val="003F3947"/>
    <w:rsid w:val="00414019"/>
    <w:rsid w:val="00435B7A"/>
    <w:rsid w:val="00443B67"/>
    <w:rsid w:val="00445DED"/>
    <w:rsid w:val="004472FF"/>
    <w:rsid w:val="00454789"/>
    <w:rsid w:val="00455956"/>
    <w:rsid w:val="00457897"/>
    <w:rsid w:val="0046309C"/>
    <w:rsid w:val="00497E92"/>
    <w:rsid w:val="004B04FB"/>
    <w:rsid w:val="004B4910"/>
    <w:rsid w:val="004B6524"/>
    <w:rsid w:val="004C1DFE"/>
    <w:rsid w:val="004E0E43"/>
    <w:rsid w:val="004E20B8"/>
    <w:rsid w:val="004E3906"/>
    <w:rsid w:val="004E72A2"/>
    <w:rsid w:val="004E78B1"/>
    <w:rsid w:val="004F1864"/>
    <w:rsid w:val="004F5552"/>
    <w:rsid w:val="004F78E6"/>
    <w:rsid w:val="00500272"/>
    <w:rsid w:val="0050147C"/>
    <w:rsid w:val="00501E4F"/>
    <w:rsid w:val="00510E02"/>
    <w:rsid w:val="00522FD7"/>
    <w:rsid w:val="005306EB"/>
    <w:rsid w:val="00540695"/>
    <w:rsid w:val="00550025"/>
    <w:rsid w:val="005520A5"/>
    <w:rsid w:val="00557613"/>
    <w:rsid w:val="00570C58"/>
    <w:rsid w:val="00571B62"/>
    <w:rsid w:val="00580798"/>
    <w:rsid w:val="005848F1"/>
    <w:rsid w:val="00591630"/>
    <w:rsid w:val="00594DCD"/>
    <w:rsid w:val="005A1367"/>
    <w:rsid w:val="005B0BB7"/>
    <w:rsid w:val="005B49B0"/>
    <w:rsid w:val="005C37E9"/>
    <w:rsid w:val="005C750B"/>
    <w:rsid w:val="005D3016"/>
    <w:rsid w:val="005E1B51"/>
    <w:rsid w:val="00606233"/>
    <w:rsid w:val="00615E9D"/>
    <w:rsid w:val="00631E4A"/>
    <w:rsid w:val="00655A29"/>
    <w:rsid w:val="00665231"/>
    <w:rsid w:val="00665291"/>
    <w:rsid w:val="006743B7"/>
    <w:rsid w:val="006B2B4C"/>
    <w:rsid w:val="006C612F"/>
    <w:rsid w:val="006E162D"/>
    <w:rsid w:val="006E1C7E"/>
    <w:rsid w:val="006E1D02"/>
    <w:rsid w:val="006E3AC8"/>
    <w:rsid w:val="006F0CFF"/>
    <w:rsid w:val="006F3462"/>
    <w:rsid w:val="006F7BE2"/>
    <w:rsid w:val="007008F5"/>
    <w:rsid w:val="00704585"/>
    <w:rsid w:val="0072008F"/>
    <w:rsid w:val="0072159C"/>
    <w:rsid w:val="00727C5C"/>
    <w:rsid w:val="00733A31"/>
    <w:rsid w:val="00737175"/>
    <w:rsid w:val="00737CE8"/>
    <w:rsid w:val="00737DDD"/>
    <w:rsid w:val="007432BA"/>
    <w:rsid w:val="007452DC"/>
    <w:rsid w:val="007456D5"/>
    <w:rsid w:val="00763AAD"/>
    <w:rsid w:val="00771E89"/>
    <w:rsid w:val="00780BCB"/>
    <w:rsid w:val="007876C1"/>
    <w:rsid w:val="00791689"/>
    <w:rsid w:val="0079243A"/>
    <w:rsid w:val="007939F1"/>
    <w:rsid w:val="007A3C4B"/>
    <w:rsid w:val="007A62D0"/>
    <w:rsid w:val="007A738D"/>
    <w:rsid w:val="007B44B5"/>
    <w:rsid w:val="007B7597"/>
    <w:rsid w:val="007C1968"/>
    <w:rsid w:val="007E2798"/>
    <w:rsid w:val="0083018D"/>
    <w:rsid w:val="00837938"/>
    <w:rsid w:val="008438D4"/>
    <w:rsid w:val="0085025A"/>
    <w:rsid w:val="00851831"/>
    <w:rsid w:val="00852392"/>
    <w:rsid w:val="00853E3B"/>
    <w:rsid w:val="00863B95"/>
    <w:rsid w:val="0086522C"/>
    <w:rsid w:val="00865BA9"/>
    <w:rsid w:val="008661D6"/>
    <w:rsid w:val="00882145"/>
    <w:rsid w:val="008B74D7"/>
    <w:rsid w:val="008D0013"/>
    <w:rsid w:val="008D33FE"/>
    <w:rsid w:val="008E604B"/>
    <w:rsid w:val="008E6429"/>
    <w:rsid w:val="008F113C"/>
    <w:rsid w:val="008F60B4"/>
    <w:rsid w:val="009004E3"/>
    <w:rsid w:val="00903F83"/>
    <w:rsid w:val="00910921"/>
    <w:rsid w:val="009242D8"/>
    <w:rsid w:val="009365DF"/>
    <w:rsid w:val="00936777"/>
    <w:rsid w:val="00940C2B"/>
    <w:rsid w:val="00954BD3"/>
    <w:rsid w:val="009554E7"/>
    <w:rsid w:val="009600D5"/>
    <w:rsid w:val="00965488"/>
    <w:rsid w:val="00971747"/>
    <w:rsid w:val="00971DCE"/>
    <w:rsid w:val="00986A0D"/>
    <w:rsid w:val="00990C6A"/>
    <w:rsid w:val="009A0FB0"/>
    <w:rsid w:val="009B2E70"/>
    <w:rsid w:val="009B4596"/>
    <w:rsid w:val="009B5B72"/>
    <w:rsid w:val="009B6F92"/>
    <w:rsid w:val="009C42FF"/>
    <w:rsid w:val="009E7AF1"/>
    <w:rsid w:val="009F0DE2"/>
    <w:rsid w:val="009F6E2A"/>
    <w:rsid w:val="009F7F41"/>
    <w:rsid w:val="00A10E34"/>
    <w:rsid w:val="00A12714"/>
    <w:rsid w:val="00A255C3"/>
    <w:rsid w:val="00A25EB3"/>
    <w:rsid w:val="00A42CCC"/>
    <w:rsid w:val="00A44022"/>
    <w:rsid w:val="00A45C68"/>
    <w:rsid w:val="00A4602E"/>
    <w:rsid w:val="00A52365"/>
    <w:rsid w:val="00A57729"/>
    <w:rsid w:val="00A57CD8"/>
    <w:rsid w:val="00A63D93"/>
    <w:rsid w:val="00A66AA7"/>
    <w:rsid w:val="00A8205F"/>
    <w:rsid w:val="00A90A29"/>
    <w:rsid w:val="00A91707"/>
    <w:rsid w:val="00AA4001"/>
    <w:rsid w:val="00AB084F"/>
    <w:rsid w:val="00AC4F47"/>
    <w:rsid w:val="00AC5C8A"/>
    <w:rsid w:val="00AD07F8"/>
    <w:rsid w:val="00AD56B3"/>
    <w:rsid w:val="00AE0B81"/>
    <w:rsid w:val="00AE22B9"/>
    <w:rsid w:val="00AE652D"/>
    <w:rsid w:val="00AF3783"/>
    <w:rsid w:val="00AF4AEE"/>
    <w:rsid w:val="00B133F0"/>
    <w:rsid w:val="00B22550"/>
    <w:rsid w:val="00B23F4A"/>
    <w:rsid w:val="00B24677"/>
    <w:rsid w:val="00B25A4E"/>
    <w:rsid w:val="00B25ABC"/>
    <w:rsid w:val="00B30B85"/>
    <w:rsid w:val="00B335B1"/>
    <w:rsid w:val="00B33743"/>
    <w:rsid w:val="00B36509"/>
    <w:rsid w:val="00B40BE3"/>
    <w:rsid w:val="00B412E3"/>
    <w:rsid w:val="00B52F79"/>
    <w:rsid w:val="00B57BFF"/>
    <w:rsid w:val="00B66DA7"/>
    <w:rsid w:val="00B81C09"/>
    <w:rsid w:val="00BA1017"/>
    <w:rsid w:val="00BA3355"/>
    <w:rsid w:val="00BA6012"/>
    <w:rsid w:val="00BA60DC"/>
    <w:rsid w:val="00BA73F1"/>
    <w:rsid w:val="00BC0F55"/>
    <w:rsid w:val="00BD287A"/>
    <w:rsid w:val="00BE22A1"/>
    <w:rsid w:val="00BE4F7C"/>
    <w:rsid w:val="00BF71B5"/>
    <w:rsid w:val="00BF77E5"/>
    <w:rsid w:val="00BF7929"/>
    <w:rsid w:val="00C07C68"/>
    <w:rsid w:val="00C17957"/>
    <w:rsid w:val="00C20B43"/>
    <w:rsid w:val="00C252EA"/>
    <w:rsid w:val="00C30F12"/>
    <w:rsid w:val="00C407B9"/>
    <w:rsid w:val="00C55385"/>
    <w:rsid w:val="00C81F22"/>
    <w:rsid w:val="00C931D7"/>
    <w:rsid w:val="00C95EC4"/>
    <w:rsid w:val="00C9609D"/>
    <w:rsid w:val="00C973A1"/>
    <w:rsid w:val="00CE75C1"/>
    <w:rsid w:val="00CF11FE"/>
    <w:rsid w:val="00CF1BD8"/>
    <w:rsid w:val="00CF79E9"/>
    <w:rsid w:val="00D04D1A"/>
    <w:rsid w:val="00D04F87"/>
    <w:rsid w:val="00D07D3E"/>
    <w:rsid w:val="00D158F8"/>
    <w:rsid w:val="00D27659"/>
    <w:rsid w:val="00D2774C"/>
    <w:rsid w:val="00D36729"/>
    <w:rsid w:val="00D41818"/>
    <w:rsid w:val="00D479E1"/>
    <w:rsid w:val="00D540FC"/>
    <w:rsid w:val="00D55F58"/>
    <w:rsid w:val="00D6332D"/>
    <w:rsid w:val="00D677D7"/>
    <w:rsid w:val="00D70937"/>
    <w:rsid w:val="00D80EA6"/>
    <w:rsid w:val="00D931C4"/>
    <w:rsid w:val="00DA00F1"/>
    <w:rsid w:val="00DA6BAE"/>
    <w:rsid w:val="00DA7FC7"/>
    <w:rsid w:val="00DB02CC"/>
    <w:rsid w:val="00DB0CCF"/>
    <w:rsid w:val="00DB0EB4"/>
    <w:rsid w:val="00DB3AB2"/>
    <w:rsid w:val="00DC1657"/>
    <w:rsid w:val="00DC17AD"/>
    <w:rsid w:val="00DC3A17"/>
    <w:rsid w:val="00DC3BFB"/>
    <w:rsid w:val="00DC44B9"/>
    <w:rsid w:val="00DF4313"/>
    <w:rsid w:val="00E00FBF"/>
    <w:rsid w:val="00E0377D"/>
    <w:rsid w:val="00E22106"/>
    <w:rsid w:val="00E223C4"/>
    <w:rsid w:val="00E272C5"/>
    <w:rsid w:val="00E34035"/>
    <w:rsid w:val="00E46752"/>
    <w:rsid w:val="00E5614F"/>
    <w:rsid w:val="00E6244C"/>
    <w:rsid w:val="00E64EF0"/>
    <w:rsid w:val="00E67D05"/>
    <w:rsid w:val="00E71260"/>
    <w:rsid w:val="00E76126"/>
    <w:rsid w:val="00E93113"/>
    <w:rsid w:val="00E9390F"/>
    <w:rsid w:val="00E93F01"/>
    <w:rsid w:val="00E961FB"/>
    <w:rsid w:val="00EA1A76"/>
    <w:rsid w:val="00EA4548"/>
    <w:rsid w:val="00EC06B7"/>
    <w:rsid w:val="00EC23A6"/>
    <w:rsid w:val="00ED1613"/>
    <w:rsid w:val="00ED226E"/>
    <w:rsid w:val="00ED4610"/>
    <w:rsid w:val="00EE6C2B"/>
    <w:rsid w:val="00EF20C6"/>
    <w:rsid w:val="00EF5A8F"/>
    <w:rsid w:val="00EF5EDA"/>
    <w:rsid w:val="00EF6A1D"/>
    <w:rsid w:val="00EF7BF5"/>
    <w:rsid w:val="00F01C02"/>
    <w:rsid w:val="00F046D0"/>
    <w:rsid w:val="00F104E3"/>
    <w:rsid w:val="00F1185A"/>
    <w:rsid w:val="00F16819"/>
    <w:rsid w:val="00F31A64"/>
    <w:rsid w:val="00F32D82"/>
    <w:rsid w:val="00F437FB"/>
    <w:rsid w:val="00F4774C"/>
    <w:rsid w:val="00F50DE4"/>
    <w:rsid w:val="00F54EBD"/>
    <w:rsid w:val="00F71032"/>
    <w:rsid w:val="00F74FCF"/>
    <w:rsid w:val="00F75E0D"/>
    <w:rsid w:val="00F80AE5"/>
    <w:rsid w:val="00F92251"/>
    <w:rsid w:val="00FA080B"/>
    <w:rsid w:val="00FB63A4"/>
    <w:rsid w:val="00FC223F"/>
    <w:rsid w:val="00FE66EE"/>
    <w:rsid w:val="00FF08CD"/>
    <w:rsid w:val="00FF1DCA"/>
    <w:rsid w:val="00FF75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7400D"/>
  <w15:docId w15:val="{66554267-CF48-46ED-A5E9-774F35AF7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5">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6">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earch.fotocasa.es" TargetMode="External"/><Relationship Id="rId18" Type="http://schemas.openxmlformats.org/officeDocument/2006/relationships/hyperlink" Target="https://datavenues.com/" TargetMode="External"/><Relationship Id="rId3" Type="http://schemas.openxmlformats.org/officeDocument/2006/relationships/styles" Target="styles.xml"/><Relationship Id="rId21" Type="http://schemas.openxmlformats.org/officeDocument/2006/relationships/hyperlink" Target="https://www.immobilienscout24.de/"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profesionales.fotocasa.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inmoweb.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footer" Target="footer1.xml"/><Relationship Id="rId10" Type="http://schemas.openxmlformats.org/officeDocument/2006/relationships/hyperlink" Target="https://profesionales.fotocasa.es/" TargetMode="External"/><Relationship Id="rId19" Type="http://schemas.openxmlformats.org/officeDocument/2006/relationships/hyperlink" Target="https://get.witei.com/en/" TargetMode="External"/><Relationship Id="rId4" Type="http://schemas.openxmlformats.org/officeDocument/2006/relationships/settings" Target="settings.xml"/><Relationship Id="rId9" Type="http://schemas.openxmlformats.org/officeDocument/2006/relationships/hyperlink" Target="https://datavenues.com/"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FV/tpuBkNjD7Ws1pWVN54z2F1w==">CgMxLjA4AHIhMWlHU0xqR3E3dXpGVTljTkQ3enl2c3BxdE0zWS1IMWZT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4</Pages>
  <Words>1314</Words>
  <Characters>7227</Characters>
  <Application>Microsoft Office Word</Application>
  <DocSecurity>0</DocSecurity>
  <Lines>60</Lines>
  <Paragraphs>17</Paragraphs>
  <ScaleCrop>false</ScaleCrop>
  <Company/>
  <LinksUpToDate>false</LinksUpToDate>
  <CharactersWithSpaces>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342</cp:revision>
  <dcterms:created xsi:type="dcterms:W3CDTF">2024-02-06T13:46:00Z</dcterms:created>
  <dcterms:modified xsi:type="dcterms:W3CDTF">2026-05-26T15:17:00Z</dcterms:modified>
</cp:coreProperties>
</file>