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-1080115</wp:posOffset>
            </wp:positionH>
            <wp:positionV relativeFrom="paragraph">
              <wp:posOffset>-654664</wp:posOffset>
            </wp:positionV>
            <wp:extent cx="7581265" cy="101917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National" w:cs="National" w:eastAsia="National" w:hAnsi="National"/>
          <w:color w:val="303ab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National" w:cs="National" w:eastAsia="National" w:hAnsi="National"/>
          <w:color w:val="303ab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National" w:cs="National" w:eastAsia="National" w:hAnsi="National"/>
          <w:b w:val="1"/>
          <w:bCs w:val="1"/>
          <w:color w:val="1dbdc5"/>
          <w:sz w:val="34"/>
          <w:szCs w:val="34"/>
        </w:rPr>
      </w:pPr>
      <w:r w:rsidDel="00000000" w:rsidR="00000000" w:rsidRPr="00000000">
        <w:rPr>
          <w:rFonts w:ascii="National" w:cs="National" w:eastAsia="National" w:hAnsi="National"/>
          <w:b w:val="1"/>
          <w:bCs w:val="1"/>
          <w:color w:val="1dbdc5"/>
          <w:sz w:val="34"/>
          <w:szCs w:val="34"/>
          <w:rtl w:val="0"/>
        </w:rPr>
        <w:t xml:space="preserve">PROFESIONALIZACIÓN DEL SECTOR INMOBILIARIO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Open Sans Light" w:cs="Open Sans Light" w:eastAsia="Open Sans Light" w:hAnsi="Open Sans Light"/>
          <w:b w:val="1"/>
          <w:bCs w:val="1"/>
          <w:color w:val="303ab2"/>
          <w:sz w:val="22"/>
          <w:szCs w:val="22"/>
        </w:rPr>
      </w:pPr>
      <w:r w:rsidDel="00000000" w:rsidR="00000000" w:rsidRPr="00000000">
        <w:rPr>
          <w:rFonts w:ascii="National" w:cs="National" w:eastAsia="National" w:hAnsi="National"/>
          <w:b w:val="1"/>
          <w:bCs w:val="1"/>
          <w:color w:val="303ab2"/>
          <w:sz w:val="44"/>
          <w:szCs w:val="44"/>
          <w:rtl w:val="0"/>
        </w:rPr>
        <w:t xml:space="preserve">El asesoramiento inmobiliario en auge: el 62% de los españoles se plantea pedir ayuda a un profesional para vender o alquilar una vivienda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rFonts w:ascii="Open Sans Light" w:cs="Open Sans Light" w:eastAsia="Open Sans Light" w:hAnsi="Open Sans Light"/>
          <w:b w:val="1"/>
          <w:bCs w:val="1"/>
          <w:color w:val="303ab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303ab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303ab2"/>
          <w:sz w:val="24"/>
          <w:szCs w:val="24"/>
          <w:u w:val="none"/>
          <w:shd w:fill="auto" w:val="clear"/>
          <w:vertAlign w:val="baseline"/>
          <w:rtl w:val="0"/>
        </w:rPr>
        <w:t xml:space="preserve">El 30% de los españoles activos en el mercado inmobiliario recurren a asesoría profesional, mientras que otro 32% se plantea hacerlo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303ab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303ab2"/>
          <w:sz w:val="24"/>
          <w:szCs w:val="24"/>
          <w:u w:val="none"/>
          <w:shd w:fill="auto" w:val="clear"/>
          <w:vertAlign w:val="baseline"/>
          <w:rtl w:val="0"/>
        </w:rPr>
        <w:t xml:space="preserve">Un 60% de vendedores y un 42% de arrendadores utiliza estos servicios. En la demanda estos porcentajes son del 26% en la compra y el 16% en el alquiler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303ab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303ab2"/>
          <w:sz w:val="24"/>
          <w:szCs w:val="24"/>
          <w:u w:val="none"/>
          <w:shd w:fill="auto" w:val="clear"/>
          <w:vertAlign w:val="baseline"/>
          <w:rtl w:val="0"/>
        </w:rPr>
        <w:t xml:space="preserve">El segmento de edad de los mayores de 55 años es el que más recurre a profesionales, en un 40% de los casos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303ab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303ab2"/>
          <w:sz w:val="24"/>
          <w:szCs w:val="24"/>
          <w:u w:val="none"/>
          <w:shd w:fill="auto" w:val="clear"/>
          <w:vertAlign w:val="baseline"/>
          <w:rtl w:val="0"/>
        </w:rPr>
        <w:t xml:space="preserve">Cataluña es el territorio donde los particulares más recurren a la ayuda profesional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rFonts w:ascii="Open Sans Light" w:cs="Open Sans Light" w:eastAsia="Open Sans Light" w:hAnsi="Open Sans Light"/>
          <w:b w:val="1"/>
          <w:bCs w:val="1"/>
          <w:color w:val="303ab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589"/>
        </w:tabs>
        <w:spacing w:line="276" w:lineRule="auto"/>
        <w:jc w:val="both"/>
        <w:rPr>
          <w:rFonts w:ascii="Open Sans Light" w:cs="Open Sans Light" w:eastAsia="Open Sans Light" w:hAnsi="Open Sans Light"/>
          <w:b w:val="1"/>
          <w:bCs w:val="1"/>
          <w:color w:val="303ab2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color w:val="303ab2"/>
          <w:rtl w:val="0"/>
        </w:rPr>
        <w:t xml:space="preserve">Madrid, 20 de mayo de 2026</w:t>
        <w:tab/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589"/>
        </w:tabs>
        <w:spacing w:line="276" w:lineRule="auto"/>
        <w:jc w:val="both"/>
        <w:rPr>
          <w:rFonts w:ascii="Open Sans Light" w:cs="Open Sans Light" w:eastAsia="Open Sans Light" w:hAnsi="Open Sans Light"/>
          <w:b w:val="1"/>
          <w:bCs w:val="1"/>
          <w:color w:val="303ab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Seis de cada diez españoles (un 62%, en concreto) que participan en el mercado de la vivienda recurren o se plantean hacerlo a servicios de asesoría profesional para vender o alquilar una vivienda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según los últimos datos de </w:t>
      </w:r>
      <w:hyperlink r:id="rId8">
        <w:r w:rsidDel="00000000" w:rsidR="00000000" w:rsidRPr="00000000">
          <w:rPr>
            <w:rFonts w:ascii="Open Sans" w:cs="Open Sans" w:eastAsia="Open Sans" w:hAnsi="Open Sans"/>
            <w:color w:val="0000ff"/>
            <w:u w:val="single"/>
            <w:rtl w:val="0"/>
          </w:rPr>
          <w:t xml:space="preserve">Fotocasa Research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, que engloba las distintas acciones del sector, ya sea de compraventa, puesta en alquiler o demanda de arrendamiento. Esta cifra demuestra que existe una tendencia creciente a recurrir a servicios especializados.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Ese porcentaje del 62% se desglosa en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un 30% que afirma que sí ha recurrido a ayuda profesional a la hora de afrontar su participación en el mercado de la vivienda y otro 32% se plantea buscar o ya está buscando ayuda de un profesional inmobiliario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Finalmente, los que no contemplan recurrir a este servicio constituyen el 38%.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"El hecho de que el 62% de los españoles busque o se plantee buscar ayuda profesional es un síntoma claro de la creciente complejidad del mercado inmobiliario. En un entorno donde la burocracia, los cambios normativos y la incertidumbre de precios están a la orden del día, el ciudadano ya no solo busca un intermediario, sino un asesor estratégico. Especialmente en el lado de la oferta, donde el 60% de los vendedores ya delega en profesionales, vemos que la seguridad jurídica y la capacidad de filtro que aporta un experto son valores indispensables para cerrar operaciones con éxito y tranquilidad",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comenta María Matos, directora de Estudios de </w:t>
      </w:r>
      <w:hyperlink r:id="rId9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u w:val="single"/>
            <w:rtl w:val="0"/>
          </w:rPr>
          <w:t xml:space="preserve">Fotocasa</w:t>
        </w:r>
      </w:hyperlink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National" w:cs="National" w:eastAsia="National" w:hAnsi="National"/>
          <w:b w:val="1"/>
          <w:bCs w:val="1"/>
          <w:color w:val="303ab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National" w:cs="National" w:eastAsia="National" w:hAnsi="National"/>
          <w:b w:val="1"/>
          <w:bCs w:val="1"/>
          <w:color w:val="303ab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National" w:cs="National" w:eastAsia="National" w:hAnsi="National"/>
          <w:b w:val="1"/>
          <w:bCs w:val="1"/>
          <w:color w:val="303ab2"/>
          <w:sz w:val="32"/>
          <w:szCs w:val="32"/>
        </w:rPr>
      </w:pPr>
      <w:r w:rsidDel="00000000" w:rsidR="00000000" w:rsidRPr="00000000">
        <w:rPr>
          <w:rFonts w:ascii="National" w:cs="National" w:eastAsia="National" w:hAnsi="National"/>
          <w:b w:val="1"/>
          <w:bCs w:val="1"/>
          <w:color w:val="303ab2"/>
          <w:sz w:val="32"/>
          <w:szCs w:val="32"/>
          <w:rtl w:val="0"/>
        </w:rPr>
        <w:t xml:space="preserve">Una gran diferencia entre los ofertantes y los demandantes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 efectuamos el análisis por el tipo de acciones que se han realizado en el mercado se observa que son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los vendedores de vivienda los que en mayor medida recurren a este tipo de servicios o tienen intención de hacerlo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Así, el 60% ha acudido a profesionales, mientras que el 18% se lo plantea. Únicamente el 22% de los vendedores descarta esta asesoría.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Les siguen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los arrendadores, es decir, quienes deciden poner en alquiler una vivienda de su propiedad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los cuales se apoyan en la asesoría profesional en el 42% de los casos, con un 18% que también se lo plantean.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 siguiente grupo que más contempla esta ayuda es el integrado por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los compradores, que se sirven de servicios profesionales en el 26% de los casos, con otro 39% pendientes de dar el paso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de ser aconsejados por expertos en la materia.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Por último,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los inquilinos solo recurren a esta asesoría en el 16% de los casos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si bien existe otro 37% que se propone hacerlo.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ptos" w:cs="Aptos" w:eastAsia="Aptos" w:hAnsi="Aptos"/>
          <w:b w:val="1"/>
          <w:bCs w:val="1"/>
          <w:smallCaps w:val="1"/>
          <w:color w:val="3039b2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mallCaps w:val="1"/>
          <w:color w:val="3039b2"/>
          <w:sz w:val="32"/>
          <w:szCs w:val="32"/>
          <w:rtl w:val="0"/>
        </w:rPr>
        <w:t xml:space="preserve">ayuda profesional en la compraventa o alquiler por grupos</w:t>
      </w:r>
    </w:p>
    <w:p w:rsidR="00000000" w:rsidDel="00000000" w:rsidP="00000000" w:rsidRDefault="00000000" w:rsidRPr="00000000" w14:paraId="00000027">
      <w:pPr>
        <w:rPr>
          <w:rFonts w:ascii="Aptos" w:cs="Aptos" w:eastAsia="Aptos" w:hAnsi="Aptos"/>
          <w:b w:val="1"/>
          <w:bCs w:val="1"/>
          <w:smallCaps w:val="1"/>
          <w:color w:val="3039b2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mallCaps w:val="1"/>
          <w:color w:val="3039b2"/>
          <w:sz w:val="22"/>
          <w:szCs w:val="22"/>
        </w:rPr>
        <w:drawing>
          <wp:inline distB="0" distT="0" distL="0" distR="0">
            <wp:extent cx="5755005" cy="25241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2524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 nos quedamos únicamente con el dato desagregado,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resulta significativa la diferencia entre ofertantes y demandantes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 la hora de recurrir a servicios profesionales: lo hacen el 60% de los vendedores y el 42% de los arrendadores; mientras que entre los compradores ese porcentaje es del 26% y entre los demandantes de alquiler se queda solo en el 16%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National" w:cs="National" w:eastAsia="National" w:hAnsi="National"/>
          <w:b w:val="1"/>
          <w:bCs w:val="1"/>
          <w:color w:val="303ab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National" w:cs="National" w:eastAsia="National" w:hAnsi="National"/>
          <w:b w:val="1"/>
          <w:bCs w:val="1"/>
          <w:color w:val="303ab2"/>
          <w:sz w:val="32"/>
          <w:szCs w:val="32"/>
        </w:rPr>
      </w:pPr>
      <w:r w:rsidDel="00000000" w:rsidR="00000000" w:rsidRPr="00000000">
        <w:rPr>
          <w:rFonts w:ascii="National" w:cs="National" w:eastAsia="National" w:hAnsi="National"/>
          <w:b w:val="1"/>
          <w:bCs w:val="1"/>
          <w:color w:val="303ab2"/>
          <w:sz w:val="32"/>
          <w:szCs w:val="32"/>
          <w:rtl w:val="0"/>
        </w:rPr>
        <w:t xml:space="preserve">Los mayores de 55 años son los que más recurren a ayuda profesional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Por segmentos de edad, vemos cómo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los mayores de 55 años son los que cuentan en mayor medida con ayuda profesional (40%, más otro 21% que se lo plantean).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Tras ellos, los particulares que suman entre 45 y 54 años recurren a asesoría en el 32 % de los casos, más otro 31 % que se lo plantea.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 el otro polo, son los más jóvenes los que en menor medida acuden a estos servicios, tan solo en un 19 % de los casos, aunque los que sí se proponen servirse de profesionales ascienden hasta el 49 %, el porcentaje más alto de todos los segmentos de edad.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ptos" w:cs="Aptos" w:eastAsia="Aptos" w:hAnsi="Aptos"/>
          <w:b w:val="1"/>
          <w:bCs w:val="1"/>
          <w:smallCaps w:val="1"/>
          <w:color w:val="3039b2"/>
          <w:sz w:val="30"/>
          <w:szCs w:val="3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mallCaps w:val="1"/>
          <w:color w:val="3039b2"/>
          <w:sz w:val="30"/>
          <w:szCs w:val="30"/>
          <w:rtl w:val="0"/>
        </w:rPr>
        <w:t xml:space="preserve">ayuda profesional en compraventa o alquiler por segmentos de edad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</w:rPr>
        <w:drawing>
          <wp:inline distB="0" distT="0" distL="0" distR="0">
            <wp:extent cx="5760720" cy="28733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3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Por territorios también se observa una normalización creciente de la práctica de acudir a asesoría profesional relacionada con el mercado inmobiliario. En este sentido,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Cataluña es la comunidad más proclive a esta tendencia, con un 34% de particulares activos en el mercado que recurren a estos servicios y otro 34% que se plantean hacerlo.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 sigue la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Comunidad de Madrid, también con un 34% de clientes de estos despachos, aunque con un porcentaje menor de potenciales usuarios que Cataluña (un 28%)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Madrid también destaca en cuanto a que es la comunidad donde más alto es el porcentaje de los que ni han usado estos servicios ni se plantean hacerlo, con un 38%.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Más atrás, pero muy cerca de los dos primeros territorios, se sitúa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la Comunidad Valenciana, con un 33% y un 31%, respectivamente.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Cierra la clasificación de estas cuatro áreas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Andalucía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con un 28% y un 35% respectivamente.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ptos" w:cs="Aptos" w:eastAsia="Aptos" w:hAnsi="Aptos"/>
          <w:b w:val="1"/>
          <w:bCs w:val="1"/>
          <w:smallCaps w:val="1"/>
          <w:color w:val="3039b2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mallCaps w:val="1"/>
          <w:color w:val="3039b2"/>
          <w:sz w:val="32"/>
          <w:szCs w:val="32"/>
          <w:rtl w:val="0"/>
        </w:rPr>
        <w:t xml:space="preserve">ayuda profesional en compraventa o alquiler por CCAA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</w:rPr>
        <w:drawing>
          <wp:inline distB="0" distT="0" distL="0" distR="0">
            <wp:extent cx="5760720" cy="223075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0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right"/>
        <w:rPr>
          <w:rFonts w:ascii="Open Sans Light" w:cs="Open Sans Light" w:eastAsia="Open Sans Light" w:hAnsi="Open Sans Light"/>
          <w:b w:val="1"/>
          <w:bCs w:val="1"/>
          <w:color w:val="303ab2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color w:val="303ab2"/>
          <w:rtl w:val="0"/>
        </w:rPr>
        <w:t xml:space="preserve">Sobre Fotocasa</w:t>
      </w:r>
    </w:p>
    <w:p w:rsidR="00000000" w:rsidDel="00000000" w:rsidP="00000000" w:rsidRDefault="00000000" w:rsidRPr="00000000" w14:paraId="0000004D">
      <w:pPr>
        <w:shd w:fill="ffffff" w:val="clear"/>
        <w:spacing w:after="280" w:before="280"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Fotocasa es uno de los principales portales inmobiliarios de España, con una amplia oferta de viviendas de segunda mano, promociones de obra nueva y alquileres que pertenece 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Fotocasa Group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shd w:fill="ffffff" w:val="clear"/>
        <w:spacing w:after="280" w:before="280"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Mensualmente, elabora el </w:t>
      </w:r>
      <w:hyperlink r:id="rId13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Índice inmobiliario Fotocasa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un informe de referencia que analiza la evolución del precio medio de la vivienda en España, tanto en venta como en alquiler. Desde 2017, desarrolla además estudios sociológicos bajo el sello </w:t>
      </w:r>
      <w:hyperlink r:id="rId14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Fotocasa Research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con el objetivo de aportar conocimiento y análisis en profundidad sobre las tendencias del mercado y el comportamiento de los ciudadanos en relación con la vivienda.</w:t>
      </w:r>
    </w:p>
    <w:p w:rsidR="00000000" w:rsidDel="00000000" w:rsidP="00000000" w:rsidRDefault="00000000" w:rsidRPr="00000000" w14:paraId="0000004F">
      <w:pPr>
        <w:shd w:fill="ffffff" w:val="clear"/>
        <w:spacing w:after="280" w:before="280"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Toda la información y los últimos comunicados están disponibles en su </w:t>
      </w:r>
      <w:hyperlink r:id="rId15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Sala de Prensa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Open Sans Light" w:cs="Open Sans Light" w:eastAsia="Open Sans Light" w:hAnsi="Open Sans Light"/>
          <w:b w:val="1"/>
          <w:bCs w:val="1"/>
          <w:color w:val="303ab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right"/>
        <w:rPr>
          <w:rFonts w:ascii="Open Sans Light" w:cs="Open Sans Light" w:eastAsia="Open Sans Light" w:hAnsi="Open Sans Light"/>
          <w:b w:val="1"/>
          <w:bCs w:val="1"/>
          <w:color w:val="303ab2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color w:val="303ab2"/>
          <w:rtl w:val="0"/>
        </w:rPr>
        <w:t xml:space="preserve">Sobre Fotocasa Group</w:t>
      </w:r>
    </w:p>
    <w:p w:rsidR="00000000" w:rsidDel="00000000" w:rsidP="00000000" w:rsidRDefault="00000000" w:rsidRPr="00000000" w14:paraId="00000052">
      <w:pPr>
        <w:shd w:fill="ffffff" w:val="clear"/>
        <w:spacing w:after="280" w:before="280"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Fotocasa Group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 es un referente del sector inmobiliario en España,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con más de 25 años de experiencia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 liderando la transformación del real estate a través de la innovación, los datos y la tecnología.</w:t>
      </w:r>
    </w:p>
    <w:p w:rsidR="00000000" w:rsidDel="00000000" w:rsidP="00000000" w:rsidRDefault="00000000" w:rsidRPr="00000000" w14:paraId="00000053">
      <w:pPr>
        <w:shd w:fill="ffffff" w:val="clear"/>
        <w:spacing w:after="280" w:before="280"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Bajo su marca paraguas, Fotocasa Group impulsa y da visibilidad a un ecosistema de marcas líderes —</w:t>
      </w:r>
      <w:hyperlink r:id="rId16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Fotocasa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</w:t>
      </w:r>
      <w:hyperlink r:id="rId17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habitaclia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</w:t>
      </w:r>
      <w:hyperlink r:id="rId18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Fotocasa Pro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</w:t>
      </w:r>
      <w:hyperlink r:id="rId19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Datavenues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</w:t>
      </w:r>
      <w:hyperlink r:id="rId20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Witei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e </w:t>
      </w:r>
      <w:hyperlink r:id="rId21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0000ff"/>
            <w:sz w:val="22"/>
            <w:szCs w:val="22"/>
            <w:rtl w:val="0"/>
          </w:rPr>
          <w:t xml:space="preserve">Inmoweb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— que ofrecen soluciones integrales tanto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para particulares como para profesionales del sector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4">
      <w:pPr>
        <w:shd w:fill="ffffff" w:val="clear"/>
        <w:spacing w:after="280" w:before="280"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Fotocasa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la marca insignia del grupo, conecta cada día a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millones de personas con su próximo hogar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ofreciendo la mayor oferta de viviendas de segunda mano, obra nueva, alquiler y compraventa, junto con análisis y contenidos que la consolidan como un auténtico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referente del mercado inmobiliario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Fotocasa Group forma parte de Scout24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el grupo tecnológico alemán líder en Europa que opera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ImmoScout24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right"/>
        <w:rPr>
          <w:rFonts w:ascii="Open Sans Light" w:cs="Open Sans Light" w:eastAsia="Open Sans Light" w:hAnsi="Open Sans Light"/>
          <w:b w:val="1"/>
          <w:bCs w:val="1"/>
          <w:color w:val="303ab2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color w:val="303ab2"/>
          <w:rtl w:val="0"/>
        </w:rPr>
        <w:t xml:space="preserve">Sobre Scout24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Scout24 es una de las empresas tecnológicas líderes en Alemania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Con el marketplace </w:t>
      </w:r>
      <w:hyperlink r:id="rId22">
        <w:r w:rsidDel="00000000" w:rsidR="00000000" w:rsidRPr="00000000">
          <w:rPr>
            <w:rFonts w:ascii="Open Sans" w:cs="Open Sans" w:eastAsia="Open Sans" w:hAnsi="Open Sans"/>
            <w:color w:val="0000ff"/>
            <w:sz w:val="22"/>
            <w:szCs w:val="22"/>
            <w:u w:val="single"/>
            <w:rtl w:val="0"/>
          </w:rPr>
          <w:t xml:space="preserve">ImmoScout24</w:t>
        </w:r>
      </w:hyperlink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especializado en el sector residencial y comercial, conectamos con éxito a propietarios, agentes inmobiliarios, inquilinos y compradores desde hace más de 25 años.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Con aproximadamente 19 millones de usuarios al mes en su web o aplicación,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ImmoScout24 es el líder del mercado en listados y búsqueda inmobiliaria digital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Para digitalizar el proceso de las transacciones inmobiliarias, ImmoScout24 desarrolla continuamente nuevos productos y construye un ecosistema conectado y rico en datos para el alquiler, la compra y el sector inmobiliario comercial en Alemania y Austria. Scout24 es una sociedad anónima que cotiza en bolsa (ISIN: DE000A12DM80, Ticker: G24) y miembro del DAX, así como del DAX 50 ESG y el DAX 50 ESG+.</w:t>
      </w:r>
    </w:p>
    <w:p w:rsidR="00000000" w:rsidDel="00000000" w:rsidP="00000000" w:rsidRDefault="00000000" w:rsidRPr="00000000" w14:paraId="0000005C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Open Sans Light" w:cs="Open Sans Light" w:eastAsia="Open Sans Light" w:hAnsi="Open Sans Light"/>
          <w:b w:val="1"/>
          <w:bCs w:val="1"/>
          <w:color w:val="303ab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Open Sans Light" w:cs="Open Sans Light" w:eastAsia="Open Sans Light" w:hAnsi="Open Sans Light"/>
          <w:b w:val="1"/>
          <w:bCs w:val="1"/>
          <w:color w:val="303ab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Open Sans Light" w:cs="Open Sans Light" w:eastAsia="Open Sans Light" w:hAnsi="Open Sans Light"/>
          <w:b w:val="1"/>
          <w:bCs w:val="1"/>
          <w:color w:val="303ab2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b w:val="1"/>
          <w:bCs w:val="1"/>
          <w:color w:val="303ab2"/>
          <w:sz w:val="22"/>
          <w:szCs w:val="22"/>
          <w:rtl w:val="0"/>
        </w:rPr>
        <w:t xml:space="preserve">Departamento Comunicación Fotocasa</w:t>
      </w:r>
    </w:p>
    <w:p w:rsidR="00000000" w:rsidDel="00000000" w:rsidP="00000000" w:rsidRDefault="00000000" w:rsidRPr="00000000" w14:paraId="00000060">
      <w:pPr>
        <w:shd w:fill="ffffff" w:val="clear"/>
        <w:spacing w:line="276" w:lineRule="auto"/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Anaïs García</w:t>
      </w:r>
    </w:p>
    <w:p w:rsidR="00000000" w:rsidDel="00000000" w:rsidP="00000000" w:rsidRDefault="00000000" w:rsidRPr="00000000" w14:paraId="00000061">
      <w:pPr>
        <w:shd w:fill="ffffff" w:val="clear"/>
        <w:spacing w:line="276" w:lineRule="auto"/>
        <w:rPr>
          <w:rFonts w:ascii="Open Sans" w:cs="Open Sans" w:eastAsia="Open Sans" w:hAnsi="Open Sans"/>
          <w:color w:val="0000ff"/>
          <w:sz w:val="22"/>
          <w:szCs w:val="22"/>
          <w:u w:val="single"/>
        </w:rPr>
      </w:pPr>
      <w:hyperlink r:id="rId23">
        <w:r w:rsidDel="00000000" w:rsidR="00000000" w:rsidRPr="00000000">
          <w:rPr>
            <w:rFonts w:ascii="Open Sans" w:cs="Open Sans" w:eastAsia="Open Sans" w:hAnsi="Open Sans"/>
            <w:color w:val="0000ff"/>
            <w:sz w:val="22"/>
            <w:szCs w:val="22"/>
            <w:u w:val="single"/>
            <w:rtl w:val="0"/>
          </w:rPr>
          <w:t xml:space="preserve">comunicacion@fotocasa.es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276" w:lineRule="auto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620 66 29 26</w:t>
      </w:r>
    </w:p>
    <w:p w:rsidR="00000000" w:rsidDel="00000000" w:rsidP="00000000" w:rsidRDefault="00000000" w:rsidRPr="00000000" w14:paraId="00000063">
      <w:pPr>
        <w:spacing w:line="276" w:lineRule="auto"/>
        <w:jc w:val="right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24" w:type="default"/>
      <w:pgSz w:h="16840" w:w="11900" w:orient="portrait"/>
      <w:pgMar w:bottom="1417" w:top="1417" w:left="1701" w:right="11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ptos"/>
  <w:font w:name="National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-1068039</wp:posOffset>
          </wp:positionH>
          <wp:positionV relativeFrom="paragraph">
            <wp:posOffset>174608</wp:posOffset>
          </wp:positionV>
          <wp:extent cx="7670550" cy="451315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0550" cy="4513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et.witei.com/en/" TargetMode="External"/><Relationship Id="rId11" Type="http://schemas.openxmlformats.org/officeDocument/2006/relationships/image" Target="media/image1.png"/><Relationship Id="rId22" Type="http://schemas.openxmlformats.org/officeDocument/2006/relationships/hyperlink" Target="https://www.immobilienscout24.de/" TargetMode="External"/><Relationship Id="rId10" Type="http://schemas.openxmlformats.org/officeDocument/2006/relationships/image" Target="media/image3.png"/><Relationship Id="rId21" Type="http://schemas.openxmlformats.org/officeDocument/2006/relationships/hyperlink" Target="https://www.inmoweb.es/" TargetMode="External"/><Relationship Id="rId13" Type="http://schemas.openxmlformats.org/officeDocument/2006/relationships/hyperlink" Target="https://www.fotocasa.es/indice/" TargetMode="External"/><Relationship Id="rId24" Type="http://schemas.openxmlformats.org/officeDocument/2006/relationships/footer" Target="footer1.xml"/><Relationship Id="rId12" Type="http://schemas.openxmlformats.org/officeDocument/2006/relationships/image" Target="media/image5.png"/><Relationship Id="rId23" Type="http://schemas.openxmlformats.org/officeDocument/2006/relationships/hyperlink" Target="mailto:comunicacion@fotocasa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otocasa.es" TargetMode="External"/><Relationship Id="rId15" Type="http://schemas.openxmlformats.org/officeDocument/2006/relationships/hyperlink" Target="http://prensa.fotocasa.es" TargetMode="External"/><Relationship Id="rId14" Type="http://schemas.openxmlformats.org/officeDocument/2006/relationships/hyperlink" Target="https://www.research.fotocasa.es" TargetMode="External"/><Relationship Id="rId17" Type="http://schemas.openxmlformats.org/officeDocument/2006/relationships/hyperlink" Target="https://www.habitaclia.com/" TargetMode="External"/><Relationship Id="rId16" Type="http://schemas.openxmlformats.org/officeDocument/2006/relationships/hyperlink" Target="https://www.fotocasa.es" TargetMode="External"/><Relationship Id="rId5" Type="http://schemas.openxmlformats.org/officeDocument/2006/relationships/styles" Target="styles.xml"/><Relationship Id="rId19" Type="http://schemas.openxmlformats.org/officeDocument/2006/relationships/hyperlink" Target="https://datavenues.com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profesionales.fotocasa.es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research.fotocasa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Light-regular.ttf"/><Relationship Id="rId4" Type="http://schemas.openxmlformats.org/officeDocument/2006/relationships/font" Target="fonts/OpenSansLight-bold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OpenSansLight-italic.ttf"/><Relationship Id="rId6" Type="http://schemas.openxmlformats.org/officeDocument/2006/relationships/font" Target="fonts/OpenSansLight-boldItalic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0CMb9dLSViCxFq5I8Oqt6ZkpA==">CgMxLjA4AHIhMVhwbmlBWUxTSXV0amZCWnVVY2FjT19EQXdZTkFBbGNT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