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58BCA" w14:textId="77777777" w:rsidR="00BC4DB3" w:rsidRDefault="00000000">
      <w:r>
        <w:rPr>
          <w:noProof/>
        </w:rPr>
        <w:drawing>
          <wp:anchor distT="0" distB="0" distL="114300" distR="114300" simplePos="0" relativeHeight="251658240" behindDoc="0" locked="0" layoutInCell="1" hidden="0" allowOverlap="1" wp14:anchorId="3AB878FE" wp14:editId="52067D8B">
            <wp:simplePos x="0" y="0"/>
            <wp:positionH relativeFrom="column">
              <wp:posOffset>-1080114</wp:posOffset>
            </wp:positionH>
            <wp:positionV relativeFrom="paragraph">
              <wp:posOffset>-654663</wp:posOffset>
            </wp:positionV>
            <wp:extent cx="7581265" cy="101917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3A09F1E" w14:textId="77777777" w:rsidR="00BC4DB3" w:rsidRDefault="00BC4DB3">
      <w:pPr>
        <w:jc w:val="right"/>
        <w:rPr>
          <w:rFonts w:ascii="National" w:eastAsia="National" w:hAnsi="National" w:cs="National"/>
          <w:color w:val="303AB2"/>
          <w:sz w:val="36"/>
          <w:szCs w:val="36"/>
        </w:rPr>
      </w:pPr>
    </w:p>
    <w:p w14:paraId="240540D4" w14:textId="77777777" w:rsidR="00BC4DB3" w:rsidRDefault="00BC4DB3">
      <w:pPr>
        <w:rPr>
          <w:rFonts w:ascii="National" w:eastAsia="National" w:hAnsi="National" w:cs="National"/>
          <w:color w:val="303AB2"/>
          <w:sz w:val="18"/>
          <w:szCs w:val="18"/>
        </w:rPr>
      </w:pPr>
    </w:p>
    <w:p w14:paraId="7894D350" w14:textId="77777777" w:rsidR="00BC4DB3"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0"/>
          <w:szCs w:val="30"/>
        </w:rPr>
      </w:pPr>
      <w:r>
        <w:rPr>
          <w:rFonts w:ascii="National" w:eastAsia="National" w:hAnsi="National" w:cs="National"/>
          <w:b/>
          <w:bCs/>
          <w:color w:val="1DBDC5"/>
          <w:sz w:val="30"/>
          <w:szCs w:val="30"/>
        </w:rPr>
        <w:t>RADIOGRAFÍA DEL MERCADO DE LA VIVIENDA EN 2026</w:t>
      </w:r>
    </w:p>
    <w:p w14:paraId="007B9D27" w14:textId="00ABE16B" w:rsidR="00BC4DB3" w:rsidRDefault="00000000">
      <w:pPr>
        <w:pBdr>
          <w:top w:val="nil"/>
          <w:left w:val="nil"/>
          <w:bottom w:val="nil"/>
          <w:right w:val="nil"/>
          <w:between w:val="nil"/>
        </w:pBdr>
        <w:spacing w:line="276" w:lineRule="auto"/>
        <w:ind w:left="720"/>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Se dispara la búsqueda fallida de vivienda en Andalucía: los </w:t>
      </w:r>
      <w:r w:rsidR="00DD4824">
        <w:rPr>
          <w:rFonts w:ascii="National" w:eastAsia="National" w:hAnsi="National" w:cs="National"/>
          <w:b/>
          <w:bCs/>
          <w:color w:val="303AB2"/>
          <w:sz w:val="46"/>
          <w:szCs w:val="46"/>
        </w:rPr>
        <w:t>demandantes</w:t>
      </w:r>
      <w:r>
        <w:rPr>
          <w:rFonts w:ascii="National" w:eastAsia="National" w:hAnsi="National" w:cs="National"/>
          <w:b/>
          <w:bCs/>
          <w:color w:val="303AB2"/>
          <w:sz w:val="46"/>
          <w:szCs w:val="46"/>
        </w:rPr>
        <w:t xml:space="preserve"> inefectivos crecen hasta el 1</w:t>
      </w:r>
      <w:r w:rsidR="00DD4824">
        <w:rPr>
          <w:rFonts w:ascii="National" w:eastAsia="National" w:hAnsi="National" w:cs="National"/>
          <w:b/>
          <w:bCs/>
          <w:color w:val="303AB2"/>
          <w:sz w:val="46"/>
          <w:szCs w:val="46"/>
        </w:rPr>
        <w:t>6</w:t>
      </w:r>
      <w:r>
        <w:rPr>
          <w:rFonts w:ascii="National" w:eastAsia="National" w:hAnsi="National" w:cs="National"/>
          <w:b/>
          <w:bCs/>
          <w:color w:val="303AB2"/>
          <w:sz w:val="46"/>
          <w:szCs w:val="46"/>
        </w:rPr>
        <w:t>%</w:t>
      </w:r>
    </w:p>
    <w:p w14:paraId="214882AA" w14:textId="77777777" w:rsidR="00BC4DB3" w:rsidRDefault="00BC4DB3">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5C96EA6" w14:textId="77777777" w:rsidR="00BC4DB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Un 28% de los andaluces ha llevado a cabo alguna acción en el mercado inmobiliario, lo que supone un punto porcentual más que el año anterior </w:t>
      </w:r>
    </w:p>
    <w:p w14:paraId="4BA6D92B" w14:textId="77777777" w:rsidR="00BC4DB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Crece la búsqueda inefectiva de compra de vivienda, al pasar del 9% de 2025 al 11% doce meses después</w:t>
      </w:r>
    </w:p>
    <w:p w14:paraId="5AE6166B" w14:textId="77777777" w:rsidR="00BC4DB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compraventa gana peso frente al alquiler: el 17% busca comprar vivienda frente al 15% que quiere alquilar</w:t>
      </w:r>
    </w:p>
    <w:p w14:paraId="47F6F1DE" w14:textId="77777777" w:rsidR="00BC4DB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nacional “</w:t>
      </w:r>
      <w:hyperlink r:id="rId9">
        <w:r w:rsidR="00BC4DB3">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67A9BA2C" w14:textId="77777777" w:rsidR="00BC4DB3" w:rsidRDefault="00BC4DB3">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55812BB" w14:textId="77777777" w:rsidR="00BC4DB3"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mayo de 2026</w:t>
      </w:r>
      <w:r>
        <w:rPr>
          <w:rFonts w:ascii="Open Sans Light" w:eastAsia="Open Sans Light" w:hAnsi="Open Sans Light" w:cs="Open Sans Light"/>
          <w:b/>
          <w:bCs/>
          <w:color w:val="303AB2"/>
        </w:rPr>
        <w:tab/>
      </w:r>
    </w:p>
    <w:p w14:paraId="4ED38D96" w14:textId="77777777" w:rsidR="00BC4DB3" w:rsidRDefault="00BC4DB3">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24EBA4DC" w14:textId="77777777" w:rsidR="00BC4DB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acceso a la vivienda se complica cada vez más en Andalucía. En los últimos doce meses, </w:t>
      </w:r>
      <w:r>
        <w:rPr>
          <w:rFonts w:ascii="Open Sans" w:eastAsia="Open Sans" w:hAnsi="Open Sans" w:cs="Open Sans"/>
          <w:b/>
          <w:bCs/>
        </w:rPr>
        <w:t>un 16% de los andaluces ha intentado acceder a una vivienda sin conseguirlo, ya sea en compra o en alquiler</w:t>
      </w:r>
      <w:r>
        <w:rPr>
          <w:rFonts w:ascii="Open Sans" w:eastAsia="Open Sans" w:hAnsi="Open Sans" w:cs="Open Sans"/>
        </w:rPr>
        <w:t xml:space="preserve">. Se trata de un incremento respecto al 12% registrado un año antes y refleja el creciente desajuste entre la elevada demanda residencial y la escasez de oferta disponible, </w:t>
      </w:r>
      <w:r>
        <w:rPr>
          <w:rFonts w:ascii="Open Sans" w:eastAsia="Open Sans" w:hAnsi="Open Sans" w:cs="Open Sans"/>
          <w:b/>
          <w:bCs/>
        </w:rPr>
        <w:t>según el informe “</w:t>
      </w:r>
      <w:hyperlink r:id="rId10">
        <w:r w:rsidR="00BC4DB3">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1">
        <w:r w:rsidR="00BC4DB3">
          <w:rPr>
            <w:rFonts w:ascii="Open Sans" w:eastAsia="Open Sans" w:hAnsi="Open Sans" w:cs="Open Sans"/>
            <w:b/>
            <w:bCs/>
            <w:color w:val="0000FF"/>
            <w:u w:val="single"/>
          </w:rPr>
          <w:t>Fotocasa Research</w:t>
        </w:r>
      </w:hyperlink>
      <w:r>
        <w:rPr>
          <w:rFonts w:ascii="Open Sans" w:eastAsia="Open Sans" w:hAnsi="Open Sans" w:cs="Open Sans"/>
        </w:rPr>
        <w:t>.</w:t>
      </w:r>
    </w:p>
    <w:p w14:paraId="7F205EF0"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17E72748" w14:textId="77777777" w:rsidR="00BC4DB3" w:rsidRDefault="00000000">
      <w:pPr>
        <w:spacing w:line="276" w:lineRule="auto"/>
        <w:jc w:val="both"/>
        <w:rPr>
          <w:rFonts w:ascii="Open Sans" w:eastAsia="Open Sans" w:hAnsi="Open Sans" w:cs="Open Sans"/>
        </w:rPr>
      </w:pPr>
      <w:r>
        <w:rPr>
          <w:rFonts w:ascii="Open Sans" w:eastAsia="Open Sans" w:hAnsi="Open Sans" w:cs="Open Sans"/>
        </w:rPr>
        <w:t xml:space="preserve">Consecuentemente, en el lado opuesto, </w:t>
      </w:r>
      <w:r>
        <w:rPr>
          <w:rFonts w:ascii="Open Sans" w:eastAsia="Open Sans" w:hAnsi="Open Sans" w:cs="Open Sans"/>
          <w:b/>
          <w:bCs/>
        </w:rPr>
        <w:t>los demandantes efectivos se reducen, si bien en este caso en menor proporción, retrocediendo desde el 12% al 11%.</w:t>
      </w:r>
      <w:r>
        <w:rPr>
          <w:rFonts w:ascii="Open Sans" w:eastAsia="Open Sans" w:hAnsi="Open Sans" w:cs="Open Sans"/>
        </w:rPr>
        <w:t xml:space="preserve"> Si llevamos estos valores a la comparación con los anotados en el conjunto de España vemos que estos coinciden exactamente con los andaluces (16% inefectivos y 11% efectivos). </w:t>
      </w:r>
    </w:p>
    <w:p w14:paraId="19DAC602" w14:textId="77777777" w:rsidR="00BC4DB3" w:rsidRDefault="00BC4DB3">
      <w:pPr>
        <w:spacing w:line="276" w:lineRule="auto"/>
        <w:jc w:val="both"/>
        <w:rPr>
          <w:rFonts w:ascii="Open Sans" w:eastAsia="Open Sans" w:hAnsi="Open Sans" w:cs="Open Sans"/>
        </w:rPr>
      </w:pPr>
    </w:p>
    <w:p w14:paraId="78EAEDD3" w14:textId="6EB8CCF1" w:rsidR="00BC4DB3" w:rsidRDefault="00000000">
      <w:pPr>
        <w:spacing w:line="276" w:lineRule="auto"/>
        <w:jc w:val="both"/>
        <w:rPr>
          <w:rFonts w:ascii="Open Sans" w:eastAsia="Open Sans" w:hAnsi="Open Sans" w:cs="Open Sans"/>
        </w:rPr>
      </w:pPr>
      <w:r>
        <w:rPr>
          <w:rFonts w:ascii="Open Sans" w:eastAsia="Open Sans" w:hAnsi="Open Sans" w:cs="Open Sans"/>
          <w:b/>
          <w:bCs/>
        </w:rPr>
        <w:t>Este significativo aumento de la demanda no efectiva en Andalucía se da, sobre todo, del lado de la compra</w:t>
      </w:r>
      <w:r>
        <w:rPr>
          <w:rFonts w:ascii="Open Sans" w:eastAsia="Open Sans" w:hAnsi="Open Sans" w:cs="Open Sans"/>
        </w:rPr>
        <w:t>, que sube dos puntos porcentuales con respecto a</w:t>
      </w:r>
      <w:r w:rsidR="000D5ABA">
        <w:rPr>
          <w:rFonts w:ascii="Open Sans" w:eastAsia="Open Sans" w:hAnsi="Open Sans" w:cs="Open Sans"/>
        </w:rPr>
        <w:t xml:space="preserve">l </w:t>
      </w:r>
      <w:r>
        <w:rPr>
          <w:rFonts w:ascii="Open Sans" w:eastAsia="Open Sans" w:hAnsi="Open Sans" w:cs="Open Sans"/>
        </w:rPr>
        <w:t>año</w:t>
      </w:r>
      <w:r w:rsidR="009639DF">
        <w:rPr>
          <w:rFonts w:ascii="Open Sans" w:eastAsia="Open Sans" w:hAnsi="Open Sans" w:cs="Open Sans"/>
        </w:rPr>
        <w:t xml:space="preserve"> pasado</w:t>
      </w:r>
      <w:r>
        <w:rPr>
          <w:rFonts w:ascii="Open Sans" w:eastAsia="Open Sans" w:hAnsi="Open Sans" w:cs="Open Sans"/>
        </w:rPr>
        <w:t xml:space="preserve"> —entonces eran el 9% los que habían tratado de adquirir </w:t>
      </w:r>
      <w:r>
        <w:rPr>
          <w:rFonts w:ascii="Open Sans" w:eastAsia="Open Sans" w:hAnsi="Open Sans" w:cs="Open Sans"/>
        </w:rPr>
        <w:lastRenderedPageBreak/>
        <w:t xml:space="preserve">un inmueble sin éxito, frente al 11% del mismo mes de 2026 y el 13% que se alcanzó en agosto—. Pero también crece la demanda no efectiva de alquiler, que salta del 4% al 5%. Del mismo modo, la búsqueda fallida de una habitación en un piso compartido para alquilar sube un punto y pasa del 1% al 2%. </w:t>
      </w:r>
    </w:p>
    <w:p w14:paraId="67B2B335" w14:textId="77777777" w:rsidR="00BC4DB3" w:rsidRDefault="00BC4DB3">
      <w:pPr>
        <w:spacing w:line="276" w:lineRule="auto"/>
        <w:jc w:val="both"/>
        <w:rPr>
          <w:rFonts w:ascii="Open Sans" w:eastAsia="Open Sans" w:hAnsi="Open Sans" w:cs="Open Sans"/>
        </w:rPr>
      </w:pPr>
    </w:p>
    <w:p w14:paraId="4D91E653" w14:textId="77777777" w:rsidR="00BC4DB3" w:rsidRDefault="00000000">
      <w:pPr>
        <w:spacing w:line="276" w:lineRule="auto"/>
        <w:jc w:val="both"/>
        <w:rPr>
          <w:rFonts w:ascii="Open Sans" w:eastAsia="Open Sans" w:hAnsi="Open Sans" w:cs="Open Sans"/>
        </w:rPr>
      </w:pPr>
      <w:r>
        <w:rPr>
          <w:rFonts w:ascii="Open Sans" w:eastAsia="Open Sans" w:hAnsi="Open Sans" w:cs="Open Sans"/>
        </w:rPr>
        <w:t xml:space="preserve">"Andalucía refleja la situación de tensión que vive el mercado. Por primera vez en los últimos años, vemos un distanciamiento claro entre la compraventa y el alquiler: los andaluces tienen un mayor interés por la propiedad, pero se están encontrando con un acceso de rigidez extrema. Lo más preocupante de esta radiografía es el incremento de la demanda inefectiva. Que la demanda no efectiva haya saltado del 12% al 16% en solo un año es un síntoma inequívoco de que los ciudadanos quieren moverse, pero el mercado no se lo permite. La falta de vivienda y la escalada de precios son dos de los principales motivos para que muchos andaluces no encuentren la vivienda que necesitan”, </w:t>
      </w:r>
      <w:r>
        <w:rPr>
          <w:rFonts w:ascii="Open Sans" w:eastAsia="Open Sans" w:hAnsi="Open Sans" w:cs="Open Sans"/>
          <w:b/>
          <w:bCs/>
        </w:rPr>
        <w:t xml:space="preserve">explica María Matos, directora de Estudios de </w:t>
      </w:r>
      <w:hyperlink r:id="rId12">
        <w:r w:rsidR="00BC4DB3">
          <w:rPr>
            <w:rFonts w:ascii="Open Sans" w:eastAsia="Open Sans" w:hAnsi="Open Sans" w:cs="Open Sans"/>
            <w:b/>
            <w:bCs/>
            <w:color w:val="0000FF"/>
            <w:u w:val="single"/>
          </w:rPr>
          <w:t>Fotocasa</w:t>
        </w:r>
      </w:hyperlink>
      <w:r>
        <w:rPr>
          <w:rFonts w:ascii="Open Sans" w:eastAsia="Open Sans" w:hAnsi="Open Sans" w:cs="Open Sans"/>
          <w:b/>
          <w:bCs/>
        </w:rPr>
        <w:t xml:space="preserve">. </w:t>
      </w:r>
    </w:p>
    <w:p w14:paraId="713DD178" w14:textId="77777777" w:rsidR="00BC4DB3" w:rsidRDefault="00BC4DB3">
      <w:pPr>
        <w:spacing w:line="276" w:lineRule="auto"/>
        <w:jc w:val="both"/>
        <w:rPr>
          <w:rFonts w:ascii="Open Sans" w:eastAsia="Open Sans" w:hAnsi="Open Sans" w:cs="Open Sans"/>
        </w:rPr>
      </w:pPr>
    </w:p>
    <w:p w14:paraId="6B99E832" w14:textId="77777777" w:rsidR="00BC4DB3" w:rsidRDefault="00000000">
      <w:pPr>
        <w:spacing w:line="276" w:lineRule="auto"/>
        <w:jc w:val="both"/>
        <w:rPr>
          <w:rFonts w:ascii="Open Sans" w:eastAsia="Open Sans" w:hAnsi="Open Sans" w:cs="Open Sans"/>
        </w:rPr>
      </w:pPr>
      <w:r>
        <w:rPr>
          <w:rFonts w:ascii="Open Sans" w:eastAsia="Open Sans" w:hAnsi="Open Sans" w:cs="Open Sans"/>
        </w:rPr>
        <w:t>Respecto a las acciones de demanda efectivas en Andalucía, la medición comparativa respecto a 2025 revela un leve retroceso en el alquiler (del 7% de 2025 al 6% de 2026) y otro, en la misma proporción, en la compra (del 5% al 4%).</w:t>
      </w:r>
    </w:p>
    <w:p w14:paraId="0A6DACE5" w14:textId="77777777" w:rsidR="00BC4DB3" w:rsidRDefault="00BC4DB3">
      <w:pPr>
        <w:spacing w:line="276" w:lineRule="auto"/>
        <w:jc w:val="both"/>
        <w:rPr>
          <w:rFonts w:ascii="Open Sans" w:eastAsia="Open Sans" w:hAnsi="Open Sans" w:cs="Open Sans"/>
        </w:rPr>
      </w:pPr>
    </w:p>
    <w:p w14:paraId="2C8E81DE" w14:textId="77777777" w:rsidR="00BC4DB3" w:rsidRDefault="00000000">
      <w:pPr>
        <w:spacing w:line="276" w:lineRule="auto"/>
        <w:jc w:val="both"/>
        <w:rPr>
          <w:rFonts w:ascii="Open Sans" w:eastAsia="Open Sans" w:hAnsi="Open Sans" w:cs="Open Sans"/>
          <w:b/>
          <w:bCs/>
        </w:rPr>
      </w:pPr>
      <w:r>
        <w:rPr>
          <w:rFonts w:ascii="Open Sans" w:eastAsia="Open Sans" w:hAnsi="Open Sans" w:cs="Open Sans"/>
        </w:rPr>
        <w:t xml:space="preserve">Al analizar las cifras desde la orilla de la oferta, también se observan algunas fluctuaciones. De este modo, </w:t>
      </w:r>
      <w:r>
        <w:rPr>
          <w:rFonts w:ascii="Open Sans" w:eastAsia="Open Sans" w:hAnsi="Open Sans" w:cs="Open Sans"/>
          <w:b/>
          <w:bCs/>
        </w:rPr>
        <w:t>los que han vendido una vivienda pasan del 2% al 3%, mientras que los vendedores inefectivos también aumentan, al subir desde el 1% al 2%.</w:t>
      </w:r>
    </w:p>
    <w:p w14:paraId="7218EFB9" w14:textId="77777777" w:rsidR="00BC4DB3" w:rsidRDefault="00BC4DB3">
      <w:pPr>
        <w:spacing w:line="276" w:lineRule="auto"/>
        <w:ind w:right="141"/>
        <w:jc w:val="both"/>
        <w:rPr>
          <w:rFonts w:ascii="Open Sans" w:eastAsia="Open Sans" w:hAnsi="Open Sans" w:cs="Open Sans"/>
        </w:rPr>
      </w:pPr>
    </w:p>
    <w:p w14:paraId="41B17063" w14:textId="77777777" w:rsidR="00BC4DB3" w:rsidRDefault="00000000">
      <w:pPr>
        <w:spacing w:line="276" w:lineRule="auto"/>
        <w:rPr>
          <w:rFonts w:ascii="Open Sans" w:eastAsia="Open Sans" w:hAnsi="Open Sans" w:cs="Open Sans"/>
        </w:rPr>
      </w:pPr>
      <w:r>
        <w:rPr>
          <w:rFonts w:ascii="National" w:eastAsia="National" w:hAnsi="National" w:cs="National"/>
          <w:b/>
          <w:bCs/>
          <w:color w:val="303AB2"/>
          <w:sz w:val="32"/>
          <w:szCs w:val="32"/>
        </w:rPr>
        <w:t>El mercado andaluz vira hacia la propiedad</w:t>
      </w:r>
    </w:p>
    <w:p w14:paraId="4F315A42"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33607D14" w14:textId="77777777" w:rsidR="00BC4DB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 xml:space="preserve">La situación de Andalucía coincide con la del conjunto de España, que también presenta una participación del 28%. </w:t>
      </w:r>
      <w:r>
        <w:rPr>
          <w:rFonts w:ascii="Open Sans" w:eastAsia="Open Sans" w:hAnsi="Open Sans" w:cs="Open Sans"/>
        </w:rPr>
        <w:t xml:space="preserve">Esta tendencia tan acompasada confirma el alineamiento de la actividad en el mercado de la vivienda de los andaluces con los del resto del país. Y es que sus cifras se aproximaron en 2023, ya que, hasta ese año, como puede comprobarse en el gráfico, la participación de los andaluces era superior a la del conjunto de los españoles. </w:t>
      </w:r>
    </w:p>
    <w:p w14:paraId="17AB3FB6"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1FB7DB9F"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51928AAF" w14:textId="77777777" w:rsidR="00D65377" w:rsidRDefault="00D65377">
      <w:pPr>
        <w:pBdr>
          <w:top w:val="nil"/>
          <w:left w:val="nil"/>
          <w:bottom w:val="nil"/>
          <w:right w:val="nil"/>
          <w:between w:val="nil"/>
        </w:pBdr>
        <w:spacing w:line="276" w:lineRule="auto"/>
        <w:jc w:val="both"/>
        <w:rPr>
          <w:rFonts w:ascii="Open Sans" w:eastAsia="Open Sans" w:hAnsi="Open Sans" w:cs="Open Sans"/>
        </w:rPr>
      </w:pPr>
    </w:p>
    <w:p w14:paraId="6B712692" w14:textId="77777777" w:rsidR="00BC4DB3" w:rsidRDefault="00000000">
      <w:pPr>
        <w:rPr>
          <w:b/>
          <w:bCs/>
          <w:sz w:val="28"/>
          <w:szCs w:val="28"/>
        </w:rPr>
      </w:pPr>
      <w:bookmarkStart w:id="0" w:name="_heading=h.wdz6xyq3vri1" w:colFirst="0" w:colLast="0"/>
      <w:bookmarkEnd w:id="0"/>
      <w:r>
        <w:rPr>
          <w:b/>
          <w:bCs/>
          <w:smallCaps/>
          <w:color w:val="323FAB"/>
          <w:sz w:val="28"/>
          <w:szCs w:val="28"/>
          <w:highlight w:val="white"/>
        </w:rPr>
        <w:lastRenderedPageBreak/>
        <w:t xml:space="preserve">Andaluces participando en el mercado de la vivienda </w:t>
      </w:r>
      <w:r>
        <w:rPr>
          <w:b/>
          <w:bCs/>
          <w:smallCaps/>
          <w:color w:val="323FAB"/>
          <w:sz w:val="28"/>
          <w:szCs w:val="28"/>
          <w:highlight w:val="white"/>
        </w:rPr>
        <w:br/>
        <w:t>(% sobre la población mayor de 18 años)</w:t>
      </w:r>
      <w:r>
        <w:rPr>
          <w:b/>
          <w:bCs/>
          <w:sz w:val="28"/>
          <w:szCs w:val="28"/>
        </w:rPr>
        <w:t xml:space="preserve"> </w:t>
      </w:r>
    </w:p>
    <w:p w14:paraId="6EE197A3" w14:textId="77777777" w:rsidR="00BC4DB3" w:rsidRDefault="00BC4DB3"/>
    <w:p w14:paraId="5F8337EE" w14:textId="77777777" w:rsidR="00BC4DB3" w:rsidRDefault="00000000">
      <w:pPr>
        <w:rPr>
          <w:b/>
          <w:bCs/>
          <w:smallCaps/>
          <w:color w:val="323FAB"/>
          <w:sz w:val="20"/>
          <w:szCs w:val="20"/>
          <w:highlight w:val="white"/>
        </w:rPr>
      </w:pPr>
      <w:r>
        <w:rPr>
          <w:noProof/>
        </w:rPr>
        <w:drawing>
          <wp:inline distT="0" distB="0" distL="0" distR="0" wp14:anchorId="5E0B0C18" wp14:editId="68DBE350">
            <wp:extent cx="5766597" cy="294568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66597" cy="2945684"/>
                    </a:xfrm>
                    <a:prstGeom prst="rect">
                      <a:avLst/>
                    </a:prstGeom>
                    <a:ln/>
                  </pic:spPr>
                </pic:pic>
              </a:graphicData>
            </a:graphic>
          </wp:inline>
        </w:drawing>
      </w:r>
    </w:p>
    <w:p w14:paraId="48059F12"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1AB447D0" w14:textId="77777777" w:rsidR="00BC4DB3" w:rsidRDefault="00BC4DB3">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1133BAFA" w14:textId="77777777" w:rsidR="00BC4DB3"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compraventa se distancia del alquiler</w:t>
      </w:r>
    </w:p>
    <w:p w14:paraId="0898B615"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658DEC03" w14:textId="77777777" w:rsidR="00BC4DB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 analizar el mercado de la vivienda desde el punto de vista de la compraventa y el alquiler se observa que </w:t>
      </w:r>
      <w:r>
        <w:rPr>
          <w:rFonts w:ascii="Open Sans" w:eastAsia="Open Sans" w:hAnsi="Open Sans" w:cs="Open Sans"/>
          <w:b/>
          <w:bCs/>
        </w:rPr>
        <w:t>en Andalucía se ha producido este año un distanciamiento del mercado de la propiedad respecto al del arrendamiento</w:t>
      </w:r>
      <w:r>
        <w:rPr>
          <w:rFonts w:ascii="Open Sans" w:eastAsia="Open Sans" w:hAnsi="Open Sans" w:cs="Open Sans"/>
        </w:rPr>
        <w:t>. Así, mientras que en 2025 ambos reflejaban un volumen del 15%, doce meses después la compraventa se incrementa hasta el 17%, mientras que el alquiler se mantiene en los mismos parámetros precedentes, si bien con una tendencia a la baja.</w:t>
      </w:r>
    </w:p>
    <w:p w14:paraId="10A42BA0"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052A4842" w14:textId="77777777" w:rsidR="00BC4DB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Sin embargo, y pese a la relativa estabilidad que muestra el alquiler respecto a 2025, y al leve repunte precedente sobre 2024, lo cierto es que </w:t>
      </w:r>
      <w:r>
        <w:rPr>
          <w:rFonts w:ascii="Open Sans" w:eastAsia="Open Sans" w:hAnsi="Open Sans" w:cs="Open Sans"/>
          <w:b/>
          <w:bCs/>
        </w:rPr>
        <w:t>el actual porcentaje confirma un estancamiento en la actividad en este mercado si se acude a la comparación con el evolutivo histórico</w:t>
      </w:r>
      <w:r>
        <w:rPr>
          <w:rFonts w:ascii="Open Sans" w:eastAsia="Open Sans" w:hAnsi="Open Sans" w:cs="Open Sans"/>
        </w:rPr>
        <w:t xml:space="preserve">. De este modo, cabe recordar que, en febrero de 2020, justo en el momento inmediatamente anterior al estallido de la crisis sanitaria, la cifra alcanzaba nada menos que el 22%. Es decir, siete puntos porcentuales por encima del volumen actual. </w:t>
      </w:r>
    </w:p>
    <w:p w14:paraId="4222C91E"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4B8A6621"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177CDEDA" w14:textId="77777777" w:rsidR="00BC4DB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Por el contrario, </w:t>
      </w:r>
      <w:r>
        <w:rPr>
          <w:rFonts w:ascii="Open Sans" w:eastAsia="Open Sans" w:hAnsi="Open Sans" w:cs="Open Sans"/>
          <w:b/>
          <w:bCs/>
        </w:rPr>
        <w:t>la actividad en la parte de compraventa muestra mayor estabilidad, aunque también se puede apreciar un ligero retroceso</w:t>
      </w:r>
      <w:r>
        <w:rPr>
          <w:rFonts w:ascii="Open Sans" w:eastAsia="Open Sans" w:hAnsi="Open Sans" w:cs="Open Sans"/>
        </w:rPr>
        <w:t>. Así, el 17% de participación de febrero de 2026, queda por detrás del 21% de 2022, cuando este indicador llegó a su posición más elevada.</w:t>
      </w:r>
    </w:p>
    <w:p w14:paraId="2C7E0306" w14:textId="77777777" w:rsidR="00BC4DB3" w:rsidRDefault="00BC4DB3">
      <w:pPr>
        <w:pBdr>
          <w:top w:val="nil"/>
          <w:left w:val="nil"/>
          <w:bottom w:val="nil"/>
          <w:right w:val="nil"/>
          <w:between w:val="nil"/>
        </w:pBdr>
        <w:spacing w:line="276" w:lineRule="auto"/>
        <w:jc w:val="both"/>
        <w:rPr>
          <w:rFonts w:ascii="Open Sans" w:eastAsia="Open Sans" w:hAnsi="Open Sans" w:cs="Open Sans"/>
        </w:rPr>
      </w:pPr>
    </w:p>
    <w:p w14:paraId="7946CF00" w14:textId="77777777" w:rsidR="00BC4DB3" w:rsidRDefault="00000000">
      <w:pPr>
        <w:rPr>
          <w:b/>
          <w:bCs/>
          <w:smallCaps/>
          <w:color w:val="323FAB"/>
          <w:sz w:val="28"/>
          <w:szCs w:val="28"/>
          <w:highlight w:val="white"/>
        </w:rPr>
      </w:pPr>
      <w:bookmarkStart w:id="1" w:name="_heading=h.758hfl1qjpex" w:colFirst="0" w:colLast="0"/>
      <w:bookmarkEnd w:id="1"/>
      <w:r>
        <w:rPr>
          <w:b/>
          <w:bCs/>
          <w:smallCaps/>
          <w:color w:val="323FAB"/>
          <w:sz w:val="28"/>
          <w:szCs w:val="28"/>
          <w:highlight w:val="white"/>
        </w:rPr>
        <w:t>andaluces participando en el mercado de compraventa y de alquiler (% sobre la población mayor de 18 años)</w:t>
      </w:r>
    </w:p>
    <w:p w14:paraId="2C801A54" w14:textId="77777777" w:rsidR="00BC4DB3" w:rsidRDefault="00BC4DB3">
      <w:pPr>
        <w:rPr>
          <w:b/>
          <w:bCs/>
          <w:smallCaps/>
          <w:color w:val="323FAB"/>
          <w:sz w:val="28"/>
          <w:szCs w:val="28"/>
          <w:highlight w:val="white"/>
        </w:rPr>
      </w:pPr>
    </w:p>
    <w:p w14:paraId="497ECE93" w14:textId="77777777" w:rsidR="00BC4DB3" w:rsidRDefault="00000000">
      <w:pPr>
        <w:keepNext/>
        <w:pBdr>
          <w:top w:val="nil"/>
          <w:left w:val="nil"/>
          <w:bottom w:val="nil"/>
          <w:right w:val="nil"/>
          <w:between w:val="nil"/>
        </w:pBdr>
        <w:spacing w:after="200"/>
        <w:rPr>
          <w:b/>
          <w:bCs/>
          <w:smallCaps/>
          <w:color w:val="323FAB"/>
          <w:sz w:val="18"/>
          <w:szCs w:val="18"/>
          <w:highlight w:val="white"/>
        </w:rPr>
      </w:pPr>
      <w:r>
        <w:rPr>
          <w:rFonts w:ascii="Cambria" w:eastAsia="Cambria" w:hAnsi="Cambria" w:cs="Cambria"/>
          <w:i/>
          <w:iCs/>
          <w:noProof/>
          <w:color w:val="1F497D"/>
          <w:sz w:val="18"/>
          <w:szCs w:val="18"/>
        </w:rPr>
        <w:drawing>
          <wp:inline distT="0" distB="0" distL="0" distR="0" wp14:anchorId="56AC51CC" wp14:editId="2BCAE1DE">
            <wp:extent cx="5757278" cy="30133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57278" cy="3013364"/>
                    </a:xfrm>
                    <a:prstGeom prst="rect">
                      <a:avLst/>
                    </a:prstGeom>
                    <a:ln/>
                  </pic:spPr>
                </pic:pic>
              </a:graphicData>
            </a:graphic>
          </wp:inline>
        </w:drawing>
      </w:r>
    </w:p>
    <w:p w14:paraId="20C7B0E0" w14:textId="77777777" w:rsidR="00BC4DB3" w:rsidRDefault="00BC4DB3">
      <w:pPr>
        <w:pBdr>
          <w:top w:val="nil"/>
          <w:left w:val="nil"/>
          <w:bottom w:val="nil"/>
          <w:right w:val="nil"/>
          <w:between w:val="nil"/>
        </w:pBdr>
        <w:spacing w:line="276" w:lineRule="auto"/>
        <w:ind w:right="141"/>
        <w:jc w:val="both"/>
        <w:rPr>
          <w:rFonts w:ascii="Open Sans" w:eastAsia="Open Sans" w:hAnsi="Open Sans" w:cs="Open Sans"/>
        </w:rPr>
      </w:pPr>
    </w:p>
    <w:p w14:paraId="27D94231" w14:textId="77777777" w:rsidR="00BC4DB3" w:rsidRDefault="00BC4DB3">
      <w:pPr>
        <w:pBdr>
          <w:top w:val="nil"/>
          <w:left w:val="nil"/>
          <w:bottom w:val="nil"/>
          <w:right w:val="nil"/>
          <w:between w:val="nil"/>
        </w:pBdr>
        <w:spacing w:line="276" w:lineRule="auto"/>
        <w:ind w:right="141"/>
        <w:jc w:val="both"/>
        <w:rPr>
          <w:rFonts w:ascii="Open Sans" w:eastAsia="Open Sans" w:hAnsi="Open Sans" w:cs="Open Sans"/>
        </w:rPr>
      </w:pPr>
    </w:p>
    <w:p w14:paraId="54CD09D9" w14:textId="77777777" w:rsidR="00BC4DB3" w:rsidRDefault="00BC4DB3">
      <w:pPr>
        <w:pBdr>
          <w:top w:val="nil"/>
          <w:left w:val="nil"/>
          <w:bottom w:val="nil"/>
          <w:right w:val="nil"/>
          <w:between w:val="nil"/>
        </w:pBdr>
        <w:spacing w:line="276" w:lineRule="auto"/>
        <w:ind w:right="141"/>
        <w:jc w:val="both"/>
        <w:rPr>
          <w:rFonts w:ascii="Open Sans" w:eastAsia="Open Sans" w:hAnsi="Open Sans" w:cs="Open Sans"/>
        </w:rPr>
      </w:pPr>
    </w:p>
    <w:p w14:paraId="58FF9E93" w14:textId="77777777" w:rsidR="00BC4DB3"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17357F3" w14:textId="77777777" w:rsidR="00BC4DB3"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101EA5C" w14:textId="77777777" w:rsidR="00BC4DB3"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sidR="00BC4DB3">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6">
        <w:r w:rsidR="00BC4DB3">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188802B" w14:textId="77777777" w:rsidR="00BC4DB3"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sidR="00BC4DB3">
          <w:rPr>
            <w:rFonts w:ascii="Open Sans" w:eastAsia="Open Sans" w:hAnsi="Open Sans" w:cs="Open Sans"/>
            <w:b/>
            <w:bCs/>
            <w:color w:val="0000FF"/>
            <w:sz w:val="22"/>
            <w:szCs w:val="22"/>
            <w:u w:val="single"/>
          </w:rPr>
          <w:t>Sala de Prensa</w:t>
        </w:r>
      </w:hyperlink>
    </w:p>
    <w:p w14:paraId="789EB989" w14:textId="77777777" w:rsidR="00BC4DB3"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7C40BFBE" w14:textId="77777777" w:rsidR="00BC4DB3"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B08C958" w14:textId="77777777" w:rsidR="00BC4DB3"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8">
        <w:r w:rsidR="00BC4DB3">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r w:rsidR="00BC4DB3">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0">
        <w:r w:rsidR="00BC4DB3">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r w:rsidR="00BC4DB3">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2">
        <w:r w:rsidR="00BC4DB3">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3">
        <w:r w:rsidR="00BC4DB3">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B210F67" w14:textId="77777777" w:rsidR="00BC4DB3"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E58EBD6" w14:textId="77777777" w:rsidR="00BC4DB3"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745C4FAC" w14:textId="77777777" w:rsidR="00BC4DB3" w:rsidRDefault="00BC4DB3">
      <w:pPr>
        <w:spacing w:line="276" w:lineRule="auto"/>
        <w:ind w:right="141"/>
        <w:jc w:val="both"/>
        <w:rPr>
          <w:rFonts w:ascii="Open Sans" w:eastAsia="Open Sans" w:hAnsi="Open Sans" w:cs="Open Sans"/>
          <w:sz w:val="22"/>
          <w:szCs w:val="22"/>
        </w:rPr>
      </w:pPr>
    </w:p>
    <w:p w14:paraId="259AD2FE" w14:textId="77777777" w:rsidR="00BC4DB3" w:rsidRDefault="00BC4DB3">
      <w:pPr>
        <w:spacing w:line="276" w:lineRule="auto"/>
        <w:ind w:right="141"/>
        <w:jc w:val="right"/>
        <w:rPr>
          <w:rFonts w:ascii="Open Sans Light" w:eastAsia="Open Sans Light" w:hAnsi="Open Sans Light" w:cs="Open Sans Light"/>
          <w:b/>
          <w:bCs/>
          <w:color w:val="303AB2"/>
        </w:rPr>
      </w:pPr>
    </w:p>
    <w:p w14:paraId="3F9D1A0A" w14:textId="77777777" w:rsidR="00BC4DB3"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08FCBB37" w14:textId="77777777" w:rsidR="00BC4DB3" w:rsidRDefault="00BC4DB3">
      <w:pPr>
        <w:pBdr>
          <w:top w:val="nil"/>
          <w:left w:val="nil"/>
          <w:bottom w:val="nil"/>
          <w:right w:val="nil"/>
          <w:between w:val="nil"/>
        </w:pBdr>
        <w:spacing w:line="276" w:lineRule="auto"/>
        <w:ind w:right="141"/>
        <w:jc w:val="both"/>
        <w:rPr>
          <w:rFonts w:ascii="Open Sans" w:eastAsia="Open Sans" w:hAnsi="Open Sans" w:cs="Open Sans"/>
          <w:sz w:val="22"/>
          <w:szCs w:val="22"/>
        </w:rPr>
      </w:pPr>
    </w:p>
    <w:p w14:paraId="62A6EEB1" w14:textId="77777777" w:rsidR="00BC4DB3"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4">
        <w:r w:rsidR="00BC4DB3">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91FE19B" w14:textId="77777777" w:rsidR="00BC4DB3" w:rsidRDefault="00BC4DB3">
      <w:pPr>
        <w:pBdr>
          <w:top w:val="nil"/>
          <w:left w:val="nil"/>
          <w:bottom w:val="nil"/>
          <w:right w:val="nil"/>
          <w:between w:val="nil"/>
        </w:pBdr>
        <w:spacing w:line="276" w:lineRule="auto"/>
        <w:ind w:right="141"/>
        <w:jc w:val="both"/>
        <w:rPr>
          <w:rFonts w:ascii="Open Sans" w:eastAsia="Open Sans" w:hAnsi="Open Sans" w:cs="Open Sans"/>
          <w:sz w:val="22"/>
          <w:szCs w:val="22"/>
        </w:rPr>
      </w:pPr>
    </w:p>
    <w:p w14:paraId="171EC0F7" w14:textId="77777777" w:rsidR="00BC4DB3"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1DD8C6A" w14:textId="77777777" w:rsidR="00BC4DB3" w:rsidRDefault="00BC4DB3">
      <w:pPr>
        <w:spacing w:line="276" w:lineRule="auto"/>
        <w:ind w:right="141"/>
        <w:rPr>
          <w:rFonts w:ascii="Open Sans" w:eastAsia="Open Sans" w:hAnsi="Open Sans" w:cs="Open Sans"/>
        </w:rPr>
      </w:pPr>
    </w:p>
    <w:p w14:paraId="7B607953" w14:textId="77777777" w:rsidR="00BC4DB3" w:rsidRDefault="00BC4DB3">
      <w:pPr>
        <w:spacing w:line="276" w:lineRule="auto"/>
        <w:ind w:right="141"/>
        <w:rPr>
          <w:rFonts w:ascii="Open Sans Light" w:eastAsia="Open Sans Light" w:hAnsi="Open Sans Light" w:cs="Open Sans Light"/>
          <w:b/>
          <w:bCs/>
          <w:color w:val="303AB2"/>
          <w:sz w:val="22"/>
          <w:szCs w:val="22"/>
        </w:rPr>
      </w:pPr>
    </w:p>
    <w:p w14:paraId="3F1B558C" w14:textId="77777777" w:rsidR="00BC4DB3" w:rsidRDefault="00BC4DB3">
      <w:pPr>
        <w:spacing w:line="276" w:lineRule="auto"/>
        <w:ind w:right="141"/>
        <w:rPr>
          <w:rFonts w:ascii="Open Sans Light" w:eastAsia="Open Sans Light" w:hAnsi="Open Sans Light" w:cs="Open Sans Light"/>
          <w:b/>
          <w:bCs/>
          <w:color w:val="303AB2"/>
          <w:sz w:val="22"/>
          <w:szCs w:val="22"/>
        </w:rPr>
      </w:pPr>
    </w:p>
    <w:p w14:paraId="2635D09F" w14:textId="77777777" w:rsidR="00F92875" w:rsidRDefault="00F92875">
      <w:pPr>
        <w:spacing w:line="276" w:lineRule="auto"/>
        <w:ind w:right="141"/>
        <w:rPr>
          <w:rFonts w:ascii="Open Sans Light" w:eastAsia="Open Sans Light" w:hAnsi="Open Sans Light" w:cs="Open Sans Light"/>
          <w:b/>
          <w:bCs/>
          <w:color w:val="303AB2"/>
          <w:sz w:val="22"/>
          <w:szCs w:val="22"/>
        </w:rPr>
      </w:pPr>
    </w:p>
    <w:p w14:paraId="16ADA105" w14:textId="77777777" w:rsidR="00BC4DB3"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1E070965" w14:textId="77777777" w:rsidR="00BC4DB3"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F003399" w14:textId="77777777" w:rsidR="00BC4DB3" w:rsidRDefault="00BC4DB3">
      <w:pPr>
        <w:shd w:val="clear" w:color="auto" w:fill="FFFFFF"/>
        <w:spacing w:line="276" w:lineRule="auto"/>
        <w:ind w:right="141"/>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15C82823" w14:textId="77777777" w:rsidR="00BC4DB3"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620 66 29 26</w:t>
      </w:r>
    </w:p>
    <w:sectPr w:rsidR="00BC4DB3">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F2A41" w14:textId="77777777" w:rsidR="00587AA5" w:rsidRDefault="00587AA5">
      <w:r>
        <w:separator/>
      </w:r>
    </w:p>
  </w:endnote>
  <w:endnote w:type="continuationSeparator" w:id="0">
    <w:p w14:paraId="3F6A45DB" w14:textId="77777777" w:rsidR="00587AA5" w:rsidRDefault="00587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28EFCDC-7FC8-483E-9CAA-5E16A9F819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485A25-ACAE-4265-B72A-24BF41FB96D6}"/>
    <w:embedBold r:id="rId3" w:fontKey="{B9148CD3-792C-423A-BB7A-0F04411AD3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98BF451-BAAE-49A1-8DAB-4914AE46FBDC}"/>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DE26100E-FD69-49E7-8DDD-D138C681A145}"/>
    <w:embedBoldItalic r:id="rId6" w:fontKey="{B30DE1D0-FF83-4018-B06B-9308D2B5495D}"/>
  </w:font>
  <w:font w:name="Open Sans">
    <w:charset w:val="00"/>
    <w:family w:val="swiss"/>
    <w:pitch w:val="variable"/>
    <w:sig w:usb0="E00002EF" w:usb1="4000205B" w:usb2="00000028" w:usb3="00000000" w:csb0="0000019F" w:csb1="00000000"/>
    <w:embedRegular r:id="rId7" w:fontKey="{B22C4461-63BE-42D7-AD6E-3F7149A0E6B7}"/>
    <w:embedBold r:id="rId8" w:fontKey="{E6A325AA-38D6-44EF-A656-E0FA5F6BD0C7}"/>
    <w:embedBoldItalic r:id="rId9" w:fontKey="{E9BF398D-A22D-412E-A7C5-813BDBA351CA}"/>
  </w:font>
  <w:font w:name="Cambria">
    <w:panose1 w:val="02040503050406030204"/>
    <w:charset w:val="00"/>
    <w:family w:val="roman"/>
    <w:pitch w:val="variable"/>
    <w:sig w:usb0="E00006FF" w:usb1="420024FF" w:usb2="02000000" w:usb3="00000000" w:csb0="0000019F" w:csb1="00000000"/>
    <w:embedRegular r:id="rId10" w:fontKey="{7EAC930A-8F4F-4A20-A329-23B5B44D697D}"/>
    <w:embedItalic r:id="rId11" w:fontKey="{B48222CB-0783-45F8-9293-57B4B65534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C269B" w14:textId="77777777" w:rsidR="00BC4DB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D605CC8" wp14:editId="34D44889">
          <wp:simplePos x="0" y="0"/>
          <wp:positionH relativeFrom="column">
            <wp:posOffset>-1068038</wp:posOffset>
          </wp:positionH>
          <wp:positionV relativeFrom="paragraph">
            <wp:posOffset>174608</wp:posOffset>
          </wp:positionV>
          <wp:extent cx="7670550" cy="4513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394D9" w14:textId="77777777" w:rsidR="00587AA5" w:rsidRDefault="00587AA5">
      <w:r>
        <w:separator/>
      </w:r>
    </w:p>
  </w:footnote>
  <w:footnote w:type="continuationSeparator" w:id="0">
    <w:p w14:paraId="34A68884" w14:textId="77777777" w:rsidR="00587AA5" w:rsidRDefault="00587A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7A412A"/>
    <w:multiLevelType w:val="multilevel"/>
    <w:tmpl w:val="F5B4A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446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B3"/>
    <w:rsid w:val="000D5ABA"/>
    <w:rsid w:val="000D7511"/>
    <w:rsid w:val="001B171A"/>
    <w:rsid w:val="00434D0B"/>
    <w:rsid w:val="00587AA5"/>
    <w:rsid w:val="00703316"/>
    <w:rsid w:val="0079297C"/>
    <w:rsid w:val="00846C5A"/>
    <w:rsid w:val="009639DF"/>
    <w:rsid w:val="00BC4DB3"/>
    <w:rsid w:val="00D65377"/>
    <w:rsid w:val="00DD4824"/>
    <w:rsid w:val="00F928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9CEF0"/>
  <w15:docId w15:val="{DC0D1133-F7CC-4F11-A50D-72CD4EF0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immobilienscout24.de/"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theme" Target="theme/theme1.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image" Target="media/image3.png"/><Relationship Id="rId22" Type="http://schemas.openxmlformats.org/officeDocument/2006/relationships/hyperlink" Target="https://get.witei.com/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ZOerniKCCOLvcO+5j/l5u13Yw==">CgMxLjAyDmgud2R6Nnh5cTN2cmkxMg5oLjc1OGhmbDFxanBleDgAciExSll0U0pkb3dLaFI5X0hudURSTS10eGpIU25UNzdwQlU=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1310</Words>
  <Characters>7210</Characters>
  <Application>Microsoft Office Word</Application>
  <DocSecurity>0</DocSecurity>
  <Lines>60</Lines>
  <Paragraphs>17</Paragraphs>
  <ScaleCrop>false</ScaleCrop>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9</cp:revision>
  <dcterms:created xsi:type="dcterms:W3CDTF">2026-05-08T07:38:00Z</dcterms:created>
  <dcterms:modified xsi:type="dcterms:W3CDTF">2026-05-09T20:50:00Z</dcterms:modified>
</cp:coreProperties>
</file>