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BDE5" w14:textId="77777777" w:rsidR="006908AC" w:rsidRDefault="00000000">
      <w:r>
        <w:rPr>
          <w:noProof/>
        </w:rPr>
        <w:drawing>
          <wp:anchor distT="0" distB="0" distL="114300" distR="114300" simplePos="0" relativeHeight="251658240" behindDoc="0" locked="0" layoutInCell="1" hidden="0" allowOverlap="1" wp14:anchorId="6D008A45" wp14:editId="48C57021">
            <wp:simplePos x="0" y="0"/>
            <wp:positionH relativeFrom="column">
              <wp:posOffset>-1080114</wp:posOffset>
            </wp:positionH>
            <wp:positionV relativeFrom="paragraph">
              <wp:posOffset>-654663</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66CDF45" w14:textId="77777777" w:rsidR="006908AC" w:rsidRDefault="006908AC">
      <w:pPr>
        <w:jc w:val="right"/>
        <w:rPr>
          <w:rFonts w:ascii="National" w:eastAsia="National" w:hAnsi="National" w:cs="National"/>
          <w:color w:val="303AB2"/>
          <w:sz w:val="36"/>
          <w:szCs w:val="36"/>
        </w:rPr>
      </w:pPr>
    </w:p>
    <w:p w14:paraId="79BE352D" w14:textId="77777777" w:rsidR="006908AC" w:rsidRDefault="006908AC">
      <w:pPr>
        <w:rPr>
          <w:rFonts w:ascii="National" w:eastAsia="National" w:hAnsi="National" w:cs="National"/>
          <w:color w:val="303AB2"/>
          <w:sz w:val="18"/>
          <w:szCs w:val="18"/>
        </w:rPr>
      </w:pPr>
    </w:p>
    <w:p w14:paraId="110AFAC2" w14:textId="77777777" w:rsidR="006908AC"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6D429E3E" w14:textId="77777777" w:rsidR="006908AC" w:rsidRDefault="00000000" w:rsidP="00C32D19">
      <w:pPr>
        <w:pBdr>
          <w:top w:val="nil"/>
          <w:left w:val="nil"/>
          <w:bottom w:val="nil"/>
          <w:right w:val="nil"/>
          <w:between w:val="nil"/>
        </w:pBdr>
        <w:spacing w:line="276" w:lineRule="auto"/>
        <w:ind w:left="426"/>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Baleares lidera la búsqueda fallida de vivienda: los compradores inefectivos siguen creciendo en el mercado más tensionado de España</w:t>
      </w:r>
    </w:p>
    <w:p w14:paraId="2FBDB273" w14:textId="77777777" w:rsidR="006908AC" w:rsidRDefault="006908AC">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4EB8B0F" w14:textId="05635F9E" w:rsidR="008B33A6" w:rsidRDefault="008B33A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baleares que han intentado comprar sin éxito pasan del 12% al 16% en un año</w:t>
      </w:r>
    </w:p>
    <w:p w14:paraId="1B73BE6C" w14:textId="4DF46C4C" w:rsidR="006908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Un 32% de los baleares ha llevado a cabo alguna acción en el mercado inmobiliario, lo que supone dos puntos porcentuales más </w:t>
      </w:r>
    </w:p>
    <w:p w14:paraId="425CE424" w14:textId="77777777" w:rsidR="006908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 participación en el mercado de compraventa sube del 16% al 22% </w:t>
      </w:r>
    </w:p>
    <w:p w14:paraId="00A907AF" w14:textId="77777777" w:rsidR="006908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alquiler, en cambio, sigue bajando, y pasa del 18% de 2025 al 15% de doce meses después</w:t>
      </w:r>
    </w:p>
    <w:p w14:paraId="6F986670" w14:textId="77777777" w:rsidR="006908A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nacional “</w:t>
      </w:r>
      <w:hyperlink r:id="rId9">
        <w:r w:rsidR="006908AC">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449EDACA" w14:textId="77777777" w:rsidR="006908AC" w:rsidRDefault="006908AC">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D3C3F64" w14:textId="77777777" w:rsidR="006908AC"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2B58A829" w14:textId="77777777" w:rsidR="006908AC" w:rsidRDefault="006908AC">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337F5A7" w14:textId="77777777" w:rsidR="006908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Acceder a una vivienda en Baleares se ha convertido en un reto cada vez más difícil. En los últimos doce meses, el porcentaje de </w:t>
      </w:r>
      <w:r>
        <w:rPr>
          <w:rFonts w:ascii="Open Sans" w:eastAsia="Open Sans" w:hAnsi="Open Sans" w:cs="Open Sans"/>
          <w:b/>
          <w:bCs/>
        </w:rPr>
        <w:t>ciudadanos que ha intentado comprar sin éxito ha aumentado con fuerza, pasando del 12% al 16%</w:t>
      </w:r>
      <w:r>
        <w:rPr>
          <w:rFonts w:ascii="Open Sans" w:eastAsia="Open Sans" w:hAnsi="Open Sans" w:cs="Open Sans"/>
        </w:rPr>
        <w:t xml:space="preserve">. Este crecimiento de los compradores inefectivos sitúa al archipiélago como uno de los mercados con mayor nivel de frustración residencial del país, </w:t>
      </w:r>
      <w:r>
        <w:rPr>
          <w:rFonts w:ascii="Open Sans" w:eastAsia="Open Sans" w:hAnsi="Open Sans" w:cs="Open Sans"/>
          <w:b/>
          <w:bCs/>
        </w:rPr>
        <w:t>según el informe “</w:t>
      </w:r>
      <w:hyperlink r:id="rId10">
        <w:r w:rsidR="006908AC">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sidR="006908AC">
          <w:rPr>
            <w:rFonts w:ascii="Open Sans" w:eastAsia="Open Sans" w:hAnsi="Open Sans" w:cs="Open Sans"/>
            <w:b/>
            <w:bCs/>
            <w:color w:val="0000FF"/>
            <w:u w:val="single"/>
          </w:rPr>
          <w:t xml:space="preserve">Fotocasa </w:t>
        </w:r>
        <w:proofErr w:type="spellStart"/>
        <w:r w:rsidR="006908AC">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14D7C975" w14:textId="77777777" w:rsidR="006908AC" w:rsidRDefault="00000000">
      <w:pPr>
        <w:spacing w:before="240" w:after="240" w:line="276" w:lineRule="auto"/>
        <w:jc w:val="both"/>
        <w:rPr>
          <w:rFonts w:ascii="Open Sans" w:eastAsia="Open Sans" w:hAnsi="Open Sans" w:cs="Open Sans"/>
        </w:rPr>
      </w:pPr>
      <w:r>
        <w:rPr>
          <w:rFonts w:ascii="Open Sans" w:eastAsia="Open Sans" w:hAnsi="Open Sans" w:cs="Open Sans"/>
        </w:rPr>
        <w:t xml:space="preserve">El dato refleja un desequilibrio estructural entre oferta y demanda. Mientras el interés por acceder a la vivienda sigue creciendo, el mercado no es capaz de absorber esa presión. De hecho, frente a ese 16% de baleares que no ha logrado comprar, </w:t>
      </w:r>
      <w:r>
        <w:rPr>
          <w:rFonts w:ascii="Open Sans" w:eastAsia="Open Sans" w:hAnsi="Open Sans" w:cs="Open Sans"/>
          <w:b/>
          <w:bCs/>
        </w:rPr>
        <w:t>solo un 4% ha conseguido cerrar una operación en el último año</w:t>
      </w:r>
      <w:r>
        <w:rPr>
          <w:rFonts w:ascii="Open Sans" w:eastAsia="Open Sans" w:hAnsi="Open Sans" w:cs="Open Sans"/>
        </w:rPr>
        <w:t>, lo que evidencia una brecha cada vez mayor entre intención de compra y acceso real que llega a producirse.</w:t>
      </w:r>
    </w:p>
    <w:p w14:paraId="3558536A" w14:textId="77777777" w:rsidR="006908AC" w:rsidRDefault="00000000">
      <w:pPr>
        <w:spacing w:before="240" w:after="240" w:line="276" w:lineRule="auto"/>
        <w:jc w:val="both"/>
        <w:rPr>
          <w:rFonts w:ascii="Open Sans" w:eastAsia="Open Sans" w:hAnsi="Open Sans" w:cs="Open Sans"/>
        </w:rPr>
      </w:pPr>
      <w:r>
        <w:rPr>
          <w:rFonts w:ascii="Open Sans" w:eastAsia="Open Sans" w:hAnsi="Open Sans" w:cs="Open Sans"/>
        </w:rPr>
        <w:lastRenderedPageBreak/>
        <w:t>En este contexto, el 32% de los baleares ha realizado alguna acción en el mercado de la vivienda en los últimos doce meses, dos puntos porcentuales más que en 2025 y cuatro puntos por encima de la media nacional. Sin embargo, este mayor dinamismo no se traduce en un acceso más sencillo, sino en una presión creciente sobre un mercado con una oferta muy limitada.</w:t>
      </w:r>
    </w:p>
    <w:p w14:paraId="1884E60C" w14:textId="77777777" w:rsidR="006908AC" w:rsidRDefault="006908AC">
      <w:pPr>
        <w:spacing w:line="276" w:lineRule="auto"/>
        <w:jc w:val="both"/>
        <w:rPr>
          <w:rFonts w:ascii="Open Sans" w:eastAsia="Open Sans" w:hAnsi="Open Sans" w:cs="Open Sans"/>
        </w:rPr>
      </w:pPr>
    </w:p>
    <w:p w14:paraId="3D7A1A59" w14:textId="77777777" w:rsidR="006908AC" w:rsidRDefault="00000000">
      <w:pPr>
        <w:rPr>
          <w:b/>
          <w:bCs/>
          <w:sz w:val="28"/>
          <w:szCs w:val="28"/>
        </w:rPr>
      </w:pPr>
      <w:r>
        <w:rPr>
          <w:b/>
          <w:bCs/>
          <w:smallCaps/>
          <w:color w:val="323FAB"/>
          <w:sz w:val="28"/>
          <w:szCs w:val="28"/>
          <w:highlight w:val="white"/>
        </w:rPr>
        <w:t>Particulares participando en el mercado de la vivienda en Baleares</w:t>
      </w:r>
      <w:r>
        <w:rPr>
          <w:b/>
          <w:bCs/>
          <w:smallCaps/>
          <w:color w:val="323FAB"/>
          <w:sz w:val="28"/>
          <w:szCs w:val="28"/>
          <w:highlight w:val="white"/>
        </w:rPr>
        <w:br/>
        <w:t>(% sobre la población mayor de 18 años)</w:t>
      </w:r>
      <w:r>
        <w:rPr>
          <w:b/>
          <w:bCs/>
          <w:sz w:val="28"/>
          <w:szCs w:val="28"/>
        </w:rPr>
        <w:t xml:space="preserve"> </w:t>
      </w:r>
    </w:p>
    <w:p w14:paraId="1051A6D2" w14:textId="77777777" w:rsidR="006908AC" w:rsidRDefault="006908AC"/>
    <w:p w14:paraId="27797BA4" w14:textId="77777777" w:rsidR="006908AC" w:rsidRDefault="00000000">
      <w:pPr>
        <w:rPr>
          <w:rFonts w:ascii="Open Sans" w:eastAsia="Open Sans" w:hAnsi="Open Sans" w:cs="Open Sans"/>
        </w:rPr>
      </w:pPr>
      <w:r>
        <w:rPr>
          <w:noProof/>
        </w:rPr>
        <w:drawing>
          <wp:inline distT="0" distB="0" distL="0" distR="0" wp14:anchorId="596B6D97" wp14:editId="09581E43">
            <wp:extent cx="5400040" cy="290004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00040" cy="2900045"/>
                    </a:xfrm>
                    <a:prstGeom prst="rect">
                      <a:avLst/>
                    </a:prstGeom>
                    <a:ln/>
                  </pic:spPr>
                </pic:pic>
              </a:graphicData>
            </a:graphic>
          </wp:inline>
        </w:drawing>
      </w:r>
    </w:p>
    <w:p w14:paraId="7A8902A3" w14:textId="77777777" w:rsidR="006908AC" w:rsidRDefault="00000000">
      <w:pPr>
        <w:spacing w:before="240" w:after="240" w:line="276" w:lineRule="auto"/>
        <w:jc w:val="both"/>
        <w:rPr>
          <w:rFonts w:ascii="Open Sans" w:eastAsia="Open Sans" w:hAnsi="Open Sans" w:cs="Open Sans"/>
          <w:b/>
          <w:bCs/>
        </w:rPr>
      </w:pPr>
      <w:r>
        <w:rPr>
          <w:rFonts w:ascii="Open Sans" w:eastAsia="Open Sans" w:hAnsi="Open Sans" w:cs="Open Sans"/>
        </w:rPr>
        <w:t xml:space="preserve">“Baleares es hoy el mejor ejemplo de un mercado tensionado hasta el límite. Cada vez hay más ciudadanos que quieren comprar, pero no pueden hacerlo. Que el 16% de la población haya intentado adquirir una vivienda sin éxito refleja una brecha de accesibilidad muy profunda, ya que el mercado sigue generando interés y atrayendo demanda, pero la falta de oferta y los elevados precios están dejando fuera a una parte creciente de la población. Es un mercado dinámico en actividad, pero profundamente bloqueado en el acceso”, </w:t>
      </w:r>
      <w:r>
        <w:rPr>
          <w:rFonts w:ascii="Open Sans" w:eastAsia="Open Sans" w:hAnsi="Open Sans" w:cs="Open Sans"/>
          <w:b/>
          <w:bCs/>
        </w:rPr>
        <w:t xml:space="preserve">explica María Matos, directora de Estudios y portavoz de </w:t>
      </w:r>
      <w:hyperlink r:id="rId13">
        <w:r w:rsidR="006908AC">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75373307" w14:textId="77777777" w:rsidR="006908AC" w:rsidRDefault="00000000">
      <w:pPr>
        <w:spacing w:before="240" w:after="240" w:line="276" w:lineRule="auto"/>
        <w:jc w:val="both"/>
        <w:rPr>
          <w:rFonts w:ascii="Open Sans" w:eastAsia="Open Sans" w:hAnsi="Open Sans" w:cs="Open Sans"/>
        </w:rPr>
      </w:pPr>
      <w:r>
        <w:rPr>
          <w:rFonts w:ascii="National" w:eastAsia="National" w:hAnsi="National" w:cs="National"/>
          <w:b/>
          <w:bCs/>
          <w:color w:val="303AB2"/>
          <w:sz w:val="32"/>
          <w:szCs w:val="32"/>
        </w:rPr>
        <w:t>Más presión sobre la compra y retroceso del alquiler</w:t>
      </w:r>
    </w:p>
    <w:p w14:paraId="61AD91A5" w14:textId="77777777" w:rsidR="006908AC" w:rsidRDefault="00000000">
      <w:pPr>
        <w:spacing w:before="240" w:after="240" w:line="276" w:lineRule="auto"/>
        <w:jc w:val="both"/>
        <w:rPr>
          <w:rFonts w:ascii="Open Sans" w:eastAsia="Open Sans" w:hAnsi="Open Sans" w:cs="Open Sans"/>
        </w:rPr>
      </w:pPr>
      <w:r>
        <w:rPr>
          <w:rFonts w:ascii="Open Sans" w:eastAsia="Open Sans" w:hAnsi="Open Sans" w:cs="Open Sans"/>
        </w:rPr>
        <w:t xml:space="preserve">El aumento de la demanda se concentra principalmente en la compraventa, que </w:t>
      </w:r>
      <w:r>
        <w:rPr>
          <w:rFonts w:ascii="Open Sans" w:eastAsia="Open Sans" w:hAnsi="Open Sans" w:cs="Open Sans"/>
          <w:b/>
          <w:bCs/>
        </w:rPr>
        <w:t>crece con fuerza hasta el 22%, seis puntos más que el año anterior. En paralelo, el mercado del alquiler continúa perdiendo peso y desciende hasta el 15%,</w:t>
      </w:r>
      <w:r>
        <w:rPr>
          <w:rFonts w:ascii="Open Sans" w:eastAsia="Open Sans" w:hAnsi="Open Sans" w:cs="Open Sans"/>
        </w:rPr>
        <w:t xml:space="preserve"> acumulando una caída de ocho puntos en los dos últimos años.</w:t>
      </w:r>
    </w:p>
    <w:p w14:paraId="5AB95BC1" w14:textId="77777777" w:rsidR="006908AC" w:rsidRDefault="00000000">
      <w:pPr>
        <w:spacing w:before="240" w:after="240" w:line="276" w:lineRule="auto"/>
        <w:jc w:val="both"/>
        <w:rPr>
          <w:rFonts w:ascii="Open Sans" w:eastAsia="Open Sans" w:hAnsi="Open Sans" w:cs="Open Sans"/>
        </w:rPr>
      </w:pPr>
      <w:r>
        <w:rPr>
          <w:rFonts w:ascii="Open Sans" w:eastAsia="Open Sans" w:hAnsi="Open Sans" w:cs="Open Sans"/>
        </w:rPr>
        <w:lastRenderedPageBreak/>
        <w:t>En el mercado del alquiler, los inquilinos efectivos se mantienen estables en torno al 6%, mientras que los inquilinos inefectivos descienden del 6% al 4%, en un contexto de contracción de la actividad en este segmento.</w:t>
      </w:r>
    </w:p>
    <w:p w14:paraId="1401DBC6" w14:textId="77777777" w:rsidR="006908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Sin embargo, y a pesar de esta recuperación, lo cierto es que el volumen es todavía sensiblemente inferior al dato de 2024, cuando eran un 38% los baleares que habían realizado alguna acción, ya fuera de oferta o de demanda. </w:t>
      </w:r>
    </w:p>
    <w:p w14:paraId="2658FA8C" w14:textId="77777777" w:rsidR="006908AC" w:rsidRDefault="006908AC">
      <w:pPr>
        <w:rPr>
          <w:b/>
          <w:bCs/>
          <w:smallCaps/>
          <w:color w:val="323FAB"/>
          <w:highlight w:val="white"/>
        </w:rPr>
      </w:pPr>
    </w:p>
    <w:p w14:paraId="3E908881" w14:textId="77777777" w:rsidR="006908AC" w:rsidRDefault="006908AC">
      <w:pPr>
        <w:pBdr>
          <w:top w:val="nil"/>
          <w:left w:val="nil"/>
          <w:bottom w:val="nil"/>
          <w:right w:val="nil"/>
          <w:between w:val="nil"/>
        </w:pBdr>
        <w:spacing w:line="276" w:lineRule="auto"/>
        <w:jc w:val="both"/>
        <w:rPr>
          <w:rFonts w:ascii="Open Sans" w:eastAsia="Open Sans" w:hAnsi="Open Sans" w:cs="Open Sans"/>
        </w:rPr>
      </w:pPr>
    </w:p>
    <w:p w14:paraId="49D186D1" w14:textId="77777777" w:rsidR="006908AC"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bookmarkStart w:id="0" w:name="_heading=h.eu7u9nstg6tw" w:colFirst="0" w:colLast="0"/>
      <w:bookmarkEnd w:id="0"/>
      <w:r>
        <w:rPr>
          <w:rFonts w:ascii="National" w:eastAsia="National" w:hAnsi="National" w:cs="National"/>
          <w:b/>
          <w:bCs/>
          <w:color w:val="303AB2"/>
          <w:sz w:val="32"/>
          <w:szCs w:val="32"/>
        </w:rPr>
        <w:t>Se recupera la compraventa y cae el alquiler</w:t>
      </w:r>
    </w:p>
    <w:p w14:paraId="062DE47C" w14:textId="77777777" w:rsidR="006908AC" w:rsidRDefault="006908AC">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29A31362" w14:textId="77777777" w:rsidR="006908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examinar el mercado de la vivienda balear de manera desagregada por los mercados de compraventa y de alquiler lo primero que se puede observar es que ambos sectores han experimentado comportamientos opuestos. </w:t>
      </w:r>
    </w:p>
    <w:p w14:paraId="702B6220" w14:textId="77777777" w:rsidR="006908AC" w:rsidRDefault="006908AC">
      <w:pPr>
        <w:pBdr>
          <w:top w:val="nil"/>
          <w:left w:val="nil"/>
          <w:bottom w:val="nil"/>
          <w:right w:val="nil"/>
          <w:between w:val="nil"/>
        </w:pBdr>
        <w:spacing w:line="276" w:lineRule="auto"/>
        <w:jc w:val="both"/>
        <w:rPr>
          <w:rFonts w:ascii="Open Sans" w:eastAsia="Open Sans" w:hAnsi="Open Sans" w:cs="Open Sans"/>
        </w:rPr>
      </w:pPr>
    </w:p>
    <w:p w14:paraId="4B60696C" w14:textId="77777777" w:rsidR="006908A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bCs/>
        </w:rPr>
        <w:t>mientras que en el caso de la compraventa se ha producido entre 2025 y 2026 un incremento de seis puntos</w:t>
      </w:r>
      <w:r>
        <w:rPr>
          <w:rFonts w:ascii="Open Sans" w:eastAsia="Open Sans" w:hAnsi="Open Sans" w:cs="Open Sans"/>
        </w:rPr>
        <w:t xml:space="preserve">, pasando del 16% al 22%, desde el lado del alquiler se ha dado una caída de tres puntos, desde el 18% al 15%. </w:t>
      </w:r>
    </w:p>
    <w:p w14:paraId="4CB9418E" w14:textId="77777777" w:rsidR="006908AC" w:rsidRDefault="006908AC">
      <w:pPr>
        <w:pBdr>
          <w:top w:val="nil"/>
          <w:left w:val="nil"/>
          <w:bottom w:val="nil"/>
          <w:right w:val="nil"/>
          <w:between w:val="nil"/>
        </w:pBdr>
        <w:spacing w:line="276" w:lineRule="auto"/>
        <w:jc w:val="both"/>
        <w:rPr>
          <w:rFonts w:ascii="Open Sans" w:eastAsia="Open Sans" w:hAnsi="Open Sans" w:cs="Open Sans"/>
        </w:rPr>
      </w:pPr>
    </w:p>
    <w:p w14:paraId="7A14BEF2" w14:textId="77777777" w:rsidR="006908AC" w:rsidRDefault="00000000">
      <w:pPr>
        <w:rPr>
          <w:b/>
          <w:bCs/>
          <w:smallCaps/>
          <w:color w:val="323FAB"/>
          <w:sz w:val="28"/>
          <w:szCs w:val="28"/>
          <w:highlight w:val="white"/>
        </w:rPr>
      </w:pPr>
      <w:r>
        <w:rPr>
          <w:b/>
          <w:bCs/>
          <w:smallCaps/>
          <w:color w:val="323FAB"/>
          <w:sz w:val="28"/>
          <w:szCs w:val="28"/>
          <w:highlight w:val="white"/>
        </w:rPr>
        <w:t>Particulares participando en el mercado de compraventa y de alquiler en Baleares</w:t>
      </w:r>
      <w:r>
        <w:rPr>
          <w:b/>
          <w:bCs/>
          <w:smallCaps/>
          <w:color w:val="323FAB"/>
          <w:sz w:val="28"/>
          <w:szCs w:val="28"/>
          <w:highlight w:val="white"/>
        </w:rPr>
        <w:br/>
        <w:t>(% sobre la población mayor de 18 años)</w:t>
      </w:r>
    </w:p>
    <w:p w14:paraId="08EE4C5E" w14:textId="77777777" w:rsidR="006908AC" w:rsidRDefault="006908AC"/>
    <w:p w14:paraId="38F46EC4" w14:textId="77777777" w:rsidR="006908AC" w:rsidRDefault="00000000">
      <w:r>
        <w:rPr>
          <w:noProof/>
        </w:rPr>
        <w:drawing>
          <wp:inline distT="0" distB="0" distL="0" distR="0" wp14:anchorId="148DB31B" wp14:editId="1B1CC038">
            <wp:extent cx="5377180" cy="28289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77180" cy="2828925"/>
                    </a:xfrm>
                    <a:prstGeom prst="rect">
                      <a:avLst/>
                    </a:prstGeom>
                    <a:ln/>
                  </pic:spPr>
                </pic:pic>
              </a:graphicData>
            </a:graphic>
          </wp:inline>
        </w:drawing>
      </w:r>
    </w:p>
    <w:p w14:paraId="144A2D06" w14:textId="77777777" w:rsidR="006908AC" w:rsidRDefault="00000000">
      <w:pPr>
        <w:spacing w:line="276" w:lineRule="auto"/>
        <w:jc w:val="both"/>
        <w:rPr>
          <w:rFonts w:ascii="Open Sans" w:eastAsia="Open Sans" w:hAnsi="Open Sans" w:cs="Open Sans"/>
        </w:rPr>
      </w:pPr>
      <w:r>
        <w:rPr>
          <w:rFonts w:ascii="Open Sans" w:eastAsia="Open Sans" w:hAnsi="Open Sans" w:cs="Open Sans"/>
        </w:rPr>
        <w:t xml:space="preserve">Hay que recordar que, </w:t>
      </w:r>
      <w:r>
        <w:rPr>
          <w:rFonts w:ascii="Open Sans" w:eastAsia="Open Sans" w:hAnsi="Open Sans" w:cs="Open Sans"/>
          <w:b/>
          <w:bCs/>
        </w:rPr>
        <w:t>en el caso del arrendamiento, este retroceso se suma al que ya se registrara el año anterior, cuando la actividad declinó desde el 23% de 2024 al 18% doce meses después</w:t>
      </w:r>
      <w:r>
        <w:rPr>
          <w:rFonts w:ascii="Open Sans" w:eastAsia="Open Sans" w:hAnsi="Open Sans" w:cs="Open Sans"/>
        </w:rPr>
        <w:t xml:space="preserve">. Por lo tanto, si se contemplan </w:t>
      </w:r>
      <w:r>
        <w:rPr>
          <w:rFonts w:ascii="Open Sans" w:eastAsia="Open Sans" w:hAnsi="Open Sans" w:cs="Open Sans"/>
        </w:rPr>
        <w:lastRenderedPageBreak/>
        <w:t>conjuntamente los dos últimos años nos encontramos con una contracción de nada menos que ocho puntos porcentuales.</w:t>
      </w:r>
    </w:p>
    <w:p w14:paraId="7CADEE28" w14:textId="77777777" w:rsidR="006908AC" w:rsidRDefault="006908AC">
      <w:pPr>
        <w:spacing w:line="276" w:lineRule="auto"/>
        <w:jc w:val="both"/>
        <w:rPr>
          <w:rFonts w:ascii="Open Sans" w:eastAsia="Open Sans" w:hAnsi="Open Sans" w:cs="Open Sans"/>
        </w:rPr>
      </w:pPr>
    </w:p>
    <w:p w14:paraId="37967077" w14:textId="77777777" w:rsidR="006908AC" w:rsidRDefault="00000000">
      <w:pP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bCs/>
        </w:rPr>
        <w:t>el mercado de compraventa recupera casi en su totalidad el terreno perdido el año anterior,</w:t>
      </w:r>
      <w:r>
        <w:rPr>
          <w:rFonts w:ascii="Open Sans" w:eastAsia="Open Sans" w:hAnsi="Open Sans" w:cs="Open Sans"/>
        </w:rPr>
        <w:t xml:space="preserve"> cuando se produjo respecto a 2024 una caída de siete puntos (del 23% al 16%). Recordemos que en 2026 son seis puntos los que recupera.  </w:t>
      </w:r>
    </w:p>
    <w:p w14:paraId="2165497E" w14:textId="77777777" w:rsidR="006908AC" w:rsidRDefault="006908AC">
      <w:pPr>
        <w:pBdr>
          <w:top w:val="nil"/>
          <w:left w:val="nil"/>
          <w:bottom w:val="nil"/>
          <w:right w:val="nil"/>
          <w:between w:val="nil"/>
        </w:pBdr>
        <w:spacing w:line="276" w:lineRule="auto"/>
        <w:ind w:right="141"/>
        <w:jc w:val="both"/>
        <w:rPr>
          <w:rFonts w:ascii="Open Sans" w:eastAsia="Open Sans" w:hAnsi="Open Sans" w:cs="Open Sans"/>
        </w:rPr>
      </w:pPr>
    </w:p>
    <w:p w14:paraId="45C12C75" w14:textId="77777777" w:rsidR="006908AC"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ED35B7F"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D69EC8E"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sidR="006908AC">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sidR="006908AC">
          <w:rPr>
            <w:rFonts w:ascii="Open Sans" w:eastAsia="Open Sans" w:hAnsi="Open Sans" w:cs="Open Sans"/>
            <w:b/>
            <w:bCs/>
            <w:color w:val="0000FF"/>
            <w:sz w:val="22"/>
            <w:szCs w:val="22"/>
            <w:u w:val="single"/>
          </w:rPr>
          <w:t xml:space="preserve">Fotocasa </w:t>
        </w:r>
        <w:proofErr w:type="spellStart"/>
        <w:r w:rsidR="006908AC">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3A4E01F"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sidR="006908AC">
          <w:rPr>
            <w:rFonts w:ascii="Open Sans" w:eastAsia="Open Sans" w:hAnsi="Open Sans" w:cs="Open Sans"/>
            <w:b/>
            <w:bCs/>
            <w:color w:val="0000FF"/>
            <w:sz w:val="22"/>
            <w:szCs w:val="22"/>
            <w:u w:val="single"/>
          </w:rPr>
          <w:t>Sala de Prensa</w:t>
        </w:r>
      </w:hyperlink>
    </w:p>
    <w:p w14:paraId="7736EB9C" w14:textId="77777777" w:rsidR="006908AC" w:rsidRDefault="006908AC">
      <w:pPr>
        <w:spacing w:line="276" w:lineRule="auto"/>
        <w:ind w:right="141"/>
        <w:rPr>
          <w:rFonts w:ascii="Open Sans Light" w:eastAsia="Open Sans Light" w:hAnsi="Open Sans Light" w:cs="Open Sans Light"/>
          <w:b/>
          <w:bCs/>
          <w:color w:val="303AB2"/>
        </w:rPr>
      </w:pPr>
    </w:p>
    <w:p w14:paraId="572022F2" w14:textId="77777777" w:rsidR="006908AC"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6E9919C"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4983C32C"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sidR="006908AC">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proofErr w:type="spellStart"/>
        <w:r w:rsidR="006908AC">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0">
        <w:r w:rsidR="006908AC">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proofErr w:type="spellStart"/>
        <w:r w:rsidR="006908AC">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2">
        <w:proofErr w:type="spellStart"/>
        <w:r w:rsidR="006908AC">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3">
        <w:proofErr w:type="spellStart"/>
        <w:r w:rsidR="006908AC">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EE33CFC" w14:textId="77777777" w:rsidR="006908AC"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EA76CC2" w14:textId="77777777" w:rsidR="006908AC"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lastRenderedPageBreak/>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80426D2" w14:textId="77777777" w:rsidR="006908AC" w:rsidRDefault="006908AC">
      <w:pPr>
        <w:spacing w:line="276" w:lineRule="auto"/>
        <w:ind w:right="141"/>
        <w:jc w:val="both"/>
        <w:rPr>
          <w:rFonts w:ascii="Open Sans" w:eastAsia="Open Sans" w:hAnsi="Open Sans" w:cs="Open Sans"/>
          <w:sz w:val="22"/>
          <w:szCs w:val="22"/>
        </w:rPr>
      </w:pPr>
    </w:p>
    <w:p w14:paraId="2251FFB0" w14:textId="77777777" w:rsidR="006908AC" w:rsidRDefault="006908AC">
      <w:pPr>
        <w:spacing w:line="276" w:lineRule="auto"/>
        <w:ind w:right="141"/>
        <w:jc w:val="right"/>
        <w:rPr>
          <w:rFonts w:ascii="Open Sans Light" w:eastAsia="Open Sans Light" w:hAnsi="Open Sans Light" w:cs="Open Sans Light"/>
          <w:b/>
          <w:bCs/>
          <w:color w:val="303AB2"/>
        </w:rPr>
      </w:pPr>
    </w:p>
    <w:p w14:paraId="3ECABBA9" w14:textId="77777777" w:rsidR="006908AC"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028E0922" w14:textId="77777777" w:rsidR="006908AC" w:rsidRDefault="006908AC">
      <w:pPr>
        <w:pBdr>
          <w:top w:val="nil"/>
          <w:left w:val="nil"/>
          <w:bottom w:val="nil"/>
          <w:right w:val="nil"/>
          <w:between w:val="nil"/>
        </w:pBdr>
        <w:spacing w:line="276" w:lineRule="auto"/>
        <w:ind w:right="141"/>
        <w:jc w:val="both"/>
        <w:rPr>
          <w:rFonts w:ascii="Open Sans" w:eastAsia="Open Sans" w:hAnsi="Open Sans" w:cs="Open Sans"/>
          <w:sz w:val="22"/>
          <w:szCs w:val="22"/>
        </w:rPr>
      </w:pPr>
    </w:p>
    <w:p w14:paraId="1E00FC73" w14:textId="77777777" w:rsidR="006908AC"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4">
        <w:r w:rsidR="006908AC">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26E189DE" w14:textId="77777777" w:rsidR="006908AC" w:rsidRDefault="006908AC">
      <w:pPr>
        <w:pBdr>
          <w:top w:val="nil"/>
          <w:left w:val="nil"/>
          <w:bottom w:val="nil"/>
          <w:right w:val="nil"/>
          <w:between w:val="nil"/>
        </w:pBdr>
        <w:spacing w:line="276" w:lineRule="auto"/>
        <w:ind w:right="141"/>
        <w:jc w:val="both"/>
        <w:rPr>
          <w:rFonts w:ascii="Open Sans" w:eastAsia="Open Sans" w:hAnsi="Open Sans" w:cs="Open Sans"/>
          <w:sz w:val="22"/>
          <w:szCs w:val="22"/>
        </w:rPr>
      </w:pPr>
    </w:p>
    <w:p w14:paraId="3572DC12" w14:textId="77777777" w:rsidR="006908AC"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27170E3" w14:textId="77777777" w:rsidR="006908AC" w:rsidRDefault="006908AC">
      <w:pPr>
        <w:spacing w:line="276" w:lineRule="auto"/>
        <w:ind w:right="141"/>
        <w:rPr>
          <w:rFonts w:ascii="Open Sans Light" w:eastAsia="Open Sans Light" w:hAnsi="Open Sans Light" w:cs="Open Sans Light"/>
          <w:b/>
          <w:bCs/>
          <w:color w:val="303AB2"/>
          <w:sz w:val="22"/>
          <w:szCs w:val="22"/>
        </w:rPr>
      </w:pPr>
    </w:p>
    <w:p w14:paraId="25047FD8" w14:textId="77777777" w:rsidR="006908AC" w:rsidRDefault="006908AC">
      <w:pPr>
        <w:spacing w:line="276" w:lineRule="auto"/>
        <w:ind w:right="141"/>
        <w:rPr>
          <w:rFonts w:ascii="Open Sans Light" w:eastAsia="Open Sans Light" w:hAnsi="Open Sans Light" w:cs="Open Sans Light"/>
          <w:b/>
          <w:bCs/>
          <w:color w:val="303AB2"/>
          <w:sz w:val="22"/>
          <w:szCs w:val="22"/>
        </w:rPr>
      </w:pPr>
    </w:p>
    <w:p w14:paraId="38A950F8" w14:textId="77777777" w:rsidR="006908AC"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2940938" w14:textId="77777777" w:rsidR="006908AC"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4327BFE" w14:textId="77777777" w:rsidR="006908AC" w:rsidRDefault="006908AC">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FCB8029" w14:textId="77777777" w:rsidR="006908AC"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908AC">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4114" w14:textId="77777777" w:rsidR="003A2BA5" w:rsidRDefault="003A2BA5">
      <w:r>
        <w:separator/>
      </w:r>
    </w:p>
  </w:endnote>
  <w:endnote w:type="continuationSeparator" w:id="0">
    <w:p w14:paraId="05245F1F" w14:textId="77777777" w:rsidR="003A2BA5" w:rsidRDefault="003A2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100B9B-9AC6-4F3E-989B-9CFCD57D90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420A2C-AEA0-4985-80B3-A93B573BB572}"/>
    <w:embedBold r:id="rId3" w:fontKey="{1B75FAEC-5A44-4ED7-899E-E65FE3783D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97B0327-C778-4D8F-AC96-88FCC65052D9}"/>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AEE61076-F005-4ED8-BEEA-96AFC248B8AF}"/>
    <w:embedBoldItalic r:id="rId6" w:fontKey="{314A76D3-9768-49A7-98FE-CEDA97033698}"/>
  </w:font>
  <w:font w:name="Open Sans">
    <w:charset w:val="00"/>
    <w:family w:val="swiss"/>
    <w:pitch w:val="variable"/>
    <w:sig w:usb0="E00002EF" w:usb1="4000205B" w:usb2="00000028" w:usb3="00000000" w:csb0="0000019F" w:csb1="00000000"/>
    <w:embedRegular r:id="rId7" w:fontKey="{34A2BE88-5D7C-41C6-BF18-2F3C2AA01A8B}"/>
    <w:embedBold r:id="rId8" w:fontKey="{951EAE29-FA76-4F5B-BB89-B87C3DC85397}"/>
    <w:embedBoldItalic r:id="rId9" w:fontKey="{749E8350-1195-457A-BBD1-256B3FE750E1}"/>
  </w:font>
  <w:font w:name="Cambria">
    <w:panose1 w:val="02040503050406030204"/>
    <w:charset w:val="00"/>
    <w:family w:val="roman"/>
    <w:pitch w:val="variable"/>
    <w:sig w:usb0="E00006FF" w:usb1="420024FF" w:usb2="02000000" w:usb3="00000000" w:csb0="0000019F" w:csb1="00000000"/>
    <w:embedRegular r:id="rId10" w:fontKey="{6C4DEB8D-76B1-4288-9D17-5B39B378F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A8A0" w14:textId="77777777" w:rsidR="006908A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63EC0F0" wp14:editId="407C9F1D">
          <wp:simplePos x="0" y="0"/>
          <wp:positionH relativeFrom="column">
            <wp:posOffset>-1068038</wp:posOffset>
          </wp:positionH>
          <wp:positionV relativeFrom="paragraph">
            <wp:posOffset>174608</wp:posOffset>
          </wp:positionV>
          <wp:extent cx="7670550" cy="45131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4E4F8" w14:textId="77777777" w:rsidR="003A2BA5" w:rsidRDefault="003A2BA5">
      <w:r>
        <w:separator/>
      </w:r>
    </w:p>
  </w:footnote>
  <w:footnote w:type="continuationSeparator" w:id="0">
    <w:p w14:paraId="05CFC29E" w14:textId="77777777" w:rsidR="003A2BA5" w:rsidRDefault="003A2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574E8"/>
    <w:multiLevelType w:val="multilevel"/>
    <w:tmpl w:val="D608A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3650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AC"/>
    <w:rsid w:val="000638EA"/>
    <w:rsid w:val="002A12AC"/>
    <w:rsid w:val="003A2BA5"/>
    <w:rsid w:val="006908AC"/>
    <w:rsid w:val="008B33A6"/>
    <w:rsid w:val="009C1EA2"/>
    <w:rsid w:val="00B0404E"/>
    <w:rsid w:val="00C32D19"/>
    <w:rsid w:val="00C42F2E"/>
    <w:rsid w:val="00D02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59D1"/>
  <w15:docId w15:val="{D3B489C0-703C-4205-AFAE-352B53B4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3.png"/><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uII5UB8oBbE95DYeUIxXjjQ8A==">CgMxLjAyDmguZXU3dTluc3RnNnR3OAByITFGaHRSMmFFaktzeGdZWnlHNTljam9hcnhwMjZQMFJ2ag==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1222</Words>
  <Characters>6727</Characters>
  <Application>Microsoft Office Word</Application>
  <DocSecurity>0</DocSecurity>
  <Lines>56</Lines>
  <Paragraphs>15</Paragraphs>
  <ScaleCrop>false</ScaleCrop>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2026-05-08T07:41:00Z</dcterms:created>
  <dcterms:modified xsi:type="dcterms:W3CDTF">2026-05-09T21:01:00Z</dcterms:modified>
</cp:coreProperties>
</file>