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6F7C9" w14:textId="77777777" w:rsidR="00900BE2" w:rsidRDefault="00000000">
      <w:r>
        <w:rPr>
          <w:noProof/>
        </w:rPr>
        <w:drawing>
          <wp:anchor distT="0" distB="0" distL="114300" distR="114300" simplePos="0" relativeHeight="251658240" behindDoc="0" locked="0" layoutInCell="1" hidden="0" allowOverlap="1" wp14:anchorId="5F76F897" wp14:editId="722BA1E7">
            <wp:simplePos x="0" y="0"/>
            <wp:positionH relativeFrom="column">
              <wp:posOffset>-1080114</wp:posOffset>
            </wp:positionH>
            <wp:positionV relativeFrom="paragraph">
              <wp:posOffset>-654663</wp:posOffset>
            </wp:positionV>
            <wp:extent cx="7581265" cy="10191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F8C8A0D" w14:textId="77777777" w:rsidR="00900BE2" w:rsidRDefault="00900BE2">
      <w:pPr>
        <w:jc w:val="right"/>
        <w:rPr>
          <w:rFonts w:ascii="National" w:eastAsia="National" w:hAnsi="National" w:cs="National"/>
          <w:color w:val="303AB2"/>
          <w:sz w:val="36"/>
          <w:szCs w:val="36"/>
        </w:rPr>
      </w:pPr>
    </w:p>
    <w:p w14:paraId="1D98D8C3" w14:textId="77777777" w:rsidR="00900BE2" w:rsidRDefault="00900BE2">
      <w:pPr>
        <w:rPr>
          <w:rFonts w:ascii="National" w:eastAsia="National" w:hAnsi="National" w:cs="National"/>
          <w:color w:val="303AB2"/>
          <w:sz w:val="18"/>
          <w:szCs w:val="18"/>
        </w:rPr>
      </w:pPr>
    </w:p>
    <w:p w14:paraId="0BC0619F" w14:textId="77777777" w:rsidR="00900BE2" w:rsidRDefault="00000000">
      <w:pPr>
        <w:pBdr>
          <w:top w:val="nil"/>
          <w:left w:val="nil"/>
          <w:bottom w:val="nil"/>
          <w:right w:val="nil"/>
          <w:between w:val="nil"/>
        </w:pBdr>
        <w:spacing w:line="276" w:lineRule="auto"/>
        <w:ind w:left="426"/>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RADIOGRAFÍA DEL MERCADO DE LA VIVIENDA EN 2026</w:t>
      </w:r>
    </w:p>
    <w:p w14:paraId="6E6DCDC0" w14:textId="77777777" w:rsidR="00900BE2" w:rsidRDefault="00000000">
      <w:pPr>
        <w:pBdr>
          <w:top w:val="nil"/>
          <w:left w:val="nil"/>
          <w:bottom w:val="nil"/>
          <w:right w:val="nil"/>
          <w:between w:val="nil"/>
        </w:pBdr>
        <w:spacing w:line="276" w:lineRule="auto"/>
        <w:ind w:left="720"/>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Aumenta la compra fallida en Canarias: el 13% intenta comprar vivienda sin lograrlo</w:t>
      </w:r>
    </w:p>
    <w:p w14:paraId="057B3969" w14:textId="77777777" w:rsidR="00900BE2" w:rsidRDefault="00900BE2">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635631F5" w14:textId="77777777" w:rsidR="00900BE2"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 xml:space="preserve">Un 31% de los canarios ha llevado a cabo alguna acción en el mercado inmobiliario, lo que supone tres puntos porcentuales más que el año anterior </w:t>
      </w:r>
    </w:p>
    <w:p w14:paraId="7CC76269" w14:textId="77777777" w:rsidR="00900BE2"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 xml:space="preserve">La actividad en la compraventa de vivienda sube hasta el 20%, después de que el año anterior no superase el 15% </w:t>
      </w:r>
    </w:p>
    <w:p w14:paraId="08175141" w14:textId="77777777" w:rsidR="00900BE2"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31% de participación en el sector inmobiliario en Canarias supera la media registrada por el conjunto de España, que se queda en el 28%</w:t>
      </w:r>
    </w:p>
    <w:p w14:paraId="0194EEE1" w14:textId="77777777" w:rsidR="00900BE2"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Aquí se puede descargar el informe nacional “</w:t>
      </w:r>
      <w:hyperlink r:id="rId9">
        <w:r>
          <w:rPr>
            <w:rFonts w:ascii="Open Sans Light" w:eastAsia="Open Sans Light" w:hAnsi="Open Sans Light" w:cs="Open Sans Light"/>
            <w:b/>
            <w:bCs/>
            <w:i/>
            <w:iCs/>
            <w:color w:val="0000FF"/>
            <w:u w:val="single"/>
          </w:rPr>
          <w:t>Radiografía del mercado de la vivienda en 2026</w:t>
        </w:r>
      </w:hyperlink>
      <w:r>
        <w:rPr>
          <w:rFonts w:ascii="Open Sans Light" w:eastAsia="Open Sans Light" w:hAnsi="Open Sans Light" w:cs="Open Sans Light"/>
          <w:b/>
          <w:bCs/>
          <w:color w:val="303AB2"/>
        </w:rPr>
        <w:t>”</w:t>
      </w:r>
    </w:p>
    <w:p w14:paraId="499CCD0F" w14:textId="77777777" w:rsidR="00900BE2" w:rsidRDefault="00900BE2">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1F738F72" w14:textId="77777777" w:rsidR="00900BE2"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11 de mayo de 2026</w:t>
      </w:r>
      <w:r>
        <w:rPr>
          <w:rFonts w:ascii="Open Sans Light" w:eastAsia="Open Sans Light" w:hAnsi="Open Sans Light" w:cs="Open Sans Light"/>
          <w:b/>
          <w:bCs/>
          <w:color w:val="303AB2"/>
        </w:rPr>
        <w:tab/>
      </w:r>
    </w:p>
    <w:p w14:paraId="2F52C2EF" w14:textId="77777777" w:rsidR="00900BE2" w:rsidRDefault="00900BE2">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150D1F59" w14:textId="77777777" w:rsidR="00900BE2"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Acceder a una vivienda en Canarias sigue siendo un desafío creciente. En los últimos doce meses, </w:t>
      </w:r>
      <w:r>
        <w:rPr>
          <w:rFonts w:ascii="Open Sans" w:eastAsia="Open Sans" w:hAnsi="Open Sans" w:cs="Open Sans"/>
          <w:b/>
          <w:bCs/>
        </w:rPr>
        <w:t>el porcentaje de ciudadanos que ha intentado comprar sin éxito ha vuelto a aumentar, pasando del 12% al 13</w:t>
      </w:r>
      <w:r>
        <w:rPr>
          <w:rFonts w:ascii="Open Sans" w:eastAsia="Open Sans" w:hAnsi="Open Sans" w:cs="Open Sans"/>
        </w:rPr>
        <w:t xml:space="preserve">%. Este incremento de los compradores inefectivos refleja la dificultad estructural del mercado para absorber una demanda que continúa al alza, </w:t>
      </w:r>
      <w:r>
        <w:rPr>
          <w:rFonts w:ascii="Open Sans" w:eastAsia="Open Sans" w:hAnsi="Open Sans" w:cs="Open Sans"/>
          <w:b/>
          <w:bCs/>
        </w:rPr>
        <w:t>según el informe “</w:t>
      </w:r>
      <w:hyperlink r:id="rId10">
        <w:r>
          <w:rPr>
            <w:rFonts w:ascii="Open Sans" w:eastAsia="Open Sans" w:hAnsi="Open Sans" w:cs="Open Sans"/>
            <w:b/>
            <w:bCs/>
            <w:i/>
            <w:iCs/>
            <w:color w:val="0000FF"/>
            <w:u w:val="single"/>
          </w:rPr>
          <w:t>Radiografía del mercado de la vivienda en 2026</w:t>
        </w:r>
      </w:hyperlink>
      <w:r>
        <w:rPr>
          <w:rFonts w:ascii="Open Sans" w:eastAsia="Open Sans" w:hAnsi="Open Sans" w:cs="Open Sans"/>
          <w:b/>
          <w:bCs/>
        </w:rPr>
        <w:t xml:space="preserve">” de </w:t>
      </w:r>
      <w:hyperlink r:id="rId11">
        <w:r>
          <w:rPr>
            <w:rFonts w:ascii="Open Sans" w:eastAsia="Open Sans" w:hAnsi="Open Sans" w:cs="Open Sans"/>
            <w:b/>
            <w:bCs/>
            <w:color w:val="0000FF"/>
            <w:u w:val="single"/>
          </w:rPr>
          <w:t>Fotocasa Research</w:t>
        </w:r>
      </w:hyperlink>
      <w:r>
        <w:rPr>
          <w:rFonts w:ascii="Open Sans" w:eastAsia="Open Sans" w:hAnsi="Open Sans" w:cs="Open Sans"/>
        </w:rPr>
        <w:t xml:space="preserve">. </w:t>
      </w:r>
    </w:p>
    <w:p w14:paraId="3378489D" w14:textId="77777777" w:rsidR="00900BE2" w:rsidRDefault="00900BE2">
      <w:pPr>
        <w:pBdr>
          <w:top w:val="nil"/>
          <w:left w:val="nil"/>
          <w:bottom w:val="nil"/>
          <w:right w:val="nil"/>
          <w:between w:val="nil"/>
        </w:pBdr>
        <w:spacing w:line="276" w:lineRule="auto"/>
        <w:jc w:val="both"/>
        <w:rPr>
          <w:rFonts w:ascii="Open Sans" w:eastAsia="Open Sans" w:hAnsi="Open Sans" w:cs="Open Sans"/>
        </w:rPr>
      </w:pPr>
    </w:p>
    <w:p w14:paraId="28867A1D" w14:textId="77777777" w:rsidR="00900BE2" w:rsidRDefault="00000000">
      <w:pPr>
        <w:spacing w:line="276" w:lineRule="auto"/>
        <w:jc w:val="both"/>
        <w:rPr>
          <w:rFonts w:ascii="Open Sans" w:eastAsia="Open Sans" w:hAnsi="Open Sans" w:cs="Open Sans"/>
        </w:rPr>
      </w:pPr>
      <w:r>
        <w:rPr>
          <w:rFonts w:ascii="Open Sans" w:eastAsia="Open Sans" w:hAnsi="Open Sans" w:cs="Open Sans"/>
        </w:rPr>
        <w:t xml:space="preserve">De este modo, la combinación de las subidas de ambos colectivos (compradores efectivos e inefectivos) dan como resultado el notable aumento de la participación tanto en la compraventa como en el conjunto del mercado inmobiliario canario. Dentro todavía de la demanda, se observa que también aumentan los que han alquilado una vivienda para vivir en ella como inquilinos en el archipiélago, que pasan del 5% al 7%. Es decir, dos puntos porcentuales por encima y un punto más que la media nacional. </w:t>
      </w:r>
    </w:p>
    <w:p w14:paraId="4A078486" w14:textId="77777777" w:rsidR="00900BE2" w:rsidRDefault="00900BE2">
      <w:pPr>
        <w:spacing w:line="276" w:lineRule="auto"/>
        <w:jc w:val="both"/>
        <w:rPr>
          <w:rFonts w:ascii="Open Sans" w:eastAsia="Open Sans" w:hAnsi="Open Sans" w:cs="Open Sans"/>
        </w:rPr>
      </w:pPr>
    </w:p>
    <w:p w14:paraId="1D73E84A" w14:textId="77777777" w:rsidR="00900BE2" w:rsidRDefault="00000000">
      <w:pPr>
        <w:spacing w:line="276" w:lineRule="auto"/>
        <w:jc w:val="both"/>
        <w:rPr>
          <w:rFonts w:ascii="Open Sans" w:eastAsia="Open Sans" w:hAnsi="Open Sans" w:cs="Open Sans"/>
        </w:rPr>
      </w:pPr>
      <w:r>
        <w:rPr>
          <w:rFonts w:ascii="Open Sans" w:eastAsia="Open Sans" w:hAnsi="Open Sans" w:cs="Open Sans"/>
        </w:rPr>
        <w:t>En cuanto a los arrendatarios inefectivos, esto es, los que han tratado de alquilar un inmueble para vivir en él, pero aún no lo han logrado, la cifra baja al 5%, después de que doce meses antes se estableciese en el 7%.</w:t>
      </w:r>
    </w:p>
    <w:p w14:paraId="02A33009" w14:textId="77777777" w:rsidR="00900BE2" w:rsidRDefault="00900BE2">
      <w:pPr>
        <w:spacing w:line="276" w:lineRule="auto"/>
        <w:jc w:val="both"/>
        <w:rPr>
          <w:rFonts w:ascii="Open Sans" w:eastAsia="Open Sans" w:hAnsi="Open Sans" w:cs="Open Sans"/>
        </w:rPr>
      </w:pPr>
    </w:p>
    <w:p w14:paraId="497671E1" w14:textId="77777777" w:rsidR="00900BE2" w:rsidRDefault="00000000">
      <w:pPr>
        <w:spacing w:line="276" w:lineRule="auto"/>
        <w:jc w:val="both"/>
        <w:rPr>
          <w:rFonts w:ascii="Open Sans" w:eastAsia="Open Sans" w:hAnsi="Open Sans" w:cs="Open Sans"/>
        </w:rPr>
      </w:pPr>
      <w:r>
        <w:rPr>
          <w:rFonts w:ascii="Open Sans" w:eastAsia="Open Sans" w:hAnsi="Open Sans" w:cs="Open Sans"/>
        </w:rPr>
        <w:t>Desde la oferta, quienes han vendido un piso del que eran propietarios constituyen el 2% (un punto más que el año anterior), el mismo porcentaje que los vendedores no efectivos (que también duplican la cifra de 2025).</w:t>
      </w:r>
    </w:p>
    <w:p w14:paraId="5FFBAFD0" w14:textId="77777777" w:rsidR="00900BE2" w:rsidRDefault="00900BE2">
      <w:pPr>
        <w:spacing w:line="276" w:lineRule="auto"/>
        <w:jc w:val="both"/>
        <w:rPr>
          <w:rFonts w:ascii="Open Sans" w:eastAsia="Open Sans" w:hAnsi="Open Sans" w:cs="Open Sans"/>
        </w:rPr>
      </w:pPr>
    </w:p>
    <w:p w14:paraId="55949EB2" w14:textId="77777777" w:rsidR="00900BE2" w:rsidRDefault="00000000">
      <w:pPr>
        <w:spacing w:line="276" w:lineRule="auto"/>
        <w:jc w:val="both"/>
        <w:rPr>
          <w:rFonts w:ascii="Open Sans" w:eastAsia="Open Sans" w:hAnsi="Open Sans" w:cs="Open Sans"/>
        </w:rPr>
      </w:pPr>
      <w:r>
        <w:rPr>
          <w:rFonts w:ascii="Open Sans" w:eastAsia="Open Sans" w:hAnsi="Open Sans" w:cs="Open Sans"/>
        </w:rPr>
        <w:t xml:space="preserve">"El mercado inmobiliario en Canarias ha recuperado en 2026 una vitalidad extraordinaria, situándose tres puntos por encima de la media española. Lo más relevante de este ejercicio es el contundente regreso de la compraventa: mientras que en el resto de España la intención de compra se sitúa en el 17%, en el archipiélago escala hasta el 20%. Este 'despertar' del interés por la propiedad es una señal clara de que los canarios siguen viendo en la vivienda un valor refugio y una prioridad vital, a pesar de las dificultades de precios que atraviesan las islas. Sin embargo, este dinamismo de la compra contrasta con el agotamiento que empieza a mostrar el mercado del alquiler. Esta tendencia nos indica que la oferta de alquiler está tan tensionada que muchos ciudadanos están intentando dar el salto a la compra ante la falta de opciones atractivas o asequibles para vivir de alquiler”, </w:t>
      </w:r>
      <w:r>
        <w:rPr>
          <w:rFonts w:ascii="Open Sans" w:eastAsia="Open Sans" w:hAnsi="Open Sans" w:cs="Open Sans"/>
          <w:b/>
          <w:bCs/>
        </w:rPr>
        <w:t xml:space="preserve">explica María Matos, directora de Estudios de </w:t>
      </w:r>
      <w:hyperlink r:id="rId12">
        <w:r>
          <w:rPr>
            <w:rFonts w:ascii="Open Sans" w:eastAsia="Open Sans" w:hAnsi="Open Sans" w:cs="Open Sans"/>
            <w:b/>
            <w:bCs/>
            <w:color w:val="0000FF"/>
            <w:u w:val="single"/>
          </w:rPr>
          <w:t>Fotocasa</w:t>
        </w:r>
      </w:hyperlink>
      <w:r>
        <w:rPr>
          <w:rFonts w:ascii="Open Sans" w:eastAsia="Open Sans" w:hAnsi="Open Sans" w:cs="Open Sans"/>
          <w:b/>
          <w:bCs/>
        </w:rPr>
        <w:t>.</w:t>
      </w:r>
    </w:p>
    <w:p w14:paraId="4198EE3A" w14:textId="77777777" w:rsidR="00900BE2" w:rsidRDefault="00900BE2">
      <w:pPr>
        <w:spacing w:line="276" w:lineRule="auto"/>
        <w:ind w:right="141"/>
        <w:jc w:val="both"/>
        <w:rPr>
          <w:rFonts w:ascii="Open Sans" w:eastAsia="Open Sans" w:hAnsi="Open Sans" w:cs="Open Sans"/>
        </w:rPr>
      </w:pPr>
    </w:p>
    <w:p w14:paraId="22F7FF90" w14:textId="77777777" w:rsidR="00900BE2" w:rsidRDefault="00900BE2">
      <w:pPr>
        <w:spacing w:line="276" w:lineRule="auto"/>
        <w:ind w:right="141"/>
        <w:jc w:val="both"/>
        <w:rPr>
          <w:rFonts w:ascii="Open Sans" w:eastAsia="Open Sans" w:hAnsi="Open Sans" w:cs="Open Sans"/>
        </w:rPr>
      </w:pPr>
    </w:p>
    <w:p w14:paraId="1F13FEA6" w14:textId="77777777" w:rsidR="00900BE2" w:rsidRDefault="00000000">
      <w:pPr>
        <w:spacing w:line="276" w:lineRule="auto"/>
        <w:jc w:val="both"/>
        <w:rPr>
          <w:rFonts w:ascii="Open Sans" w:eastAsia="Open Sans" w:hAnsi="Open Sans" w:cs="Open Sans"/>
        </w:rPr>
      </w:pPr>
      <w:r>
        <w:rPr>
          <w:rFonts w:ascii="National" w:eastAsia="National" w:hAnsi="National" w:cs="National"/>
          <w:b/>
          <w:bCs/>
          <w:color w:val="303AB2"/>
          <w:sz w:val="32"/>
          <w:szCs w:val="32"/>
        </w:rPr>
        <w:t>El 20% busca comprar vivienda frente al 15% que quiere alquilar</w:t>
      </w:r>
    </w:p>
    <w:p w14:paraId="5D1CD6C8" w14:textId="77777777" w:rsidR="00900BE2" w:rsidRDefault="00900BE2">
      <w:pPr>
        <w:pBdr>
          <w:top w:val="nil"/>
          <w:left w:val="nil"/>
          <w:bottom w:val="nil"/>
          <w:right w:val="nil"/>
          <w:between w:val="nil"/>
        </w:pBdr>
        <w:spacing w:line="276" w:lineRule="auto"/>
        <w:jc w:val="both"/>
        <w:rPr>
          <w:rFonts w:ascii="Open Sans" w:eastAsia="Open Sans" w:hAnsi="Open Sans" w:cs="Open Sans"/>
        </w:rPr>
      </w:pPr>
    </w:p>
    <w:p w14:paraId="3668A481" w14:textId="77777777" w:rsidR="00900BE2"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En 2026, la actividad en el mercado de la vivienda en Canarias a lo largo del año anterior mostraba un significativo aumento, ya que desde el 28% había subido al 31%. Hablamos, por lo tanto, de un incremento de tres puntos porcentuales,Este aumento, sin embargo, no sirve todavía para alcanzar la cifra anotada en 2024, cuando se alcanzó el 33%.</w:t>
      </w:r>
    </w:p>
    <w:p w14:paraId="677BA747" w14:textId="77777777" w:rsidR="00900BE2" w:rsidRDefault="00900BE2">
      <w:pPr>
        <w:pBdr>
          <w:top w:val="nil"/>
          <w:left w:val="nil"/>
          <w:bottom w:val="nil"/>
          <w:right w:val="nil"/>
          <w:between w:val="nil"/>
        </w:pBdr>
        <w:spacing w:line="276" w:lineRule="auto"/>
        <w:jc w:val="both"/>
        <w:rPr>
          <w:rFonts w:ascii="Open Sans" w:eastAsia="Open Sans" w:hAnsi="Open Sans" w:cs="Open Sans"/>
        </w:rPr>
      </w:pPr>
    </w:p>
    <w:p w14:paraId="0DCD3466" w14:textId="77777777" w:rsidR="00900BE2"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Con este incremento, la cifra canaria sigue estando todavía claramente por encima de la media nacional (28%). Cabe recordar que estos porcentajes corresponden a los particulares mayores de 18 años que han llevado a cabo alguna acción inmobiliaria (de oferta o de demanda; de compraventa o de alquiler) en los últimos doce meses. </w:t>
      </w:r>
    </w:p>
    <w:p w14:paraId="145FEC39" w14:textId="77777777" w:rsidR="00900BE2" w:rsidRDefault="00900BE2">
      <w:pPr>
        <w:pBdr>
          <w:top w:val="nil"/>
          <w:left w:val="nil"/>
          <w:bottom w:val="nil"/>
          <w:right w:val="nil"/>
          <w:between w:val="nil"/>
        </w:pBdr>
        <w:spacing w:line="276" w:lineRule="auto"/>
        <w:jc w:val="both"/>
        <w:rPr>
          <w:rFonts w:ascii="Open Sans" w:eastAsia="Open Sans" w:hAnsi="Open Sans" w:cs="Open Sans"/>
        </w:rPr>
      </w:pPr>
    </w:p>
    <w:p w14:paraId="587BAE71" w14:textId="77777777" w:rsidR="00456B60" w:rsidRDefault="00456B60">
      <w:pPr>
        <w:pBdr>
          <w:top w:val="nil"/>
          <w:left w:val="nil"/>
          <w:bottom w:val="nil"/>
          <w:right w:val="nil"/>
          <w:between w:val="nil"/>
        </w:pBdr>
        <w:spacing w:line="276" w:lineRule="auto"/>
        <w:jc w:val="both"/>
        <w:rPr>
          <w:rFonts w:ascii="Open Sans" w:eastAsia="Open Sans" w:hAnsi="Open Sans" w:cs="Open Sans"/>
        </w:rPr>
      </w:pPr>
    </w:p>
    <w:p w14:paraId="7A81AB29" w14:textId="77777777" w:rsidR="00456B60" w:rsidRDefault="00456B60">
      <w:pPr>
        <w:pBdr>
          <w:top w:val="nil"/>
          <w:left w:val="nil"/>
          <w:bottom w:val="nil"/>
          <w:right w:val="nil"/>
          <w:between w:val="nil"/>
        </w:pBdr>
        <w:spacing w:line="276" w:lineRule="auto"/>
        <w:jc w:val="both"/>
        <w:rPr>
          <w:rFonts w:ascii="Open Sans" w:eastAsia="Open Sans" w:hAnsi="Open Sans" w:cs="Open Sans"/>
        </w:rPr>
      </w:pPr>
    </w:p>
    <w:p w14:paraId="49A2589E" w14:textId="77777777" w:rsidR="00456B60" w:rsidRDefault="00456B60">
      <w:pPr>
        <w:pBdr>
          <w:top w:val="nil"/>
          <w:left w:val="nil"/>
          <w:bottom w:val="nil"/>
          <w:right w:val="nil"/>
          <w:between w:val="nil"/>
        </w:pBdr>
        <w:spacing w:line="276" w:lineRule="auto"/>
        <w:jc w:val="both"/>
        <w:rPr>
          <w:rFonts w:ascii="Open Sans" w:eastAsia="Open Sans" w:hAnsi="Open Sans" w:cs="Open Sans"/>
        </w:rPr>
      </w:pPr>
    </w:p>
    <w:p w14:paraId="3EF5FEE7" w14:textId="77777777" w:rsidR="00900BE2" w:rsidRDefault="00000000">
      <w:pPr>
        <w:rPr>
          <w:b/>
          <w:bCs/>
          <w:smallCaps/>
          <w:color w:val="323FAB"/>
          <w:sz w:val="28"/>
          <w:szCs w:val="28"/>
          <w:highlight w:val="white"/>
        </w:rPr>
      </w:pPr>
      <w:bookmarkStart w:id="0" w:name="_heading=h.ifun7lpdedeo" w:colFirst="0" w:colLast="0"/>
      <w:bookmarkEnd w:id="0"/>
      <w:r>
        <w:rPr>
          <w:b/>
          <w:bCs/>
          <w:smallCaps/>
          <w:color w:val="323FAB"/>
          <w:sz w:val="28"/>
          <w:szCs w:val="28"/>
          <w:highlight w:val="white"/>
        </w:rPr>
        <w:lastRenderedPageBreak/>
        <w:t>Particulares participando en el mercado de la vivienda en Canarias</w:t>
      </w:r>
      <w:r>
        <w:rPr>
          <w:b/>
          <w:bCs/>
          <w:smallCaps/>
          <w:color w:val="323FAB"/>
          <w:sz w:val="28"/>
          <w:szCs w:val="28"/>
          <w:highlight w:val="white"/>
        </w:rPr>
        <w:br/>
        <w:t>(% sobre la población mayor de 18 años)</w:t>
      </w:r>
    </w:p>
    <w:p w14:paraId="7E40C698" w14:textId="77777777" w:rsidR="00900BE2" w:rsidRDefault="00900BE2">
      <w:pPr>
        <w:rPr>
          <w:b/>
          <w:bCs/>
          <w:smallCaps/>
          <w:color w:val="323FAB"/>
          <w:highlight w:val="white"/>
        </w:rPr>
      </w:pPr>
    </w:p>
    <w:p w14:paraId="160FBDE4" w14:textId="77777777" w:rsidR="00900BE2" w:rsidRDefault="00000000">
      <w:pPr>
        <w:rPr>
          <w:b/>
          <w:bCs/>
          <w:smallCaps/>
          <w:color w:val="323FAB"/>
          <w:highlight w:val="white"/>
        </w:rPr>
      </w:pPr>
      <w:r>
        <w:rPr>
          <w:b/>
          <w:bCs/>
          <w:smallCaps/>
          <w:noProof/>
          <w:color w:val="323FAB"/>
          <w:highlight w:val="white"/>
        </w:rPr>
        <w:drawing>
          <wp:inline distT="0" distB="0" distL="0" distR="0" wp14:anchorId="0EEF0E16" wp14:editId="03FC1C84">
            <wp:extent cx="5328285" cy="282257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328285" cy="2822575"/>
                    </a:xfrm>
                    <a:prstGeom prst="rect">
                      <a:avLst/>
                    </a:prstGeom>
                    <a:ln/>
                  </pic:spPr>
                </pic:pic>
              </a:graphicData>
            </a:graphic>
          </wp:inline>
        </w:drawing>
      </w:r>
    </w:p>
    <w:p w14:paraId="74F4934A" w14:textId="77777777" w:rsidR="00900BE2" w:rsidRDefault="00900BE2">
      <w:pPr>
        <w:pBdr>
          <w:top w:val="nil"/>
          <w:left w:val="nil"/>
          <w:bottom w:val="nil"/>
          <w:right w:val="nil"/>
          <w:between w:val="nil"/>
        </w:pBdr>
        <w:spacing w:line="276" w:lineRule="auto"/>
        <w:jc w:val="both"/>
        <w:rPr>
          <w:rFonts w:ascii="Open Sans" w:eastAsia="Open Sans" w:hAnsi="Open Sans" w:cs="Open Sans"/>
        </w:rPr>
      </w:pPr>
    </w:p>
    <w:p w14:paraId="65C37850" w14:textId="77777777" w:rsidR="00900BE2"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La compraventa recupera músculo, mientras que retrocede el alquiler</w:t>
      </w:r>
    </w:p>
    <w:p w14:paraId="16EB8DC6" w14:textId="77777777" w:rsidR="00900BE2" w:rsidRDefault="00900BE2">
      <w:pPr>
        <w:pBdr>
          <w:top w:val="nil"/>
          <w:left w:val="nil"/>
          <w:bottom w:val="nil"/>
          <w:right w:val="nil"/>
          <w:between w:val="nil"/>
        </w:pBdr>
        <w:spacing w:line="276" w:lineRule="auto"/>
        <w:jc w:val="both"/>
        <w:rPr>
          <w:rFonts w:ascii="Open Sans" w:eastAsia="Open Sans" w:hAnsi="Open Sans" w:cs="Open Sans"/>
        </w:rPr>
      </w:pPr>
    </w:p>
    <w:p w14:paraId="65AAB04E" w14:textId="77777777" w:rsidR="00900BE2"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Otro de los datos destacados de la presente radiografía del mercado inmobiliario canario de </w:t>
      </w:r>
      <w:hyperlink r:id="rId14">
        <w:r>
          <w:rPr>
            <w:rFonts w:ascii="Open Sans" w:eastAsia="Open Sans" w:hAnsi="Open Sans" w:cs="Open Sans"/>
            <w:color w:val="0000FF"/>
            <w:u w:val="single"/>
          </w:rPr>
          <w:t>Fotocasa Research</w:t>
        </w:r>
      </w:hyperlink>
      <w:r>
        <w:rPr>
          <w:rFonts w:ascii="Open Sans" w:eastAsia="Open Sans" w:hAnsi="Open Sans" w:cs="Open Sans"/>
        </w:rPr>
        <w:t xml:space="preserve"> es que, </w:t>
      </w:r>
      <w:r>
        <w:rPr>
          <w:rFonts w:ascii="Open Sans" w:eastAsia="Open Sans" w:hAnsi="Open Sans" w:cs="Open Sans"/>
          <w:b/>
          <w:bCs/>
        </w:rPr>
        <w:t>en 2026 la compraventa recupera aliento y rebasa con amplitud al mercado del alquiler</w:t>
      </w:r>
      <w:r>
        <w:rPr>
          <w:rFonts w:ascii="Open Sans" w:eastAsia="Open Sans" w:hAnsi="Open Sans" w:cs="Open Sans"/>
        </w:rPr>
        <w:t>. De este modo, al contrario que ocurría el pasado año, la participación de particulares en el mercado de la compraventa sube hasta el 20% (cinco puntos porcentuales más que en 2025), mientras que la del alquiler retrocede hasta el 15% (frente al 17% de doce meses antes).</w:t>
      </w:r>
    </w:p>
    <w:p w14:paraId="603A9632" w14:textId="77777777" w:rsidR="00900BE2" w:rsidRDefault="00900BE2">
      <w:pPr>
        <w:pBdr>
          <w:top w:val="nil"/>
          <w:left w:val="nil"/>
          <w:bottom w:val="nil"/>
          <w:right w:val="nil"/>
          <w:between w:val="nil"/>
        </w:pBdr>
        <w:spacing w:line="276" w:lineRule="auto"/>
        <w:jc w:val="both"/>
        <w:rPr>
          <w:rFonts w:ascii="Open Sans" w:eastAsia="Open Sans" w:hAnsi="Open Sans" w:cs="Open Sans"/>
        </w:rPr>
      </w:pPr>
    </w:p>
    <w:p w14:paraId="42A0F1A7" w14:textId="77777777" w:rsidR="00900BE2"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De este modo, se recupera el escenario de 2024, cuando la compraventa suponía un 20% y el arrendamiento un 17%. Es decir, que mientras que la participación en el mercado de la compraventa recobra sus cifras, la del alquiler pierde fuelle.</w:t>
      </w:r>
    </w:p>
    <w:p w14:paraId="33636651" w14:textId="77777777" w:rsidR="00900BE2" w:rsidRDefault="00900BE2">
      <w:pPr>
        <w:pBdr>
          <w:top w:val="nil"/>
          <w:left w:val="nil"/>
          <w:bottom w:val="nil"/>
          <w:right w:val="nil"/>
          <w:between w:val="nil"/>
        </w:pBdr>
        <w:spacing w:line="276" w:lineRule="auto"/>
        <w:jc w:val="both"/>
        <w:rPr>
          <w:rFonts w:ascii="Open Sans" w:eastAsia="Open Sans" w:hAnsi="Open Sans" w:cs="Open Sans"/>
        </w:rPr>
      </w:pPr>
    </w:p>
    <w:p w14:paraId="0758F251" w14:textId="77777777" w:rsidR="00900BE2"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En comparación con la media española, el aumento en la participación de particulares en la compraventa en Canarias supone superar con amplitud el porcentaje del conjunto de España (el 17%), mientras que apenas lo supera por un punto en el caso del alquiler, que a nivel nacional se sitúa en el 14%. Por tanto, el mayor nivel de actividad inmobiliaria que tiene Canarias en comparación con el conjunto de España se debe sobre todo a la compraventa.</w:t>
      </w:r>
    </w:p>
    <w:p w14:paraId="7A54CC70" w14:textId="77777777" w:rsidR="00900BE2" w:rsidRDefault="00000000">
      <w:pPr>
        <w:rPr>
          <w:b/>
          <w:bCs/>
          <w:smallCaps/>
          <w:color w:val="323FAB"/>
          <w:sz w:val="28"/>
          <w:szCs w:val="28"/>
          <w:highlight w:val="white"/>
        </w:rPr>
      </w:pPr>
      <w:r>
        <w:rPr>
          <w:b/>
          <w:bCs/>
          <w:smallCaps/>
          <w:color w:val="323FAB"/>
          <w:sz w:val="28"/>
          <w:szCs w:val="28"/>
          <w:highlight w:val="white"/>
        </w:rPr>
        <w:lastRenderedPageBreak/>
        <w:t>Particulares participando en el mercado de compraventa y de alquiler en Baleares</w:t>
      </w:r>
      <w:r>
        <w:rPr>
          <w:b/>
          <w:bCs/>
          <w:smallCaps/>
          <w:color w:val="323FAB"/>
          <w:sz w:val="28"/>
          <w:szCs w:val="28"/>
          <w:highlight w:val="white"/>
        </w:rPr>
        <w:br/>
        <w:t>(% sobre la población mayor de 18 años)</w:t>
      </w:r>
    </w:p>
    <w:p w14:paraId="2233DBAD" w14:textId="77777777" w:rsidR="00900BE2" w:rsidRDefault="00900BE2"/>
    <w:p w14:paraId="3A7F4068" w14:textId="77777777" w:rsidR="00900BE2" w:rsidRDefault="00000000">
      <w:pPr>
        <w:rPr>
          <w:b/>
          <w:bCs/>
          <w:smallCaps/>
          <w:color w:val="323FAB"/>
          <w:highlight w:val="white"/>
        </w:rPr>
      </w:pPr>
      <w:r>
        <w:rPr>
          <w:noProof/>
        </w:rPr>
        <w:drawing>
          <wp:inline distT="0" distB="0" distL="0" distR="0" wp14:anchorId="79DEA21B" wp14:editId="6CFDE1D0">
            <wp:extent cx="5400040" cy="271208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400040" cy="2712085"/>
                    </a:xfrm>
                    <a:prstGeom prst="rect">
                      <a:avLst/>
                    </a:prstGeom>
                    <a:ln/>
                  </pic:spPr>
                </pic:pic>
              </a:graphicData>
            </a:graphic>
          </wp:inline>
        </w:drawing>
      </w:r>
    </w:p>
    <w:p w14:paraId="3ED6B757" w14:textId="77777777" w:rsidR="00900BE2" w:rsidRDefault="00900BE2">
      <w:pPr>
        <w:pBdr>
          <w:top w:val="nil"/>
          <w:left w:val="nil"/>
          <w:bottom w:val="nil"/>
          <w:right w:val="nil"/>
          <w:between w:val="nil"/>
        </w:pBdr>
        <w:spacing w:line="276" w:lineRule="auto"/>
        <w:jc w:val="both"/>
        <w:rPr>
          <w:rFonts w:ascii="Open Sans" w:eastAsia="Open Sans" w:hAnsi="Open Sans" w:cs="Open Sans"/>
        </w:rPr>
      </w:pPr>
    </w:p>
    <w:p w14:paraId="4E444B1D" w14:textId="77777777" w:rsidR="00900BE2"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un examen más cercano se observa que </w:t>
      </w:r>
      <w:r>
        <w:rPr>
          <w:rFonts w:ascii="Open Sans" w:eastAsia="Open Sans" w:hAnsi="Open Sans" w:cs="Open Sans"/>
          <w:b/>
          <w:bCs/>
        </w:rPr>
        <w:t>se produce un significativo impuso en los compradores canarios, al pasar del 2% del pasado año al 4% de 2026,</w:t>
      </w:r>
      <w:r>
        <w:rPr>
          <w:rFonts w:ascii="Open Sans" w:eastAsia="Open Sans" w:hAnsi="Open Sans" w:cs="Open Sans"/>
        </w:rPr>
        <w:t xml:space="preserve"> igualando de este modo el porcentaje sigue de la media nacional.</w:t>
      </w:r>
    </w:p>
    <w:p w14:paraId="2D026E74" w14:textId="77777777" w:rsidR="00900BE2" w:rsidRDefault="00900BE2">
      <w:pPr>
        <w:pBdr>
          <w:top w:val="nil"/>
          <w:left w:val="nil"/>
          <w:bottom w:val="nil"/>
          <w:right w:val="nil"/>
          <w:between w:val="nil"/>
        </w:pBdr>
        <w:spacing w:line="276" w:lineRule="auto"/>
        <w:ind w:right="141"/>
        <w:jc w:val="both"/>
        <w:rPr>
          <w:rFonts w:ascii="Open Sans" w:eastAsia="Open Sans" w:hAnsi="Open Sans" w:cs="Open Sans"/>
        </w:rPr>
      </w:pPr>
    </w:p>
    <w:p w14:paraId="64825C8C" w14:textId="77777777" w:rsidR="00456B60" w:rsidRDefault="00456B60">
      <w:pPr>
        <w:spacing w:line="276" w:lineRule="auto"/>
        <w:ind w:right="141"/>
        <w:jc w:val="right"/>
        <w:rPr>
          <w:rFonts w:ascii="Open Sans Light" w:eastAsia="Open Sans Light" w:hAnsi="Open Sans Light" w:cs="Open Sans Light"/>
          <w:b/>
          <w:bCs/>
          <w:color w:val="303AB2"/>
        </w:rPr>
      </w:pPr>
    </w:p>
    <w:p w14:paraId="51542697" w14:textId="18252829" w:rsidR="00900BE2" w:rsidRDefault="00000000">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24594F84" w14:textId="77777777" w:rsidR="00900BE2"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114C3A92" w14:textId="77777777" w:rsidR="00900BE2"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6">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7">
        <w:r>
          <w:rPr>
            <w:rFonts w:ascii="Open Sans" w:eastAsia="Open Sans" w:hAnsi="Open Sans" w:cs="Open Sans"/>
            <w:b/>
            <w:bCs/>
            <w:color w:val="0000FF"/>
            <w:sz w:val="22"/>
            <w:szCs w:val="22"/>
            <w:u w:val="single"/>
          </w:rPr>
          <w:t>Fotocasa 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346FAEAF" w14:textId="77777777" w:rsidR="00900BE2"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8">
        <w:r>
          <w:rPr>
            <w:rFonts w:ascii="Open Sans" w:eastAsia="Open Sans" w:hAnsi="Open Sans" w:cs="Open Sans"/>
            <w:b/>
            <w:bCs/>
            <w:color w:val="0000FF"/>
            <w:sz w:val="22"/>
            <w:szCs w:val="22"/>
            <w:u w:val="single"/>
          </w:rPr>
          <w:t>Sala de Prensa</w:t>
        </w:r>
      </w:hyperlink>
    </w:p>
    <w:p w14:paraId="3B8D3987" w14:textId="77777777" w:rsidR="00900BE2" w:rsidRDefault="00900BE2">
      <w:pPr>
        <w:spacing w:line="276" w:lineRule="auto"/>
        <w:ind w:right="141"/>
        <w:rPr>
          <w:rFonts w:ascii="Open Sans Light" w:eastAsia="Open Sans Light" w:hAnsi="Open Sans Light" w:cs="Open Sans Light"/>
          <w:b/>
          <w:bCs/>
          <w:color w:val="303AB2"/>
        </w:rPr>
      </w:pPr>
    </w:p>
    <w:p w14:paraId="33E4D499" w14:textId="77777777" w:rsidR="00900BE2" w:rsidRDefault="00900BE2">
      <w:pPr>
        <w:spacing w:line="276" w:lineRule="auto"/>
        <w:ind w:right="141"/>
        <w:jc w:val="right"/>
        <w:rPr>
          <w:rFonts w:ascii="Open Sans Light" w:eastAsia="Open Sans Light" w:hAnsi="Open Sans Light" w:cs="Open Sans Light"/>
          <w:b/>
          <w:bCs/>
          <w:color w:val="303AB2"/>
        </w:rPr>
      </w:pPr>
    </w:p>
    <w:p w14:paraId="6CBCC247" w14:textId="77777777" w:rsidR="00900BE2" w:rsidRDefault="00900BE2">
      <w:pPr>
        <w:spacing w:line="276" w:lineRule="auto"/>
        <w:ind w:right="141"/>
        <w:jc w:val="right"/>
        <w:rPr>
          <w:rFonts w:ascii="Open Sans Light" w:eastAsia="Open Sans Light" w:hAnsi="Open Sans Light" w:cs="Open Sans Light"/>
          <w:b/>
          <w:bCs/>
          <w:color w:val="303AB2"/>
        </w:rPr>
      </w:pPr>
    </w:p>
    <w:p w14:paraId="20760FB0" w14:textId="77777777" w:rsidR="00900BE2" w:rsidRDefault="00900BE2">
      <w:pPr>
        <w:spacing w:line="276" w:lineRule="auto"/>
        <w:ind w:right="141"/>
        <w:jc w:val="right"/>
        <w:rPr>
          <w:rFonts w:ascii="Open Sans Light" w:eastAsia="Open Sans Light" w:hAnsi="Open Sans Light" w:cs="Open Sans Light"/>
          <w:b/>
          <w:bCs/>
          <w:color w:val="303AB2"/>
        </w:rPr>
      </w:pPr>
    </w:p>
    <w:p w14:paraId="77283300" w14:textId="77777777" w:rsidR="00900BE2" w:rsidRDefault="00000000">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Fotocasa Group</w:t>
      </w:r>
    </w:p>
    <w:p w14:paraId="5C397525" w14:textId="77777777" w:rsidR="00900BE2"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234FE6E2" w14:textId="77777777" w:rsidR="00900BE2"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9">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20">
        <w:r>
          <w:rPr>
            <w:rFonts w:ascii="Open Sans" w:eastAsia="Open Sans" w:hAnsi="Open Sans" w:cs="Open Sans"/>
            <w:b/>
            <w:bCs/>
            <w:color w:val="0000FF"/>
            <w:sz w:val="22"/>
            <w:szCs w:val="22"/>
            <w:u w:val="single"/>
          </w:rPr>
          <w:t>habitaclia</w:t>
        </w:r>
      </w:hyperlink>
      <w:r>
        <w:rPr>
          <w:rFonts w:ascii="Open Sans" w:eastAsia="Open Sans" w:hAnsi="Open Sans" w:cs="Open Sans"/>
          <w:sz w:val="22"/>
          <w:szCs w:val="22"/>
        </w:rPr>
        <w:t xml:space="preserve">, </w:t>
      </w:r>
      <w:hyperlink r:id="rId21">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2">
        <w:r>
          <w:rPr>
            <w:rFonts w:ascii="Open Sans" w:eastAsia="Open Sans" w:hAnsi="Open Sans" w:cs="Open Sans"/>
            <w:b/>
            <w:bCs/>
            <w:color w:val="0000FF"/>
            <w:sz w:val="22"/>
            <w:szCs w:val="22"/>
            <w:u w:val="single"/>
          </w:rPr>
          <w:t>Datavenues</w:t>
        </w:r>
      </w:hyperlink>
      <w:r>
        <w:rPr>
          <w:rFonts w:ascii="Open Sans" w:eastAsia="Open Sans" w:hAnsi="Open Sans" w:cs="Open Sans"/>
          <w:sz w:val="22"/>
          <w:szCs w:val="22"/>
        </w:rPr>
        <w:t xml:space="preserve">, </w:t>
      </w:r>
      <w:hyperlink r:id="rId23">
        <w:r>
          <w:rPr>
            <w:rFonts w:ascii="Open Sans" w:eastAsia="Open Sans" w:hAnsi="Open Sans" w:cs="Open Sans"/>
            <w:b/>
            <w:bCs/>
            <w:color w:val="0000FF"/>
            <w:sz w:val="22"/>
            <w:szCs w:val="22"/>
            <w:u w:val="single"/>
          </w:rPr>
          <w:t>Witei</w:t>
        </w:r>
      </w:hyperlink>
      <w:r>
        <w:rPr>
          <w:rFonts w:ascii="Open Sans" w:eastAsia="Open Sans" w:hAnsi="Open Sans" w:cs="Open Sans"/>
          <w:sz w:val="22"/>
          <w:szCs w:val="22"/>
        </w:rPr>
        <w:t xml:space="preserve"> e </w:t>
      </w:r>
      <w:hyperlink r:id="rId24">
        <w:r>
          <w:rPr>
            <w:rFonts w:ascii="Open Sans" w:eastAsia="Open Sans" w:hAnsi="Open Sans" w:cs="Open Sans"/>
            <w:b/>
            <w:bCs/>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4B5928CB" w14:textId="77777777" w:rsidR="00900BE2"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367ED288" w14:textId="77777777" w:rsidR="00900BE2" w:rsidRDefault="00000000">
      <w:pPr>
        <w:spacing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3A5F7CA1" w14:textId="77777777" w:rsidR="00900BE2" w:rsidRDefault="00900BE2">
      <w:pPr>
        <w:spacing w:line="276" w:lineRule="auto"/>
        <w:ind w:right="141"/>
        <w:jc w:val="both"/>
        <w:rPr>
          <w:rFonts w:ascii="Open Sans" w:eastAsia="Open Sans" w:hAnsi="Open Sans" w:cs="Open Sans"/>
          <w:sz w:val="22"/>
          <w:szCs w:val="22"/>
        </w:rPr>
      </w:pPr>
    </w:p>
    <w:p w14:paraId="7C3D026D" w14:textId="77777777" w:rsidR="00900BE2" w:rsidRDefault="00900BE2">
      <w:pPr>
        <w:spacing w:line="276" w:lineRule="auto"/>
        <w:ind w:right="141"/>
        <w:jc w:val="right"/>
        <w:rPr>
          <w:rFonts w:ascii="Open Sans Light" w:eastAsia="Open Sans Light" w:hAnsi="Open Sans Light" w:cs="Open Sans Light"/>
          <w:b/>
          <w:bCs/>
          <w:color w:val="303AB2"/>
        </w:rPr>
      </w:pPr>
    </w:p>
    <w:p w14:paraId="4B931CE9" w14:textId="77777777" w:rsidR="00900BE2" w:rsidRDefault="00000000">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65C906A9" w14:textId="77777777" w:rsidR="00900BE2" w:rsidRDefault="00900BE2">
      <w:pPr>
        <w:pBdr>
          <w:top w:val="nil"/>
          <w:left w:val="nil"/>
          <w:bottom w:val="nil"/>
          <w:right w:val="nil"/>
          <w:between w:val="nil"/>
        </w:pBdr>
        <w:spacing w:line="276" w:lineRule="auto"/>
        <w:ind w:right="141"/>
        <w:jc w:val="both"/>
        <w:rPr>
          <w:rFonts w:ascii="Open Sans" w:eastAsia="Open Sans" w:hAnsi="Open Sans" w:cs="Open Sans"/>
          <w:sz w:val="22"/>
          <w:szCs w:val="22"/>
        </w:rPr>
      </w:pPr>
    </w:p>
    <w:p w14:paraId="6C117070" w14:textId="77777777" w:rsidR="00900BE2" w:rsidRDefault="00000000">
      <w:pPr>
        <w:pBdr>
          <w:top w:val="nil"/>
          <w:left w:val="nil"/>
          <w:bottom w:val="nil"/>
          <w:right w:val="nil"/>
          <w:between w:val="nil"/>
        </w:pBdr>
        <w:spacing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marketplace </w:t>
      </w:r>
      <w:hyperlink r:id="rId25">
        <w:r>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741359DE" w14:textId="77777777" w:rsidR="00900BE2" w:rsidRDefault="00900BE2">
      <w:pPr>
        <w:pBdr>
          <w:top w:val="nil"/>
          <w:left w:val="nil"/>
          <w:bottom w:val="nil"/>
          <w:right w:val="nil"/>
          <w:between w:val="nil"/>
        </w:pBdr>
        <w:spacing w:line="276" w:lineRule="auto"/>
        <w:ind w:right="141"/>
        <w:jc w:val="both"/>
        <w:rPr>
          <w:rFonts w:ascii="Open Sans" w:eastAsia="Open Sans" w:hAnsi="Open Sans" w:cs="Open Sans"/>
          <w:sz w:val="22"/>
          <w:szCs w:val="22"/>
        </w:rPr>
      </w:pPr>
    </w:p>
    <w:p w14:paraId="256B8A1E" w14:textId="77777777" w:rsidR="00900BE2" w:rsidRDefault="00000000">
      <w:pPr>
        <w:pBdr>
          <w:top w:val="nil"/>
          <w:left w:val="nil"/>
          <w:bottom w:val="nil"/>
          <w:right w:val="nil"/>
          <w:between w:val="nil"/>
        </w:pBdr>
        <w:spacing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299E6D1A" w14:textId="77777777" w:rsidR="00900BE2" w:rsidRDefault="00900BE2">
      <w:pPr>
        <w:spacing w:line="276" w:lineRule="auto"/>
        <w:ind w:right="141"/>
        <w:rPr>
          <w:rFonts w:ascii="Open Sans Light" w:eastAsia="Open Sans Light" w:hAnsi="Open Sans Light" w:cs="Open Sans Light"/>
          <w:b/>
          <w:bCs/>
          <w:color w:val="303AB2"/>
          <w:sz w:val="22"/>
          <w:szCs w:val="22"/>
        </w:rPr>
      </w:pPr>
    </w:p>
    <w:p w14:paraId="3DCC4DDF" w14:textId="77777777" w:rsidR="00900BE2" w:rsidRDefault="00900BE2">
      <w:pPr>
        <w:spacing w:line="276" w:lineRule="auto"/>
        <w:ind w:right="141"/>
        <w:rPr>
          <w:rFonts w:ascii="Open Sans Light" w:eastAsia="Open Sans Light" w:hAnsi="Open Sans Light" w:cs="Open Sans Light"/>
          <w:b/>
          <w:bCs/>
          <w:color w:val="303AB2"/>
          <w:sz w:val="22"/>
          <w:szCs w:val="22"/>
        </w:rPr>
      </w:pPr>
    </w:p>
    <w:p w14:paraId="61D42C2A" w14:textId="77777777" w:rsidR="00900BE2" w:rsidRDefault="00000000">
      <w:pPr>
        <w:spacing w:line="276" w:lineRule="auto"/>
        <w:ind w:right="141"/>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23AF4464" w14:textId="77777777" w:rsidR="00900BE2" w:rsidRDefault="00000000">
      <w:pPr>
        <w:shd w:val="clear" w:color="auto" w:fill="FFFFFF"/>
        <w:spacing w:line="276" w:lineRule="auto"/>
        <w:ind w:right="141"/>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15DF70D8" w14:textId="77777777" w:rsidR="00900BE2" w:rsidRDefault="00000000">
      <w:pPr>
        <w:shd w:val="clear" w:color="auto" w:fill="FFFFFF"/>
        <w:spacing w:line="276" w:lineRule="auto"/>
        <w:ind w:right="141"/>
        <w:rPr>
          <w:rFonts w:ascii="Open Sans" w:eastAsia="Open Sans" w:hAnsi="Open Sans" w:cs="Open Sans"/>
          <w:color w:val="0000FF"/>
          <w:sz w:val="22"/>
          <w:szCs w:val="22"/>
          <w:u w:val="single"/>
        </w:rPr>
      </w:pPr>
      <w:hyperlink r:id="rId26">
        <w:r>
          <w:rPr>
            <w:rFonts w:ascii="Open Sans" w:eastAsia="Open Sans" w:hAnsi="Open Sans" w:cs="Open Sans"/>
            <w:color w:val="0000FF"/>
            <w:sz w:val="22"/>
            <w:szCs w:val="22"/>
            <w:u w:val="single"/>
          </w:rPr>
          <w:t>comunicacion@fotocasa.es</w:t>
        </w:r>
      </w:hyperlink>
    </w:p>
    <w:p w14:paraId="37F8D102" w14:textId="77777777" w:rsidR="00900BE2" w:rsidRDefault="00000000">
      <w:pPr>
        <w:shd w:val="clear" w:color="auto" w:fill="FFFFFF"/>
        <w:spacing w:line="276" w:lineRule="auto"/>
        <w:ind w:right="141"/>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900BE2">
      <w:footerReference w:type="default" r:id="rId27"/>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C4892" w14:textId="77777777" w:rsidR="00004683" w:rsidRDefault="00004683">
      <w:r>
        <w:separator/>
      </w:r>
    </w:p>
  </w:endnote>
  <w:endnote w:type="continuationSeparator" w:id="0">
    <w:p w14:paraId="0A00E17D" w14:textId="77777777" w:rsidR="00004683" w:rsidRDefault="00004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AADE992-13BE-410A-8A55-36412106E79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38F3331-2FDF-45BA-876F-F77626B6C569}"/>
    <w:embedBold r:id="rId3" w:fontKey="{7602E159-B754-4BD9-B81C-42277EE693B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96E7D449-E2FF-49FF-A069-74C87D1AD97E}"/>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Bold r:id="rId5" w:fontKey="{0B25BDB2-8BEB-48B8-8BE4-8E4A5F194845}"/>
    <w:embedBoldItalic r:id="rId6" w:fontKey="{555CD9D4-1661-4DE4-8078-8BA0B974B0CD}"/>
  </w:font>
  <w:font w:name="Open Sans">
    <w:charset w:val="00"/>
    <w:family w:val="swiss"/>
    <w:pitch w:val="variable"/>
    <w:sig w:usb0="E00002EF" w:usb1="4000205B" w:usb2="00000028" w:usb3="00000000" w:csb0="0000019F" w:csb1="00000000"/>
    <w:embedRegular r:id="rId7" w:fontKey="{9993AB6B-8B67-415A-9147-0ADE037AFE94}"/>
    <w:embedBold r:id="rId8" w:fontKey="{F4DF4FCF-C4FA-498B-9BBB-7F725503F58F}"/>
    <w:embedBoldItalic r:id="rId9" w:fontKey="{1B50DED4-02BF-4E1C-8D18-A6AD6BA730B5}"/>
  </w:font>
  <w:font w:name="Cambria">
    <w:panose1 w:val="02040503050406030204"/>
    <w:charset w:val="00"/>
    <w:family w:val="roman"/>
    <w:pitch w:val="variable"/>
    <w:sig w:usb0="E00006FF" w:usb1="420024FF" w:usb2="02000000" w:usb3="00000000" w:csb0="0000019F" w:csb1="00000000"/>
    <w:embedRegular r:id="rId10" w:fontKey="{548AB5AA-A557-42C7-8199-C6763F4F3F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394F0" w14:textId="77777777" w:rsidR="00900BE2"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5E7A6548" wp14:editId="188C61BC">
          <wp:simplePos x="0" y="0"/>
          <wp:positionH relativeFrom="column">
            <wp:posOffset>-1068038</wp:posOffset>
          </wp:positionH>
          <wp:positionV relativeFrom="paragraph">
            <wp:posOffset>174608</wp:posOffset>
          </wp:positionV>
          <wp:extent cx="7670550" cy="451315"/>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DF967" w14:textId="77777777" w:rsidR="00004683" w:rsidRDefault="00004683">
      <w:r>
        <w:separator/>
      </w:r>
    </w:p>
  </w:footnote>
  <w:footnote w:type="continuationSeparator" w:id="0">
    <w:p w14:paraId="44413807" w14:textId="77777777" w:rsidR="00004683" w:rsidRDefault="000046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94AC3"/>
    <w:multiLevelType w:val="multilevel"/>
    <w:tmpl w:val="35348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65067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BE2"/>
    <w:rsid w:val="00004683"/>
    <w:rsid w:val="000C6C81"/>
    <w:rsid w:val="00456B60"/>
    <w:rsid w:val="006F55B7"/>
    <w:rsid w:val="00900BE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6DD80"/>
  <w15:docId w15:val="{185B9F13-D991-4041-9C09-E354E8C69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prensa.fotocasa.es" TargetMode="External"/><Relationship Id="rId26" Type="http://schemas.openxmlformats.org/officeDocument/2006/relationships/hyperlink" Target="mailto:comunicacion@fotocasa.es" TargetMode="External"/><Relationship Id="rId3" Type="http://schemas.openxmlformats.org/officeDocument/2006/relationships/styles" Target="styles.xml"/><Relationship Id="rId21" Type="http://schemas.openxmlformats.org/officeDocument/2006/relationships/hyperlink" Target="https://profesionales.fotocasa.es/" TargetMode="Externa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https://www.research.fotocasa.es" TargetMode="External"/><Relationship Id="rId25" Type="http://schemas.openxmlformats.org/officeDocument/2006/relationships/hyperlink" Target="https://www.immobilienscout24.de/" TargetMode="Externa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habitaclia.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earch.fotocasa.es/" TargetMode="External"/><Relationship Id="rId24" Type="http://schemas.openxmlformats.org/officeDocument/2006/relationships/hyperlink" Target="https://www.inmoweb.es/"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get.witei.com/en/" TargetMode="External"/><Relationship Id="rId28" Type="http://schemas.openxmlformats.org/officeDocument/2006/relationships/fontTable" Target="fontTable.xml"/><Relationship Id="rId10" Type="http://schemas.openxmlformats.org/officeDocument/2006/relationships/hyperlink" Target="https://prensa.fotocasa.es/informe-radiografia-del-mercado-de-la-vivienda-en-2026/" TargetMode="External"/><Relationship Id="rId19" Type="http://schemas.openxmlformats.org/officeDocument/2006/relationships/hyperlink" Target="https://www.fotocasa.es" TargetMode="External"/><Relationship Id="rId4" Type="http://schemas.openxmlformats.org/officeDocument/2006/relationships/settings" Target="settings.xml"/><Relationship Id="rId9" Type="http://schemas.openxmlformats.org/officeDocument/2006/relationships/hyperlink" Target="https://prensa.fotocasa.es/informe-radiografia-del-mercado-de-la-vivienda-en-2026/" TargetMode="External"/><Relationship Id="rId14" Type="http://schemas.openxmlformats.org/officeDocument/2006/relationships/hyperlink" Target="https://research.fotocasa.es/" TargetMode="External"/><Relationship Id="rId22" Type="http://schemas.openxmlformats.org/officeDocument/2006/relationships/hyperlink" Target="https://datavenues.com/"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PaU8GHY0i1DD2CiVjqhOQ33gCg==">CgMxLjAyDmguaWZ1bjdscGRlZGVvOAByITE4OEpUOEo1TVNkdDhxNTNNcVNGcEl5c0tERC00RFF3Yg==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1353</Words>
  <Characters>7445</Characters>
  <Application>Microsoft Office Word</Application>
  <DocSecurity>0</DocSecurity>
  <Lines>62</Lines>
  <Paragraphs>17</Paragraphs>
  <ScaleCrop>false</ScaleCrop>
  <Company/>
  <LinksUpToDate>false</LinksUpToDate>
  <CharactersWithSpaces>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3</cp:revision>
  <dcterms:created xsi:type="dcterms:W3CDTF">2026-05-08T08:07:00Z</dcterms:created>
  <dcterms:modified xsi:type="dcterms:W3CDTF">2026-05-08T08:07:00Z</dcterms:modified>
</cp:coreProperties>
</file>