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1E29C" w14:textId="77777777" w:rsidR="00387C3B" w:rsidRDefault="00000000">
      <w:r>
        <w:rPr>
          <w:noProof/>
        </w:rPr>
        <w:drawing>
          <wp:anchor distT="0" distB="0" distL="114300" distR="114300" simplePos="0" relativeHeight="251658240" behindDoc="0" locked="0" layoutInCell="1" hidden="0" allowOverlap="1" wp14:anchorId="645648A6" wp14:editId="5D2E0057">
            <wp:simplePos x="0" y="0"/>
            <wp:positionH relativeFrom="column">
              <wp:posOffset>-1080134</wp:posOffset>
            </wp:positionH>
            <wp:positionV relativeFrom="paragraph">
              <wp:posOffset>-798829</wp:posOffset>
            </wp:positionV>
            <wp:extent cx="7581265" cy="101917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74F48F9" w14:textId="77777777" w:rsidR="00387C3B" w:rsidRDefault="00387C3B">
      <w:pPr>
        <w:jc w:val="right"/>
        <w:rPr>
          <w:rFonts w:ascii="National" w:eastAsia="National" w:hAnsi="National" w:cs="National"/>
          <w:color w:val="303AB2"/>
          <w:sz w:val="36"/>
          <w:szCs w:val="36"/>
        </w:rPr>
      </w:pPr>
    </w:p>
    <w:p w14:paraId="17AF4B2E" w14:textId="77777777" w:rsidR="00387C3B" w:rsidRDefault="00387C3B">
      <w:pPr>
        <w:rPr>
          <w:rFonts w:ascii="National" w:eastAsia="National" w:hAnsi="National" w:cs="National"/>
          <w:color w:val="303AB2"/>
          <w:sz w:val="18"/>
          <w:szCs w:val="18"/>
        </w:rPr>
      </w:pPr>
    </w:p>
    <w:p w14:paraId="3AE3EB91" w14:textId="77777777" w:rsidR="00387C3B"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54D0FAEF" w14:textId="77777777" w:rsidR="00387C3B" w:rsidRDefault="00000000">
      <w:pPr>
        <w:pBdr>
          <w:top w:val="nil"/>
          <w:left w:val="nil"/>
          <w:bottom w:val="nil"/>
          <w:right w:val="nil"/>
          <w:between w:val="nil"/>
        </w:pBdr>
        <w:spacing w:line="276" w:lineRule="auto"/>
        <w:ind w:left="720"/>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Aumenta la demanda fallida en Cataluña: el 16% no logra acceder a una vivienda en un mercado cada vez más exigente</w:t>
      </w:r>
    </w:p>
    <w:p w14:paraId="703773D2" w14:textId="77777777" w:rsidR="00387C3B" w:rsidRDefault="00387C3B">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A6326B1" w14:textId="470F3212" w:rsidR="00387C3B" w:rsidRDefault="00000000">
      <w:pPr>
        <w:numPr>
          <w:ilvl w:val="0"/>
          <w:numId w:val="1"/>
        </w:numPr>
        <w:pBdr>
          <w:top w:val="nil"/>
          <w:left w:val="nil"/>
          <w:bottom w:val="nil"/>
          <w:right w:val="nil"/>
          <w:between w:val="nil"/>
        </w:pBdr>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Un 29% de los </w:t>
      </w:r>
      <w:r w:rsidR="00A62323">
        <w:rPr>
          <w:rFonts w:ascii="Open Sans Light" w:eastAsia="Open Sans Light" w:hAnsi="Open Sans Light" w:cs="Open Sans Light"/>
          <w:b/>
          <w:bCs/>
          <w:color w:val="303AB2"/>
        </w:rPr>
        <w:t>catalanes</w:t>
      </w:r>
      <w:r>
        <w:rPr>
          <w:rFonts w:ascii="Open Sans Light" w:eastAsia="Open Sans Light" w:hAnsi="Open Sans Light" w:cs="Open Sans Light"/>
          <w:b/>
          <w:bCs/>
          <w:color w:val="303AB2"/>
        </w:rPr>
        <w:t xml:space="preserve"> han llevado a cabo alguna acción en el mercado inmobiliario, lo que supone tres puntos porcentuales más que el año anterior</w:t>
      </w:r>
    </w:p>
    <w:p w14:paraId="68D02140" w14:textId="77777777" w:rsidR="00387C3B" w:rsidRDefault="00000000">
      <w:pPr>
        <w:numPr>
          <w:ilvl w:val="0"/>
          <w:numId w:val="1"/>
        </w:numPr>
        <w:pBdr>
          <w:top w:val="nil"/>
          <w:left w:val="nil"/>
          <w:bottom w:val="nil"/>
          <w:right w:val="nil"/>
          <w:between w:val="nil"/>
        </w:pBdr>
        <w:rPr>
          <w:rFonts w:ascii="Open Sans Light" w:eastAsia="Open Sans Light" w:hAnsi="Open Sans Light" w:cs="Open Sans Light"/>
          <w:b/>
          <w:bCs/>
          <w:color w:val="303AB2"/>
        </w:rPr>
      </w:pPr>
      <w:r>
        <w:rPr>
          <w:rFonts w:ascii="Open Sans Light" w:eastAsia="Open Sans Light" w:hAnsi="Open Sans Light" w:cs="Open Sans Light"/>
          <w:b/>
          <w:bCs/>
          <w:color w:val="303AB2"/>
        </w:rPr>
        <w:t>La actividad en el mercado de compraventa crece dos puntos con respecto a hace un año y se sitúa en el 18 %</w:t>
      </w:r>
    </w:p>
    <w:p w14:paraId="139882FF" w14:textId="77777777" w:rsidR="00387C3B" w:rsidRDefault="00000000">
      <w:pPr>
        <w:numPr>
          <w:ilvl w:val="0"/>
          <w:numId w:val="1"/>
        </w:numPr>
        <w:pBdr>
          <w:top w:val="nil"/>
          <w:left w:val="nil"/>
          <w:bottom w:val="nil"/>
          <w:right w:val="nil"/>
          <w:between w:val="nil"/>
        </w:pBdr>
        <w:rPr>
          <w:rFonts w:ascii="Open Sans Light" w:eastAsia="Open Sans Light" w:hAnsi="Open Sans Light" w:cs="Open Sans Light"/>
          <w:b/>
          <w:bCs/>
          <w:color w:val="303AB2"/>
        </w:rPr>
      </w:pPr>
      <w:r>
        <w:rPr>
          <w:rFonts w:ascii="Open Sans Light" w:eastAsia="Open Sans Light" w:hAnsi="Open Sans Light" w:cs="Open Sans Light"/>
          <w:b/>
          <w:bCs/>
          <w:color w:val="303AB2"/>
        </w:rPr>
        <w:t>El 29% de participación en el sector inmobiliario en Cataluña supera la media registrada por el conjunto de España, que se queda en el 28%</w:t>
      </w:r>
    </w:p>
    <w:p w14:paraId="5CE635F2" w14:textId="77777777" w:rsidR="00387C3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nacional “</w:t>
      </w:r>
      <w:hyperlink r:id="rId9">
        <w:r w:rsidR="00387C3B">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06B05F6E" w14:textId="77777777" w:rsidR="00387C3B" w:rsidRDefault="00387C3B">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749C29F" w14:textId="77777777" w:rsidR="00387C3B"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mayo de 2026</w:t>
      </w:r>
      <w:r>
        <w:rPr>
          <w:rFonts w:ascii="Open Sans Light" w:eastAsia="Open Sans Light" w:hAnsi="Open Sans Light" w:cs="Open Sans Light"/>
          <w:b/>
          <w:bCs/>
          <w:color w:val="303AB2"/>
        </w:rPr>
        <w:tab/>
      </w:r>
    </w:p>
    <w:p w14:paraId="23BC286D" w14:textId="77777777" w:rsidR="00387C3B" w:rsidRDefault="00387C3B">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467AF33" w14:textId="77777777" w:rsidR="00387C3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acceso a la vivienda en Cataluña continúa tensionándose. En los últimos doce meses, el porcentaje de ciudadanos que no ha logrado completar la operación que buscaba —ya fuera comprar o alquilar— ha aumentado hasta el 16%, dos puntos más que el año anterior. Este incremento de la demanda inefectiva refleja las crecientes dificultades para acceder a una vivienda en un contexto de elevada presión de la demanda y oferta limitada, </w:t>
      </w:r>
      <w:r>
        <w:rPr>
          <w:rFonts w:ascii="Open Sans" w:eastAsia="Open Sans" w:hAnsi="Open Sans" w:cs="Open Sans"/>
          <w:b/>
          <w:bCs/>
        </w:rPr>
        <w:t>según el informe “</w:t>
      </w:r>
      <w:hyperlink r:id="rId10">
        <w:r w:rsidR="00387C3B">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sidR="00387C3B">
          <w:rPr>
            <w:rFonts w:ascii="Open Sans" w:eastAsia="Open Sans" w:hAnsi="Open Sans" w:cs="Open Sans"/>
            <w:b/>
            <w:bCs/>
            <w:color w:val="0000FF"/>
            <w:u w:val="single"/>
          </w:rPr>
          <w:t xml:space="preserve">Fotocasa </w:t>
        </w:r>
        <w:proofErr w:type="spellStart"/>
        <w:r w:rsidR="00387C3B">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18B8E397"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07FFC3D8" w14:textId="77777777" w:rsidR="00387C3B" w:rsidRDefault="00000000">
      <w:pPr>
        <w:spacing w:line="276" w:lineRule="auto"/>
        <w:jc w:val="both"/>
        <w:rPr>
          <w:rFonts w:ascii="Open Sans" w:eastAsia="Open Sans" w:hAnsi="Open Sans" w:cs="Open Sans"/>
        </w:rPr>
      </w:pPr>
      <w:r>
        <w:rPr>
          <w:rFonts w:ascii="Open Sans" w:eastAsia="Open Sans" w:hAnsi="Open Sans" w:cs="Open Sans"/>
        </w:rPr>
        <w:t xml:space="preserve">Al examinar con mayor detalle las acciones realizadas por los catalanes en el mercado de la vivienda se observa que en </w:t>
      </w:r>
      <w:r>
        <w:rPr>
          <w:rFonts w:ascii="Open Sans" w:eastAsia="Open Sans" w:hAnsi="Open Sans" w:cs="Open Sans"/>
          <w:b/>
          <w:bCs/>
        </w:rPr>
        <w:t>el último año se han incrementado los compradores efectivos de vivienda, al pasar del 4% al 5%.</w:t>
      </w:r>
      <w:r>
        <w:rPr>
          <w:rFonts w:ascii="Open Sans" w:eastAsia="Open Sans" w:hAnsi="Open Sans" w:cs="Open Sans"/>
        </w:rPr>
        <w:t xml:space="preserve"> También aumentan los que han buscado vivienda para comprar, pero aún no la han adquirido, que suben del 10 % de 2025 al 12% de doce meses después.</w:t>
      </w:r>
    </w:p>
    <w:p w14:paraId="7A08DA7B" w14:textId="77777777" w:rsidR="00387C3B" w:rsidRDefault="00387C3B">
      <w:pPr>
        <w:spacing w:line="276" w:lineRule="auto"/>
        <w:jc w:val="both"/>
        <w:rPr>
          <w:rFonts w:ascii="Open Sans" w:eastAsia="Open Sans" w:hAnsi="Open Sans" w:cs="Open Sans"/>
        </w:rPr>
      </w:pPr>
    </w:p>
    <w:p w14:paraId="40B2968C" w14:textId="77777777" w:rsidR="00387C3B" w:rsidRDefault="00000000">
      <w:pPr>
        <w:spacing w:line="276" w:lineRule="auto"/>
        <w:jc w:val="both"/>
        <w:rPr>
          <w:rFonts w:ascii="Open Sans" w:eastAsia="Open Sans" w:hAnsi="Open Sans" w:cs="Open Sans"/>
        </w:rPr>
      </w:pPr>
      <w:r>
        <w:rPr>
          <w:rFonts w:ascii="Open Sans" w:eastAsia="Open Sans" w:hAnsi="Open Sans" w:cs="Open Sans"/>
        </w:rPr>
        <w:t xml:space="preserve">Esta confluencia de incrementos hace que la demanda de compra general (tanto la efectiva como la que no logra llevarse a cabo) haya crecido en un año desde el 14% hasta el 17%, una diferencia de tres puntos porcentuales. </w:t>
      </w:r>
    </w:p>
    <w:p w14:paraId="09474111" w14:textId="77777777" w:rsidR="00387C3B"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También aumenta el volumen de particulares que han vendido una vivienda de su propiedad (del 1% al 2%), mientras que, de manera consecuente, decrecen en igual medida los vendedores inefectivos, que retroceden del 2% al 1%.   </w:t>
      </w:r>
    </w:p>
    <w:p w14:paraId="175D344E" w14:textId="77777777" w:rsidR="00387C3B" w:rsidRDefault="00387C3B">
      <w:pPr>
        <w:spacing w:line="276" w:lineRule="auto"/>
        <w:jc w:val="both"/>
        <w:rPr>
          <w:rFonts w:ascii="Open Sans" w:eastAsia="Open Sans" w:hAnsi="Open Sans" w:cs="Open Sans"/>
        </w:rPr>
      </w:pPr>
    </w:p>
    <w:p w14:paraId="0BAC3585" w14:textId="77777777" w:rsidR="00095BDB" w:rsidRDefault="00095BDB">
      <w:pPr>
        <w:spacing w:line="276" w:lineRule="auto"/>
        <w:jc w:val="both"/>
        <w:rPr>
          <w:rFonts w:ascii="Open Sans" w:eastAsia="Open Sans" w:hAnsi="Open Sans" w:cs="Open Sans"/>
        </w:rPr>
      </w:pPr>
    </w:p>
    <w:p w14:paraId="6DAC616F" w14:textId="77777777" w:rsidR="00387C3B" w:rsidRDefault="00000000">
      <w:pP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 xml:space="preserve">El 18% busca comprar vivienda frente al 15% que quiere alquilar </w:t>
      </w:r>
    </w:p>
    <w:p w14:paraId="0922DC02" w14:textId="77777777" w:rsidR="00387C3B" w:rsidRDefault="00387C3B">
      <w:pPr>
        <w:spacing w:line="276" w:lineRule="auto"/>
        <w:jc w:val="both"/>
        <w:rPr>
          <w:rFonts w:ascii="National" w:eastAsia="National" w:hAnsi="National" w:cs="National"/>
          <w:b/>
          <w:bCs/>
          <w:color w:val="303AB2"/>
          <w:sz w:val="32"/>
          <w:szCs w:val="32"/>
        </w:rPr>
      </w:pPr>
      <w:bookmarkStart w:id="0" w:name="_heading=h.4hgeazles0ix" w:colFirst="0" w:colLast="0"/>
      <w:bookmarkEnd w:id="0"/>
    </w:p>
    <w:p w14:paraId="195EF5CC" w14:textId="77777777" w:rsidR="00387C3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participación en el mercado de la vivienda de Cataluña registra un notable auge. </w:t>
      </w:r>
      <w:r>
        <w:rPr>
          <w:rFonts w:ascii="Open Sans" w:eastAsia="Open Sans" w:hAnsi="Open Sans" w:cs="Open Sans"/>
          <w:b/>
          <w:bCs/>
        </w:rPr>
        <w:t>Según el informe “</w:t>
      </w:r>
      <w:hyperlink r:id="rId12">
        <w:r w:rsidR="00387C3B">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3">
        <w:r w:rsidR="00387C3B">
          <w:rPr>
            <w:rFonts w:ascii="Open Sans" w:eastAsia="Open Sans" w:hAnsi="Open Sans" w:cs="Open Sans"/>
            <w:b/>
            <w:bCs/>
            <w:color w:val="0000FF"/>
            <w:u w:val="single"/>
          </w:rPr>
          <w:t xml:space="preserve">Fotocasa </w:t>
        </w:r>
        <w:proofErr w:type="spellStart"/>
        <w:r w:rsidR="00387C3B">
          <w:rPr>
            <w:rFonts w:ascii="Open Sans" w:eastAsia="Open Sans" w:hAnsi="Open Sans" w:cs="Open Sans"/>
            <w:b/>
            <w:bCs/>
            <w:color w:val="0000FF"/>
            <w:u w:val="single"/>
          </w:rPr>
          <w:t>Research</w:t>
        </w:r>
        <w:proofErr w:type="spellEnd"/>
      </w:hyperlink>
      <w:r>
        <w:rPr>
          <w:rFonts w:ascii="Open Sans" w:eastAsia="Open Sans" w:hAnsi="Open Sans" w:cs="Open Sans"/>
        </w:rPr>
        <w:t xml:space="preserve">, un 29% de los catalanes mayores de 18 años ha realizado alguna acción —bien de oferta, de demanda o ambas— en el último año. Se trata de un porcentaje tres puntos por encima del anotado doce meses antes (26% de 2025). </w:t>
      </w:r>
    </w:p>
    <w:p w14:paraId="6B084802"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37BF57B5" w14:textId="77777777" w:rsidR="00387C3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Esta participación en el mercado de la vivienda en Cataluña está, además, un punto por encima de la del conjunto nacional</w:t>
      </w:r>
      <w:r>
        <w:rPr>
          <w:rFonts w:ascii="Open Sans" w:eastAsia="Open Sans" w:hAnsi="Open Sans" w:cs="Open Sans"/>
        </w:rPr>
        <w:t>, donde son el 28% los que aseguran haber realizado alguna acción en este mercado durante los últimos doce meses.</w:t>
      </w:r>
    </w:p>
    <w:p w14:paraId="429492A5"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52D32037" w14:textId="77777777" w:rsidR="00387C3B" w:rsidRDefault="00000000">
      <w:pPr>
        <w:rPr>
          <w:b/>
          <w:bCs/>
          <w:smallCaps/>
          <w:color w:val="323FAB"/>
          <w:sz w:val="28"/>
          <w:szCs w:val="28"/>
          <w:highlight w:val="white"/>
        </w:rPr>
      </w:pPr>
      <w:r>
        <w:rPr>
          <w:b/>
          <w:bCs/>
          <w:smallCaps/>
          <w:color w:val="323FAB"/>
          <w:sz w:val="28"/>
          <w:szCs w:val="28"/>
          <w:highlight w:val="white"/>
        </w:rPr>
        <w:t>catalanes participando en el mercado de la vivienda en Cataluña</w:t>
      </w:r>
      <w:r>
        <w:rPr>
          <w:b/>
          <w:bCs/>
          <w:smallCaps/>
          <w:color w:val="323FAB"/>
          <w:sz w:val="28"/>
          <w:szCs w:val="28"/>
          <w:highlight w:val="white"/>
        </w:rPr>
        <w:br/>
        <w:t>(% sobre la población mayor de 18 años)</w:t>
      </w:r>
    </w:p>
    <w:p w14:paraId="0887BBB8" w14:textId="77777777" w:rsidR="00387C3B" w:rsidRDefault="00387C3B">
      <w:pPr>
        <w:rPr>
          <w:b/>
          <w:bCs/>
          <w:smallCaps/>
          <w:color w:val="323FAB"/>
          <w:highlight w:val="white"/>
        </w:rPr>
      </w:pPr>
    </w:p>
    <w:p w14:paraId="5A393E3C" w14:textId="77777777" w:rsidR="00387C3B" w:rsidRDefault="00000000">
      <w:r>
        <w:rPr>
          <w:noProof/>
        </w:rPr>
        <w:drawing>
          <wp:inline distT="0" distB="0" distL="0" distR="0" wp14:anchorId="48CFE2FF" wp14:editId="6A441EDC">
            <wp:extent cx="5799229" cy="295485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99229" cy="2954852"/>
                    </a:xfrm>
                    <a:prstGeom prst="rect">
                      <a:avLst/>
                    </a:prstGeom>
                    <a:ln/>
                  </pic:spPr>
                </pic:pic>
              </a:graphicData>
            </a:graphic>
          </wp:inline>
        </w:drawing>
      </w:r>
    </w:p>
    <w:p w14:paraId="61156D12" w14:textId="77777777" w:rsidR="00387C3B" w:rsidRDefault="00387C3B"/>
    <w:p w14:paraId="0E062D40" w14:textId="77777777" w:rsidR="00387C3B" w:rsidRDefault="00387C3B">
      <w:pPr>
        <w:spacing w:line="276" w:lineRule="auto"/>
        <w:jc w:val="both"/>
        <w:rPr>
          <w:rFonts w:ascii="Open Sans" w:eastAsia="Open Sans" w:hAnsi="Open Sans" w:cs="Open Sans"/>
        </w:rPr>
      </w:pPr>
    </w:p>
    <w:p w14:paraId="221ABB41" w14:textId="77777777" w:rsidR="00095BDB" w:rsidRDefault="00095BDB" w:rsidP="00095BDB">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La fluctuación en la distribución entre los que demandan y los que ofertan también responde al citado incremento, que se refleja igualmente con el desglose de los solicitantes de vivienda en función de su efectividad. Así, </w:t>
      </w:r>
      <w:r>
        <w:rPr>
          <w:rFonts w:ascii="Open Sans" w:eastAsia="Open Sans" w:hAnsi="Open Sans" w:cs="Open Sans"/>
          <w:b/>
          <w:bCs/>
        </w:rPr>
        <w:t>son un 11% los que han conseguido comprar o alquilar un inmueble para vivir</w:t>
      </w:r>
      <w:r>
        <w:rPr>
          <w:rFonts w:ascii="Open Sans" w:eastAsia="Open Sans" w:hAnsi="Open Sans" w:cs="Open Sans"/>
        </w:rPr>
        <w:t xml:space="preserve"> en él (10% en 2025) y </w:t>
      </w:r>
      <w:r>
        <w:rPr>
          <w:rFonts w:ascii="Open Sans" w:eastAsia="Open Sans" w:hAnsi="Open Sans" w:cs="Open Sans"/>
          <w:b/>
          <w:bCs/>
        </w:rPr>
        <w:t>un 16% los que no han alcanzado este objetivo</w:t>
      </w:r>
      <w:r>
        <w:rPr>
          <w:rFonts w:ascii="Open Sans" w:eastAsia="Open Sans" w:hAnsi="Open Sans" w:cs="Open Sans"/>
        </w:rPr>
        <w:t xml:space="preserve"> (14% el año anterior).  </w:t>
      </w:r>
    </w:p>
    <w:p w14:paraId="768E6149" w14:textId="77777777" w:rsidR="00095BDB" w:rsidRDefault="00095BDB" w:rsidP="00095BDB">
      <w:pPr>
        <w:pBdr>
          <w:top w:val="nil"/>
          <w:left w:val="nil"/>
          <w:bottom w:val="nil"/>
          <w:right w:val="nil"/>
          <w:between w:val="nil"/>
        </w:pBdr>
        <w:spacing w:line="276" w:lineRule="auto"/>
        <w:jc w:val="both"/>
        <w:rPr>
          <w:rFonts w:ascii="Open Sans" w:eastAsia="Open Sans" w:hAnsi="Open Sans" w:cs="Open Sans"/>
        </w:rPr>
      </w:pPr>
    </w:p>
    <w:p w14:paraId="1E029E55" w14:textId="77777777" w:rsidR="00387C3B" w:rsidRDefault="00000000">
      <w:pPr>
        <w:spacing w:line="276" w:lineRule="auto"/>
        <w:jc w:val="both"/>
      </w:pPr>
      <w:r>
        <w:rPr>
          <w:rFonts w:ascii="Open Sans" w:eastAsia="Open Sans" w:hAnsi="Open Sans" w:cs="Open Sans"/>
        </w:rPr>
        <w:t xml:space="preserve">"El mercado inmobiliario en Cataluña está protagonizando una de las transformaciones más interesantes del país. En apenas dos años, hemos pasado de un escenario donde el alquiler era la opción mayoritaria a uno donde la compraventa lidera claramente la actividad con un 18%. Este crecimiento de dos puntos en el último año no es solo una cifra, es el reflejo de una demanda que, ante la escasez de oferta y la complejidad del mercado del alquiler, está refugiándose en la propiedad como solución habitacional a largo plazo. Sin embargo, este dinamismo viene acompañado de una realidad preocupante: el aumento de la demanda inefectiva. El hecho de que el 16% de los catalanes no haya logrado cerrar la operación que buscaba —dos puntos más que el año pasado— nos indica que, aunque el interés por participar en el mercado ha crecido hasta el 29%, las barreras de acceso siguen siendo muy altas”, </w:t>
      </w:r>
      <w:r>
        <w:rPr>
          <w:rFonts w:ascii="Open Sans" w:eastAsia="Open Sans" w:hAnsi="Open Sans" w:cs="Open Sans"/>
          <w:b/>
          <w:bCs/>
        </w:rPr>
        <w:t xml:space="preserve">explica María Matos, directora de Estudios de </w:t>
      </w:r>
      <w:hyperlink r:id="rId15">
        <w:r w:rsidR="00387C3B">
          <w:rPr>
            <w:rFonts w:ascii="Open Sans" w:eastAsia="Open Sans" w:hAnsi="Open Sans" w:cs="Open Sans"/>
            <w:b/>
            <w:bCs/>
            <w:color w:val="0000FF"/>
            <w:u w:val="single"/>
          </w:rPr>
          <w:t>Fotocasa.</w:t>
        </w:r>
      </w:hyperlink>
      <w:r>
        <w:rPr>
          <w:rFonts w:ascii="Open Sans" w:eastAsia="Open Sans" w:hAnsi="Open Sans" w:cs="Open Sans"/>
        </w:rPr>
        <w:t xml:space="preserve"> </w:t>
      </w:r>
    </w:p>
    <w:p w14:paraId="6580F18D"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1EBFA3CA" w14:textId="77777777" w:rsidR="00387C3B"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bookmarkStart w:id="1" w:name="_heading=h.wdal6cyrbf9j" w:colFirst="0" w:colLast="0"/>
      <w:bookmarkEnd w:id="1"/>
      <w:r>
        <w:rPr>
          <w:rFonts w:ascii="National" w:eastAsia="National" w:hAnsi="National" w:cs="National"/>
          <w:b/>
          <w:bCs/>
          <w:color w:val="303AB2"/>
          <w:sz w:val="32"/>
          <w:szCs w:val="32"/>
        </w:rPr>
        <w:t>Sube la compraventa en Cataluña y el alquiler se mantiene</w:t>
      </w:r>
    </w:p>
    <w:p w14:paraId="38FB2FA2"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175F3CFC" w14:textId="77777777" w:rsidR="00387C3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analizar de forma separada la actividad en </w:t>
      </w:r>
      <w:r>
        <w:rPr>
          <w:rFonts w:ascii="Open Sans" w:eastAsia="Open Sans" w:hAnsi="Open Sans" w:cs="Open Sans"/>
          <w:b/>
          <w:bCs/>
        </w:rPr>
        <w:t>la compraventa y en el alquiler en Cataluña vemos que la primera se desmarca del arrendamiento</w:t>
      </w:r>
      <w:r>
        <w:rPr>
          <w:rFonts w:ascii="Open Sans" w:eastAsia="Open Sans" w:hAnsi="Open Sans" w:cs="Open Sans"/>
        </w:rPr>
        <w:t xml:space="preserve">, al incrementarse en dos puntos porcentuales (del 16% de 2025 al 18% un año después), mientras que el alquiler permanece en el mismo 15% del año anterior. </w:t>
      </w:r>
    </w:p>
    <w:p w14:paraId="3BB34EF0"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68E81A49" w14:textId="77777777" w:rsidR="00387C3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De esta manera, mientras que ambos mercados estaban apenas separados entre sí por un punto porcentual el año anterior, en 2026 la brecha entre los dos se ensancha, pasando a ser de tres puntos. Si tomamos como referencia el año 2024, cuando la compraventa era tan solo del 14% y el alquiler del 17%, se aprecia claramente una tendencia alcista en el primer caso y un retroceso sostenido en el segundo. Una línea que no solo ha invertido el orden de dos años antes, sino que continúa agudizando esta inflexión.</w:t>
      </w:r>
    </w:p>
    <w:p w14:paraId="2B455F34"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5DC6D709" w14:textId="77777777" w:rsidR="00095BDB" w:rsidRDefault="00095BDB">
      <w:pPr>
        <w:pBdr>
          <w:top w:val="nil"/>
          <w:left w:val="nil"/>
          <w:bottom w:val="nil"/>
          <w:right w:val="nil"/>
          <w:between w:val="nil"/>
        </w:pBdr>
        <w:spacing w:line="276" w:lineRule="auto"/>
        <w:jc w:val="both"/>
        <w:rPr>
          <w:rFonts w:ascii="Open Sans" w:eastAsia="Open Sans" w:hAnsi="Open Sans" w:cs="Open Sans"/>
        </w:rPr>
      </w:pPr>
    </w:p>
    <w:p w14:paraId="1F620AF6" w14:textId="77777777" w:rsidR="00387C3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lo que sí coinciden ambos es, nuevamente, en </w:t>
      </w:r>
      <w:r>
        <w:rPr>
          <w:rFonts w:ascii="Open Sans" w:eastAsia="Open Sans" w:hAnsi="Open Sans" w:cs="Open Sans"/>
          <w:b/>
          <w:bCs/>
        </w:rPr>
        <w:t>el retroceso de la actividad con respecto a agosto, cuando la compraventa alcanzó el 20% y el alquiler el 18%. ambos se situaron en una participación del 17%.</w:t>
      </w:r>
      <w:r>
        <w:rPr>
          <w:rFonts w:ascii="Open Sans" w:eastAsia="Open Sans" w:hAnsi="Open Sans" w:cs="Open Sans"/>
        </w:rPr>
        <w:t xml:space="preserve"> Esta variación obedece al carácter estacional del mercado de la vivienda.</w:t>
      </w:r>
    </w:p>
    <w:p w14:paraId="0F4B3445"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5320F7AF"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32CACC64" w14:textId="77777777" w:rsidR="00387C3B" w:rsidRDefault="00000000">
      <w:pPr>
        <w:keepNext/>
        <w:pBdr>
          <w:top w:val="nil"/>
          <w:left w:val="nil"/>
          <w:bottom w:val="nil"/>
          <w:right w:val="nil"/>
          <w:between w:val="nil"/>
        </w:pBdr>
        <w:spacing w:after="200"/>
        <w:rPr>
          <w:b/>
          <w:bCs/>
          <w:smallCaps/>
          <w:color w:val="323FAB"/>
          <w:sz w:val="28"/>
          <w:szCs w:val="28"/>
          <w:highlight w:val="white"/>
        </w:rPr>
      </w:pPr>
      <w:r>
        <w:rPr>
          <w:b/>
          <w:bCs/>
          <w:smallCaps/>
          <w:color w:val="323FAB"/>
          <w:sz w:val="28"/>
          <w:szCs w:val="28"/>
          <w:highlight w:val="white"/>
        </w:rPr>
        <w:t xml:space="preserve">catalanes participando en el mercado de compraventa y de alquiler </w:t>
      </w:r>
      <w:r>
        <w:rPr>
          <w:b/>
          <w:bCs/>
          <w:smallCaps/>
          <w:color w:val="323FAB"/>
          <w:sz w:val="28"/>
          <w:szCs w:val="28"/>
          <w:highlight w:val="white"/>
        </w:rPr>
        <w:br/>
      </w:r>
      <w:r>
        <w:rPr>
          <w:b/>
          <w:bCs/>
          <w:smallCaps/>
          <w:color w:val="323FAB"/>
          <w:sz w:val="22"/>
          <w:szCs w:val="22"/>
          <w:highlight w:val="white"/>
        </w:rPr>
        <w:t>(% sobre la población mayor de 18 años)</w:t>
      </w:r>
    </w:p>
    <w:p w14:paraId="290FEDAC" w14:textId="77777777" w:rsidR="00387C3B" w:rsidRDefault="00000000">
      <w:r>
        <w:rPr>
          <w:noProof/>
        </w:rPr>
        <w:drawing>
          <wp:inline distT="0" distB="0" distL="0" distR="0" wp14:anchorId="5260D009" wp14:editId="6719DB9C">
            <wp:extent cx="5400040" cy="27743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00040" cy="2774315"/>
                    </a:xfrm>
                    <a:prstGeom prst="rect">
                      <a:avLst/>
                    </a:prstGeom>
                    <a:ln/>
                  </pic:spPr>
                </pic:pic>
              </a:graphicData>
            </a:graphic>
          </wp:inline>
        </w:drawing>
      </w:r>
    </w:p>
    <w:p w14:paraId="631DB50D" w14:textId="77777777" w:rsidR="00387C3B" w:rsidRDefault="00387C3B">
      <w:pPr>
        <w:pBdr>
          <w:top w:val="nil"/>
          <w:left w:val="nil"/>
          <w:bottom w:val="nil"/>
          <w:right w:val="nil"/>
          <w:between w:val="nil"/>
        </w:pBdr>
        <w:spacing w:line="276" w:lineRule="auto"/>
        <w:jc w:val="both"/>
        <w:rPr>
          <w:rFonts w:ascii="Open Sans" w:eastAsia="Open Sans" w:hAnsi="Open Sans" w:cs="Open Sans"/>
        </w:rPr>
      </w:pPr>
    </w:p>
    <w:p w14:paraId="05B79E33" w14:textId="77777777" w:rsidR="00387C3B" w:rsidRDefault="00387C3B">
      <w:pPr>
        <w:pBdr>
          <w:top w:val="nil"/>
          <w:left w:val="nil"/>
          <w:bottom w:val="nil"/>
          <w:right w:val="nil"/>
          <w:between w:val="nil"/>
        </w:pBdr>
        <w:spacing w:line="276" w:lineRule="auto"/>
        <w:ind w:right="141"/>
        <w:jc w:val="both"/>
        <w:rPr>
          <w:rFonts w:ascii="Open Sans" w:eastAsia="Open Sans" w:hAnsi="Open Sans" w:cs="Open Sans"/>
        </w:rPr>
      </w:pPr>
    </w:p>
    <w:p w14:paraId="703CC245" w14:textId="77777777" w:rsidR="00387C3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5F5D6A9" w14:textId="77777777" w:rsidR="00387C3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3390C81" w14:textId="77777777" w:rsidR="00387C3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7">
        <w:r w:rsidR="00387C3B">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8">
        <w:r w:rsidR="00387C3B">
          <w:rPr>
            <w:rFonts w:ascii="Open Sans" w:eastAsia="Open Sans" w:hAnsi="Open Sans" w:cs="Open Sans"/>
            <w:b/>
            <w:bCs/>
            <w:color w:val="0000FF"/>
            <w:sz w:val="22"/>
            <w:szCs w:val="22"/>
            <w:u w:val="single"/>
          </w:rPr>
          <w:t xml:space="preserve">Fotocasa </w:t>
        </w:r>
        <w:proofErr w:type="spellStart"/>
        <w:r w:rsidR="00387C3B">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EA1750C" w14:textId="77777777" w:rsidR="00387C3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9">
        <w:r w:rsidR="00387C3B">
          <w:rPr>
            <w:rFonts w:ascii="Open Sans" w:eastAsia="Open Sans" w:hAnsi="Open Sans" w:cs="Open Sans"/>
            <w:b/>
            <w:bCs/>
            <w:color w:val="0000FF"/>
            <w:sz w:val="22"/>
            <w:szCs w:val="22"/>
            <w:u w:val="single"/>
          </w:rPr>
          <w:t>Sala de Prensa</w:t>
        </w:r>
      </w:hyperlink>
    </w:p>
    <w:p w14:paraId="7314326F" w14:textId="77777777" w:rsidR="00387C3B" w:rsidRDefault="00387C3B">
      <w:pPr>
        <w:spacing w:line="276" w:lineRule="auto"/>
        <w:rPr>
          <w:rFonts w:ascii="Open Sans Light" w:eastAsia="Open Sans Light" w:hAnsi="Open Sans Light" w:cs="Open Sans Light"/>
          <w:b/>
          <w:bCs/>
          <w:color w:val="303AB2"/>
        </w:rPr>
      </w:pPr>
    </w:p>
    <w:p w14:paraId="68DFCDCC" w14:textId="77777777" w:rsidR="00387C3B" w:rsidRDefault="00387C3B">
      <w:pPr>
        <w:spacing w:line="276" w:lineRule="auto"/>
        <w:jc w:val="right"/>
        <w:rPr>
          <w:rFonts w:ascii="Open Sans Light" w:eastAsia="Open Sans Light" w:hAnsi="Open Sans Light" w:cs="Open Sans Light"/>
          <w:b/>
          <w:bCs/>
          <w:color w:val="303AB2"/>
        </w:rPr>
      </w:pPr>
    </w:p>
    <w:p w14:paraId="6CE70684" w14:textId="77777777" w:rsidR="00387C3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75F1D602" w14:textId="77777777" w:rsidR="00387C3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9AC05D5" w14:textId="77777777" w:rsidR="00387C3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0">
        <w:r w:rsidR="00387C3B">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1">
        <w:proofErr w:type="spellStart"/>
        <w:r w:rsidR="00387C3B">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2">
        <w:r w:rsidR="00387C3B">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3">
        <w:proofErr w:type="spellStart"/>
        <w:r w:rsidR="00387C3B">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4">
        <w:proofErr w:type="spellStart"/>
        <w:r w:rsidR="00387C3B">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5">
        <w:proofErr w:type="spellStart"/>
        <w:r w:rsidR="00387C3B">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768A701" w14:textId="77777777" w:rsidR="00387C3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4DB970C" w14:textId="77777777" w:rsidR="00387C3B"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73E7E5A" w14:textId="77777777" w:rsidR="00387C3B" w:rsidRDefault="00387C3B">
      <w:pPr>
        <w:spacing w:line="276" w:lineRule="auto"/>
        <w:jc w:val="both"/>
        <w:rPr>
          <w:rFonts w:ascii="Open Sans" w:eastAsia="Open Sans" w:hAnsi="Open Sans" w:cs="Open Sans"/>
          <w:sz w:val="22"/>
          <w:szCs w:val="22"/>
        </w:rPr>
      </w:pPr>
    </w:p>
    <w:p w14:paraId="7382181C" w14:textId="77777777" w:rsidR="00387C3B" w:rsidRDefault="00387C3B">
      <w:pPr>
        <w:spacing w:line="276" w:lineRule="auto"/>
        <w:jc w:val="right"/>
        <w:rPr>
          <w:rFonts w:ascii="Open Sans Light" w:eastAsia="Open Sans Light" w:hAnsi="Open Sans Light" w:cs="Open Sans Light"/>
          <w:b/>
          <w:bCs/>
          <w:color w:val="303AB2"/>
        </w:rPr>
      </w:pPr>
    </w:p>
    <w:p w14:paraId="60E3ED12" w14:textId="77777777" w:rsidR="00387C3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30AB1F8" w14:textId="77777777" w:rsidR="00387C3B" w:rsidRDefault="00387C3B">
      <w:pPr>
        <w:pBdr>
          <w:top w:val="nil"/>
          <w:left w:val="nil"/>
          <w:bottom w:val="nil"/>
          <w:right w:val="nil"/>
          <w:between w:val="nil"/>
        </w:pBdr>
        <w:spacing w:line="276" w:lineRule="auto"/>
        <w:jc w:val="both"/>
        <w:rPr>
          <w:rFonts w:ascii="Open Sans" w:eastAsia="Open Sans" w:hAnsi="Open Sans" w:cs="Open Sans"/>
          <w:sz w:val="22"/>
          <w:szCs w:val="22"/>
        </w:rPr>
      </w:pPr>
    </w:p>
    <w:p w14:paraId="6C5A362E" w14:textId="77777777" w:rsidR="00387C3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6">
        <w:r w:rsidR="00387C3B">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5BDD80AA" w14:textId="77777777" w:rsidR="00387C3B" w:rsidRDefault="00387C3B">
      <w:pPr>
        <w:pBdr>
          <w:top w:val="nil"/>
          <w:left w:val="nil"/>
          <w:bottom w:val="nil"/>
          <w:right w:val="nil"/>
          <w:between w:val="nil"/>
        </w:pBdr>
        <w:spacing w:line="276" w:lineRule="auto"/>
        <w:jc w:val="both"/>
        <w:rPr>
          <w:rFonts w:ascii="Open Sans" w:eastAsia="Open Sans" w:hAnsi="Open Sans" w:cs="Open Sans"/>
          <w:sz w:val="22"/>
          <w:szCs w:val="22"/>
        </w:rPr>
      </w:pPr>
    </w:p>
    <w:p w14:paraId="5B9DE0A2" w14:textId="77777777" w:rsidR="00387C3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52BF8FC0" w14:textId="77777777" w:rsidR="00387C3B" w:rsidRDefault="00387C3B">
      <w:pPr>
        <w:spacing w:line="276" w:lineRule="auto"/>
        <w:rPr>
          <w:rFonts w:ascii="Open Sans" w:eastAsia="Open Sans" w:hAnsi="Open Sans" w:cs="Open Sans"/>
        </w:rPr>
      </w:pPr>
    </w:p>
    <w:p w14:paraId="19FA9DFB" w14:textId="77777777" w:rsidR="00387C3B" w:rsidRDefault="00387C3B">
      <w:pPr>
        <w:spacing w:line="276" w:lineRule="auto"/>
        <w:rPr>
          <w:rFonts w:ascii="Open Sans Light" w:eastAsia="Open Sans Light" w:hAnsi="Open Sans Light" w:cs="Open Sans Light"/>
          <w:b/>
          <w:bCs/>
          <w:color w:val="303AB2"/>
          <w:sz w:val="22"/>
          <w:szCs w:val="22"/>
        </w:rPr>
      </w:pPr>
    </w:p>
    <w:p w14:paraId="3E8B68DF" w14:textId="77777777" w:rsidR="00387C3B"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542FFD1" w14:textId="77777777" w:rsidR="00387C3B"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65CAF5E" w14:textId="77777777" w:rsidR="00387C3B" w:rsidRDefault="00387C3B">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5CC09D10" w14:textId="77777777" w:rsidR="00387C3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87C3B">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6C7D6" w14:textId="77777777" w:rsidR="00B26556" w:rsidRDefault="00B26556">
      <w:r>
        <w:separator/>
      </w:r>
    </w:p>
  </w:endnote>
  <w:endnote w:type="continuationSeparator" w:id="0">
    <w:p w14:paraId="5769F584" w14:textId="77777777" w:rsidR="00B26556" w:rsidRDefault="00B2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67B4A71-B79F-4FDD-9AC5-48A9B24255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C9D552-E340-432B-B4EA-26B77BB23486}"/>
    <w:embedBold r:id="rId3" w:fontKey="{4E53393C-76D6-4ACE-BDD1-241CF44C5D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788E94C-10DF-44E9-AABC-884344AF8A80}"/>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4EC145E7-33C7-402D-93F1-D6D49128D156}"/>
    <w:embedBoldItalic r:id="rId6" w:fontKey="{8BF361D8-F19C-40A9-BA66-6CD3213E0095}"/>
  </w:font>
  <w:font w:name="Open Sans">
    <w:charset w:val="00"/>
    <w:family w:val="swiss"/>
    <w:pitch w:val="variable"/>
    <w:sig w:usb0="E00002EF" w:usb1="4000205B" w:usb2="00000028" w:usb3="00000000" w:csb0="0000019F" w:csb1="00000000"/>
    <w:embedRegular r:id="rId7" w:fontKey="{A5D7764A-5CAC-4F4F-986D-AF02D082DF31}"/>
    <w:embedBold r:id="rId8" w:fontKey="{9CFE402C-90A0-45F4-85CA-6198F1A3A898}"/>
    <w:embedBoldItalic r:id="rId9" w:fontKey="{0C0BF8FB-420E-4471-95A1-C311977CDA5B}"/>
  </w:font>
  <w:font w:name="Cambria">
    <w:panose1 w:val="02040503050406030204"/>
    <w:charset w:val="00"/>
    <w:family w:val="roman"/>
    <w:pitch w:val="variable"/>
    <w:sig w:usb0="E00006FF" w:usb1="420024FF" w:usb2="02000000" w:usb3="00000000" w:csb0="0000019F" w:csb1="00000000"/>
    <w:embedRegular r:id="rId10" w:fontKey="{1F39D969-232C-4946-BAE6-637573810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9655" w14:textId="77777777" w:rsidR="00387C3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E8A7194" wp14:editId="60341893">
          <wp:simplePos x="0" y="0"/>
          <wp:positionH relativeFrom="column">
            <wp:posOffset>-1068038</wp:posOffset>
          </wp:positionH>
          <wp:positionV relativeFrom="paragraph">
            <wp:posOffset>174608</wp:posOffset>
          </wp:positionV>
          <wp:extent cx="7670550" cy="4513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4A160" w14:textId="77777777" w:rsidR="00B26556" w:rsidRDefault="00B26556">
      <w:r>
        <w:separator/>
      </w:r>
    </w:p>
  </w:footnote>
  <w:footnote w:type="continuationSeparator" w:id="0">
    <w:p w14:paraId="14749897" w14:textId="77777777" w:rsidR="00B26556" w:rsidRDefault="00B26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2271E6"/>
    <w:multiLevelType w:val="multilevel"/>
    <w:tmpl w:val="E6A84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8196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C3B"/>
    <w:rsid w:val="00095BDB"/>
    <w:rsid w:val="00387C3B"/>
    <w:rsid w:val="00A62323"/>
    <w:rsid w:val="00B26556"/>
    <w:rsid w:val="00BD4863"/>
    <w:rsid w:val="00C50612"/>
    <w:rsid w:val="00DC4A87"/>
    <w:rsid w:val="00EE3E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15C8"/>
  <w15:docId w15:val="{B7F04B9C-4C9B-423E-9F44-4A5BDFFA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s://www.research.fotocasa.es" TargetMode="External"/><Relationship Id="rId26" Type="http://schemas.openxmlformats.org/officeDocument/2006/relationships/hyperlink" Target="https://www.immobilienscout24.de/"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prensa.fotocasa.es/informe-radiografia-del-mercado-de-la-vivienda-en-2026/" TargetMode="External"/><Relationship Id="rId17" Type="http://schemas.openxmlformats.org/officeDocument/2006/relationships/hyperlink" Target="https://www.fotocasa.es/indice/" TargetMode="External"/><Relationship Id="rId25" Type="http://schemas.openxmlformats.org/officeDocument/2006/relationships/hyperlink" Target="https://www.inmoweb.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get.witei.com/en/"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datavenues.com/" TargetMode="External"/><Relationship Id="rId28" Type="http://schemas.openxmlformats.org/officeDocument/2006/relationships/footer" Target="footer1.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image" Target="media/image2.png"/><Relationship Id="rId22" Type="http://schemas.openxmlformats.org/officeDocument/2006/relationships/hyperlink" Target="https://profesionales.fotocasa.es/"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URYchwvER2QDqwl51xqXwUc3pQ==">CgMxLjAyDmgud2RhbDZjeXJiZjlqMg5oLjRoZ2VhemxlczBpeDIOaC53ZGFsNmN5cmJmOWo4AHIhMWlzSHpOS244RzZ5MExtRklHcmJxMVRfTGNUVVRuNDZ1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1373</Words>
  <Characters>7552</Characters>
  <Application>Microsoft Office Word</Application>
  <DocSecurity>0</DocSecurity>
  <Lines>62</Lines>
  <Paragraphs>17</Paragraphs>
  <ScaleCrop>false</ScaleCrop>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2026-05-09T17:28:00Z</dcterms:created>
  <dcterms:modified xsi:type="dcterms:W3CDTF">2026-05-09T21:16:00Z</dcterms:modified>
</cp:coreProperties>
</file>