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58BCA" w14:textId="77777777" w:rsidR="00BC4DB3" w:rsidRDefault="00000000">
      <w:r>
        <w:rPr>
          <w:noProof/>
        </w:rPr>
        <w:drawing>
          <wp:anchor distT="0" distB="0" distL="114300" distR="114300" simplePos="0" relativeHeight="251658240" behindDoc="0" locked="0" layoutInCell="1" hidden="0" allowOverlap="1" wp14:anchorId="3AB878FE" wp14:editId="52067D8B">
            <wp:simplePos x="0" y="0"/>
            <wp:positionH relativeFrom="column">
              <wp:posOffset>-1080114</wp:posOffset>
            </wp:positionH>
            <wp:positionV relativeFrom="paragraph">
              <wp:posOffset>-654663</wp:posOffset>
            </wp:positionV>
            <wp:extent cx="7581265" cy="1019175"/>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3A09F1E" w14:textId="77777777" w:rsidR="00BC4DB3" w:rsidRDefault="00BC4DB3">
      <w:pPr>
        <w:jc w:val="right"/>
        <w:rPr>
          <w:rFonts w:ascii="National" w:eastAsia="National" w:hAnsi="National" w:cs="National"/>
          <w:color w:val="303AB2"/>
          <w:sz w:val="36"/>
          <w:szCs w:val="36"/>
        </w:rPr>
      </w:pPr>
    </w:p>
    <w:p w14:paraId="240540D4" w14:textId="77777777" w:rsidR="00BC4DB3" w:rsidRDefault="00BC4DB3">
      <w:pPr>
        <w:rPr>
          <w:rFonts w:ascii="National" w:eastAsia="National" w:hAnsi="National" w:cs="National"/>
          <w:color w:val="303AB2"/>
          <w:sz w:val="18"/>
          <w:szCs w:val="18"/>
        </w:rPr>
      </w:pPr>
    </w:p>
    <w:p w14:paraId="7894D350" w14:textId="77777777" w:rsidR="00BC4DB3" w:rsidRDefault="00000000">
      <w:pPr>
        <w:pBdr>
          <w:top w:val="nil"/>
          <w:left w:val="nil"/>
          <w:bottom w:val="nil"/>
          <w:right w:val="nil"/>
          <w:between w:val="nil"/>
        </w:pBdr>
        <w:spacing w:line="276" w:lineRule="auto"/>
        <w:ind w:left="426"/>
        <w:jc w:val="center"/>
        <w:rPr>
          <w:rFonts w:ascii="National" w:eastAsia="National" w:hAnsi="National" w:cs="National"/>
          <w:b/>
          <w:bCs/>
          <w:color w:val="1DBDC5"/>
          <w:sz w:val="30"/>
          <w:szCs w:val="30"/>
        </w:rPr>
      </w:pPr>
      <w:r>
        <w:rPr>
          <w:rFonts w:ascii="National" w:eastAsia="National" w:hAnsi="National" w:cs="National"/>
          <w:b/>
          <w:bCs/>
          <w:color w:val="1DBDC5"/>
          <w:sz w:val="30"/>
          <w:szCs w:val="30"/>
        </w:rPr>
        <w:t>RADIOGRAFÍA DEL MERCADO DE LA VIVIENDA EN 2026</w:t>
      </w:r>
    </w:p>
    <w:p w14:paraId="214882AA" w14:textId="79262629" w:rsidR="00BC4DB3" w:rsidRDefault="00F21C1F" w:rsidP="00F21C1F">
      <w:pPr>
        <w:pBdr>
          <w:top w:val="nil"/>
          <w:left w:val="nil"/>
          <w:bottom w:val="nil"/>
          <w:right w:val="nil"/>
          <w:between w:val="nil"/>
        </w:pBdr>
        <w:spacing w:line="276" w:lineRule="auto"/>
        <w:ind w:left="720"/>
        <w:jc w:val="center"/>
        <w:rPr>
          <w:rFonts w:ascii="National" w:eastAsia="National" w:hAnsi="National" w:cs="National"/>
          <w:b/>
          <w:bCs/>
          <w:color w:val="303AB2"/>
          <w:sz w:val="46"/>
          <w:szCs w:val="46"/>
        </w:rPr>
      </w:pPr>
      <w:r w:rsidRPr="00F21C1F">
        <w:rPr>
          <w:rFonts w:ascii="National" w:eastAsia="National" w:hAnsi="National" w:cs="National"/>
          <w:b/>
          <w:bCs/>
          <w:color w:val="303AB2"/>
          <w:sz w:val="46"/>
          <w:szCs w:val="46"/>
        </w:rPr>
        <w:t xml:space="preserve">La búsqueda fallida de vivienda se </w:t>
      </w:r>
      <w:r>
        <w:rPr>
          <w:rFonts w:ascii="National" w:eastAsia="National" w:hAnsi="National" w:cs="National"/>
          <w:b/>
          <w:bCs/>
          <w:color w:val="303AB2"/>
          <w:sz w:val="46"/>
          <w:szCs w:val="46"/>
        </w:rPr>
        <w:t>incrementa en 2026</w:t>
      </w:r>
      <w:r w:rsidRPr="00F21C1F">
        <w:rPr>
          <w:rFonts w:ascii="National" w:eastAsia="National" w:hAnsi="National" w:cs="National"/>
          <w:b/>
          <w:bCs/>
          <w:color w:val="303AB2"/>
          <w:sz w:val="46"/>
          <w:szCs w:val="46"/>
        </w:rPr>
        <w:t xml:space="preserve">: hasta un 16% de los </w:t>
      </w:r>
      <w:r w:rsidR="00847ACC">
        <w:rPr>
          <w:rFonts w:ascii="National" w:eastAsia="National" w:hAnsi="National" w:cs="National"/>
          <w:b/>
          <w:bCs/>
          <w:color w:val="303AB2"/>
          <w:sz w:val="46"/>
          <w:szCs w:val="46"/>
        </w:rPr>
        <w:t>demandantes</w:t>
      </w:r>
      <w:r w:rsidRPr="00F21C1F">
        <w:rPr>
          <w:rFonts w:ascii="National" w:eastAsia="National" w:hAnsi="National" w:cs="National"/>
          <w:b/>
          <w:bCs/>
          <w:color w:val="303AB2"/>
          <w:sz w:val="46"/>
          <w:szCs w:val="46"/>
        </w:rPr>
        <w:t xml:space="preserve"> no logra cerrar la operación</w:t>
      </w:r>
    </w:p>
    <w:p w14:paraId="1DF7A4CD" w14:textId="77777777" w:rsidR="00F21C1F" w:rsidRDefault="00F21C1F">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66D3EF9A" w14:textId="561D76DD" w:rsidR="00B8021D" w:rsidRDefault="00B8021D">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sidRPr="00B8021D">
        <w:rPr>
          <w:rFonts w:ascii="Open Sans Light" w:eastAsia="Open Sans Light" w:hAnsi="Open Sans Light" w:cs="Open Sans Light"/>
          <w:b/>
          <w:bCs/>
          <w:color w:val="303AB2"/>
        </w:rPr>
        <w:t xml:space="preserve">Baleares y Cataluña lideran el aumento de </w:t>
      </w:r>
      <w:r w:rsidR="00847ACC">
        <w:rPr>
          <w:rFonts w:ascii="Open Sans Light" w:eastAsia="Open Sans Light" w:hAnsi="Open Sans Light" w:cs="Open Sans Light"/>
          <w:b/>
          <w:bCs/>
          <w:color w:val="303AB2"/>
        </w:rPr>
        <w:t>demandantes</w:t>
      </w:r>
      <w:r w:rsidRPr="00B8021D">
        <w:rPr>
          <w:rFonts w:ascii="Open Sans Light" w:eastAsia="Open Sans Light" w:hAnsi="Open Sans Light" w:cs="Open Sans Light"/>
          <w:b/>
          <w:bCs/>
          <w:color w:val="303AB2"/>
        </w:rPr>
        <w:t xml:space="preserve"> inefectivos</w:t>
      </w:r>
      <w:r w:rsidR="00847ACC">
        <w:rPr>
          <w:rFonts w:ascii="Open Sans Light" w:eastAsia="Open Sans Light" w:hAnsi="Open Sans Light" w:cs="Open Sans Light"/>
          <w:b/>
          <w:bCs/>
          <w:color w:val="303AB2"/>
        </w:rPr>
        <w:t>, tanto de venta como de alquiler</w:t>
      </w:r>
    </w:p>
    <w:p w14:paraId="52A70086" w14:textId="2B3C63DF" w:rsidR="00B8021D" w:rsidRDefault="00B8021D">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sidRPr="00B8021D">
        <w:rPr>
          <w:rFonts w:ascii="Open Sans Light" w:eastAsia="Open Sans Light" w:hAnsi="Open Sans Light" w:cs="Open Sans Light"/>
          <w:b/>
          <w:bCs/>
          <w:color w:val="303AB2"/>
        </w:rPr>
        <w:t>Baleares lidera la actividad en el mercado de la vivienda</w:t>
      </w:r>
      <w:r>
        <w:rPr>
          <w:rFonts w:ascii="Open Sans Light" w:eastAsia="Open Sans Light" w:hAnsi="Open Sans Light" w:cs="Open Sans Light"/>
          <w:b/>
          <w:bCs/>
          <w:color w:val="303AB2"/>
        </w:rPr>
        <w:t xml:space="preserve"> y la </w:t>
      </w:r>
      <w:r w:rsidRPr="00B8021D">
        <w:rPr>
          <w:rFonts w:ascii="Open Sans Light" w:eastAsia="Open Sans Light" w:hAnsi="Open Sans Light" w:cs="Open Sans Light"/>
          <w:b/>
          <w:bCs/>
          <w:color w:val="303AB2"/>
        </w:rPr>
        <w:t>Comunidad Valenciana y Andalucía</w:t>
      </w:r>
      <w:r w:rsidR="00121E1E">
        <w:rPr>
          <w:rFonts w:ascii="Open Sans Light" w:eastAsia="Open Sans Light" w:hAnsi="Open Sans Light" w:cs="Open Sans Light"/>
          <w:b/>
          <w:bCs/>
          <w:color w:val="303AB2"/>
        </w:rPr>
        <w:t xml:space="preserve"> son las que menos actividad registran</w:t>
      </w:r>
    </w:p>
    <w:p w14:paraId="555D6650" w14:textId="5504E583" w:rsidR="00121E1E" w:rsidRDefault="00121E1E" w:rsidP="00B8021D">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w:t>
      </w:r>
      <w:r w:rsidRPr="00121E1E">
        <w:rPr>
          <w:rFonts w:ascii="Open Sans Light" w:eastAsia="Open Sans Light" w:hAnsi="Open Sans Light" w:cs="Open Sans Light"/>
          <w:b/>
          <w:bCs/>
          <w:color w:val="303AB2"/>
        </w:rPr>
        <w:t xml:space="preserve">a Comunidad de Madrid muestra una dinámica diferencial: es la única región donde la demanda inefectiva de compra ha descendido </w:t>
      </w:r>
      <w:r>
        <w:rPr>
          <w:rFonts w:ascii="Open Sans Light" w:eastAsia="Open Sans Light" w:hAnsi="Open Sans Light" w:cs="Open Sans Light"/>
          <w:b/>
          <w:bCs/>
          <w:color w:val="303AB2"/>
        </w:rPr>
        <w:t xml:space="preserve">del 15% al 13% </w:t>
      </w:r>
    </w:p>
    <w:p w14:paraId="47F6F1DE" w14:textId="68E286E1" w:rsidR="00BC4DB3" w:rsidRPr="00B8021D" w:rsidRDefault="00000000" w:rsidP="00B8021D">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sidRPr="00B8021D">
        <w:rPr>
          <w:rFonts w:ascii="Open Sans Light" w:eastAsia="Open Sans Light" w:hAnsi="Open Sans Light" w:cs="Open Sans Light"/>
          <w:b/>
          <w:bCs/>
          <w:color w:val="303AB2"/>
        </w:rPr>
        <w:t>Aquí se puede descargar el informe nacional “</w:t>
      </w:r>
      <w:hyperlink r:id="rId9">
        <w:r w:rsidR="00BC4DB3" w:rsidRPr="00B8021D">
          <w:rPr>
            <w:rFonts w:ascii="Open Sans Light" w:eastAsia="Open Sans Light" w:hAnsi="Open Sans Light" w:cs="Open Sans Light"/>
            <w:b/>
            <w:bCs/>
            <w:i/>
            <w:iCs/>
            <w:color w:val="0000FF"/>
            <w:u w:val="single"/>
          </w:rPr>
          <w:t>Radiografía del mercado de la vivienda en 2026</w:t>
        </w:r>
      </w:hyperlink>
      <w:r w:rsidRPr="00B8021D">
        <w:rPr>
          <w:rFonts w:ascii="Open Sans Light" w:eastAsia="Open Sans Light" w:hAnsi="Open Sans Light" w:cs="Open Sans Light"/>
          <w:b/>
          <w:bCs/>
          <w:color w:val="303AB2"/>
        </w:rPr>
        <w:t>”</w:t>
      </w:r>
    </w:p>
    <w:p w14:paraId="67A9BA2C" w14:textId="77777777" w:rsidR="00BC4DB3" w:rsidRDefault="00BC4DB3">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755812BB" w14:textId="77777777" w:rsidR="00BC4DB3"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11 de mayo de 2026</w:t>
      </w:r>
      <w:r>
        <w:rPr>
          <w:rFonts w:ascii="Open Sans Light" w:eastAsia="Open Sans Light" w:hAnsi="Open Sans Light" w:cs="Open Sans Light"/>
          <w:b/>
          <w:bCs/>
          <w:color w:val="303AB2"/>
        </w:rPr>
        <w:tab/>
      </w:r>
    </w:p>
    <w:p w14:paraId="4ED38D96" w14:textId="77777777" w:rsidR="00BC4DB3" w:rsidRDefault="00BC4DB3">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0ACBA44E" w14:textId="5A76542A" w:rsidR="006E7CBB" w:rsidRDefault="006E7CBB">
      <w:pPr>
        <w:pBdr>
          <w:top w:val="nil"/>
          <w:left w:val="nil"/>
          <w:bottom w:val="nil"/>
          <w:right w:val="nil"/>
          <w:between w:val="nil"/>
        </w:pBdr>
        <w:spacing w:line="276" w:lineRule="auto"/>
        <w:jc w:val="both"/>
        <w:rPr>
          <w:rFonts w:ascii="Open Sans" w:eastAsia="Open Sans" w:hAnsi="Open Sans" w:cs="Open Sans"/>
        </w:rPr>
      </w:pPr>
      <w:r w:rsidRPr="006E7CBB">
        <w:rPr>
          <w:rFonts w:ascii="Open Sans" w:eastAsia="Open Sans" w:hAnsi="Open Sans" w:cs="Open Sans"/>
        </w:rPr>
        <w:t xml:space="preserve">La participación de particulares en el mercado de la vivienda ha repuntado de forma significativa en España en el arranque de 2026. </w:t>
      </w:r>
      <w:r>
        <w:rPr>
          <w:rFonts w:ascii="Open Sans" w:eastAsia="Open Sans" w:hAnsi="Open Sans" w:cs="Open Sans"/>
          <w:b/>
          <w:bCs/>
        </w:rPr>
        <w:t>Según el informe “</w:t>
      </w:r>
      <w:hyperlink r:id="rId10">
        <w:r>
          <w:rPr>
            <w:rFonts w:ascii="Open Sans" w:eastAsia="Open Sans" w:hAnsi="Open Sans" w:cs="Open Sans"/>
            <w:b/>
            <w:bCs/>
            <w:i/>
            <w:iCs/>
            <w:color w:val="0000FF"/>
            <w:u w:val="single"/>
          </w:rPr>
          <w:t>Radiografía del mercado de la vivienda en 2026</w:t>
        </w:r>
      </w:hyperlink>
      <w:r>
        <w:rPr>
          <w:rFonts w:ascii="Open Sans" w:eastAsia="Open Sans" w:hAnsi="Open Sans" w:cs="Open Sans"/>
          <w:b/>
          <w:bCs/>
        </w:rPr>
        <w:t xml:space="preserve">” de </w:t>
      </w:r>
      <w:hyperlink r:id="rId11">
        <w:r>
          <w:rPr>
            <w:rFonts w:ascii="Open Sans" w:eastAsia="Open Sans" w:hAnsi="Open Sans" w:cs="Open Sans"/>
            <w:b/>
            <w:bCs/>
            <w:color w:val="0000FF"/>
            <w:u w:val="single"/>
          </w:rPr>
          <w:t xml:space="preserve">Fotocasa </w:t>
        </w:r>
        <w:proofErr w:type="spellStart"/>
        <w:r>
          <w:rPr>
            <w:rFonts w:ascii="Open Sans" w:eastAsia="Open Sans" w:hAnsi="Open Sans" w:cs="Open Sans"/>
            <w:b/>
            <w:bCs/>
            <w:color w:val="0000FF"/>
            <w:u w:val="single"/>
          </w:rPr>
          <w:t>Research</w:t>
        </w:r>
        <w:proofErr w:type="spellEnd"/>
      </w:hyperlink>
      <w:r w:rsidRPr="006E7CBB">
        <w:rPr>
          <w:rFonts w:ascii="Open Sans" w:eastAsia="Open Sans" w:hAnsi="Open Sans" w:cs="Open Sans"/>
        </w:rPr>
        <w:t xml:space="preserve">, </w:t>
      </w:r>
      <w:r w:rsidR="00CA39AC">
        <w:rPr>
          <w:rFonts w:ascii="Open Sans" w:eastAsia="Open Sans" w:hAnsi="Open Sans" w:cs="Open Sans"/>
        </w:rPr>
        <w:t xml:space="preserve">en España </w:t>
      </w:r>
      <w:r w:rsidRPr="00CA39AC">
        <w:rPr>
          <w:rFonts w:ascii="Open Sans" w:eastAsia="Open Sans" w:hAnsi="Open Sans" w:cs="Open Sans"/>
          <w:b/>
          <w:bCs/>
        </w:rPr>
        <w:t>un 28% de los mayores de 18 años han realizado alguna acción</w:t>
      </w:r>
      <w:r w:rsidRPr="006E7CBB">
        <w:rPr>
          <w:rFonts w:ascii="Open Sans" w:eastAsia="Open Sans" w:hAnsi="Open Sans" w:cs="Open Sans"/>
        </w:rPr>
        <w:t xml:space="preserve"> —bien de oferta, bien de demanda; en el alquiler o en la compraventa—en los últimos 12 meses, lo cual supone un avance de dos puntos porcentuales respecto al mismo periodo de 2025. Pero </w:t>
      </w:r>
      <w:r w:rsidRPr="00CA39AC">
        <w:rPr>
          <w:rFonts w:ascii="Open Sans" w:eastAsia="Open Sans" w:hAnsi="Open Sans" w:cs="Open Sans"/>
          <w:b/>
          <w:bCs/>
        </w:rPr>
        <w:t xml:space="preserve">el análisis territorial deja algunas diferencias significativas, con Baleares </w:t>
      </w:r>
      <w:r w:rsidRPr="006E7CBB">
        <w:rPr>
          <w:rFonts w:ascii="Open Sans" w:eastAsia="Open Sans" w:hAnsi="Open Sans" w:cs="Open Sans"/>
        </w:rPr>
        <w:t>como la comunidad autónoma con una mayor participación: del 3</w:t>
      </w:r>
      <w:r>
        <w:rPr>
          <w:rFonts w:ascii="Open Sans" w:eastAsia="Open Sans" w:hAnsi="Open Sans" w:cs="Open Sans"/>
        </w:rPr>
        <w:t>2</w:t>
      </w:r>
      <w:r w:rsidRPr="006E7CBB">
        <w:rPr>
          <w:rFonts w:ascii="Open Sans" w:eastAsia="Open Sans" w:hAnsi="Open Sans" w:cs="Open Sans"/>
        </w:rPr>
        <w:t>%.</w:t>
      </w:r>
    </w:p>
    <w:p w14:paraId="3EEB6129" w14:textId="77777777" w:rsidR="006E7CBB" w:rsidRDefault="006E7CBB">
      <w:pPr>
        <w:pBdr>
          <w:top w:val="nil"/>
          <w:left w:val="nil"/>
          <w:bottom w:val="nil"/>
          <w:right w:val="nil"/>
          <w:between w:val="nil"/>
        </w:pBdr>
        <w:spacing w:line="276" w:lineRule="auto"/>
        <w:jc w:val="both"/>
        <w:rPr>
          <w:rFonts w:ascii="Open Sans" w:eastAsia="Open Sans" w:hAnsi="Open Sans" w:cs="Open Sans"/>
        </w:rPr>
      </w:pPr>
    </w:p>
    <w:p w14:paraId="116BAE8F" w14:textId="6DB0474A" w:rsidR="006E7CBB" w:rsidRDefault="006E7CBB">
      <w:pPr>
        <w:pBdr>
          <w:top w:val="nil"/>
          <w:left w:val="nil"/>
          <w:bottom w:val="nil"/>
          <w:right w:val="nil"/>
          <w:between w:val="nil"/>
        </w:pBdr>
        <w:spacing w:line="276" w:lineRule="auto"/>
        <w:jc w:val="both"/>
        <w:rPr>
          <w:rFonts w:ascii="Open Sans" w:eastAsia="Open Sans" w:hAnsi="Open Sans" w:cs="Open Sans"/>
        </w:rPr>
      </w:pPr>
      <w:r w:rsidRPr="006E7CBB">
        <w:rPr>
          <w:rFonts w:ascii="Open Sans" w:eastAsia="Open Sans" w:hAnsi="Open Sans" w:cs="Open Sans"/>
        </w:rPr>
        <w:t>El archipiélago mediterráneo encabeza</w:t>
      </w:r>
      <w:r>
        <w:rPr>
          <w:rFonts w:ascii="Open Sans" w:eastAsia="Open Sans" w:hAnsi="Open Sans" w:cs="Open Sans"/>
        </w:rPr>
        <w:t xml:space="preserve"> </w:t>
      </w:r>
      <w:r w:rsidRPr="006E7CBB">
        <w:rPr>
          <w:rFonts w:ascii="Open Sans" w:eastAsia="Open Sans" w:hAnsi="Open Sans" w:cs="Open Sans"/>
        </w:rPr>
        <w:t>el ranking autonómico gracias a un avance de dos puntos porcentuales: hace doce meses la participación en Baleares se situaba en el 30</w:t>
      </w:r>
      <w:r>
        <w:rPr>
          <w:rFonts w:ascii="Open Sans" w:eastAsia="Open Sans" w:hAnsi="Open Sans" w:cs="Open Sans"/>
        </w:rPr>
        <w:t xml:space="preserve">%. </w:t>
      </w:r>
      <w:r w:rsidRPr="00CA39AC">
        <w:rPr>
          <w:rFonts w:ascii="Open Sans" w:eastAsia="Open Sans" w:hAnsi="Open Sans" w:cs="Open Sans"/>
          <w:b/>
          <w:bCs/>
        </w:rPr>
        <w:t>El archipiélago atlántico, ocupa la segunda plaza a muy poca distancia: un 31% de los residentes en Canarias</w:t>
      </w:r>
      <w:r w:rsidRPr="006E7CBB">
        <w:rPr>
          <w:rFonts w:ascii="Open Sans" w:eastAsia="Open Sans" w:hAnsi="Open Sans" w:cs="Open Sans"/>
        </w:rPr>
        <w:t xml:space="preserve"> (frente al 28% de hace un año) han participado en el mercado de la vivienda. En ese mismo escalón del 31% (30% en 2025) se sitúa también la </w:t>
      </w:r>
      <w:r w:rsidRPr="00CA39AC">
        <w:rPr>
          <w:rFonts w:ascii="Open Sans" w:eastAsia="Open Sans" w:hAnsi="Open Sans" w:cs="Open Sans"/>
          <w:b/>
          <w:bCs/>
        </w:rPr>
        <w:t>Comunidad de Madrid</w:t>
      </w:r>
      <w:r w:rsidRPr="006E7CBB">
        <w:rPr>
          <w:rFonts w:ascii="Open Sans" w:eastAsia="Open Sans" w:hAnsi="Open Sans" w:cs="Open Sans"/>
        </w:rPr>
        <w:t>.</w:t>
      </w:r>
    </w:p>
    <w:p w14:paraId="0490C403" w14:textId="055C6033" w:rsidR="006E7CBB" w:rsidRDefault="006E7CBB">
      <w:pPr>
        <w:pBdr>
          <w:top w:val="nil"/>
          <w:left w:val="nil"/>
          <w:bottom w:val="nil"/>
          <w:right w:val="nil"/>
          <w:between w:val="nil"/>
        </w:pBdr>
        <w:spacing w:line="276" w:lineRule="auto"/>
        <w:jc w:val="both"/>
        <w:rPr>
          <w:rFonts w:ascii="Open Sans" w:eastAsia="Open Sans" w:hAnsi="Open Sans" w:cs="Open Sans"/>
        </w:rPr>
      </w:pPr>
      <w:r w:rsidRPr="006E7CBB">
        <w:rPr>
          <w:rFonts w:ascii="Open Sans" w:eastAsia="Open Sans" w:hAnsi="Open Sans" w:cs="Open Sans"/>
        </w:rPr>
        <w:lastRenderedPageBreak/>
        <w:t xml:space="preserve">Cierran este listado </w:t>
      </w:r>
      <w:r w:rsidRPr="00CA39AC">
        <w:rPr>
          <w:rFonts w:ascii="Open Sans" w:eastAsia="Open Sans" w:hAnsi="Open Sans" w:cs="Open Sans"/>
          <w:b/>
          <w:bCs/>
        </w:rPr>
        <w:t>Andalucía y Comunidad Valenciana</w:t>
      </w:r>
      <w:r w:rsidRPr="006E7CBB">
        <w:rPr>
          <w:rFonts w:ascii="Open Sans" w:eastAsia="Open Sans" w:hAnsi="Open Sans" w:cs="Open Sans"/>
        </w:rPr>
        <w:t>, que con el 28% de participación igualan el promedio nacional. La primera lo hace con un leve incremento de un punto porcentual en relación con el año anterior y la segunda registra un aumento algo mayor, de dos puntos porcentuales.</w:t>
      </w:r>
    </w:p>
    <w:p w14:paraId="3533414C" w14:textId="77777777" w:rsidR="006E7CBB" w:rsidRDefault="006E7CBB" w:rsidP="006E7CBB">
      <w:pPr>
        <w:contextualSpacing/>
        <w:rPr>
          <w:rFonts w:ascii="Open Sans" w:eastAsia="Open Sans" w:hAnsi="Open Sans" w:cs="Open Sans"/>
        </w:rPr>
      </w:pPr>
      <w:bookmarkStart w:id="0" w:name="_Toc149738528"/>
    </w:p>
    <w:p w14:paraId="0473C3EA" w14:textId="6C6BBB5D" w:rsidR="006E7CBB" w:rsidRDefault="006E7CBB" w:rsidP="006E7CBB">
      <w:pPr>
        <w:contextualSpacing/>
        <w:rPr>
          <w:rStyle w:val="normaltextrun"/>
          <w:b/>
          <w:bCs/>
          <w:smallCaps/>
          <w:color w:val="323FAB"/>
          <w:sz w:val="22"/>
          <w:szCs w:val="22"/>
          <w:shd w:val="clear" w:color="auto" w:fill="FFFFFF"/>
        </w:rPr>
      </w:pPr>
      <w:r w:rsidRPr="006E7CBB">
        <w:rPr>
          <w:rStyle w:val="normaltextrun"/>
          <w:b/>
          <w:bCs/>
          <w:smallCaps/>
          <w:color w:val="323FAB"/>
          <w:sz w:val="28"/>
          <w:szCs w:val="28"/>
          <w:shd w:val="clear" w:color="auto" w:fill="FFFFFF"/>
        </w:rPr>
        <w:t>Particulares participando en el mercado de la vivienda por CCAA</w:t>
      </w:r>
      <w:r w:rsidRPr="006E7CBB">
        <w:rPr>
          <w:rStyle w:val="normaltextrun"/>
          <w:b/>
          <w:bCs/>
          <w:smallCaps/>
          <w:color w:val="323FAB"/>
          <w:sz w:val="28"/>
          <w:szCs w:val="28"/>
          <w:shd w:val="clear" w:color="auto" w:fill="FFFFFF"/>
        </w:rPr>
        <w:br/>
      </w:r>
      <w:r w:rsidRPr="006E7CBB">
        <w:rPr>
          <w:rStyle w:val="normaltextrun"/>
          <w:b/>
          <w:bCs/>
          <w:smallCaps/>
          <w:color w:val="323FAB"/>
          <w:sz w:val="22"/>
          <w:szCs w:val="22"/>
          <w:shd w:val="clear" w:color="auto" w:fill="FFFFFF"/>
        </w:rPr>
        <w:t>(% sobre la población mayor de 18 años de cada CCAA)</w:t>
      </w:r>
      <w:bookmarkEnd w:id="0"/>
    </w:p>
    <w:p w14:paraId="4E904BAC" w14:textId="77777777" w:rsidR="006E7CBB" w:rsidRPr="006E7CBB" w:rsidRDefault="006E7CBB" w:rsidP="006E7CBB">
      <w:pPr>
        <w:contextualSpacing/>
        <w:rPr>
          <w:rStyle w:val="normaltextrun"/>
          <w:b/>
          <w:bCs/>
          <w:smallCaps/>
          <w:color w:val="323FAB"/>
          <w:sz w:val="28"/>
          <w:szCs w:val="28"/>
          <w:shd w:val="clear" w:color="auto" w:fill="FFFFFF"/>
        </w:rPr>
      </w:pPr>
    </w:p>
    <w:p w14:paraId="682F9A48" w14:textId="77777777" w:rsidR="006E7CBB" w:rsidRPr="00DF5E17" w:rsidRDefault="006E7CBB" w:rsidP="006E7CBB">
      <w:pPr>
        <w:contextualSpacing/>
        <w:rPr>
          <w:smallCaps/>
          <w:color w:val="323FAB"/>
          <w:shd w:val="clear" w:color="auto" w:fill="FFFFFF"/>
        </w:rPr>
      </w:pPr>
      <w:r>
        <w:rPr>
          <w:noProof/>
        </w:rPr>
        <w:drawing>
          <wp:inline distT="0" distB="0" distL="0" distR="0" wp14:anchorId="053EB7CB" wp14:editId="54E43B3C">
            <wp:extent cx="5791200" cy="3192780"/>
            <wp:effectExtent l="0" t="0" r="0" b="7620"/>
            <wp:docPr id="560313610" name="Gráfico 1">
              <a:extLst xmlns:a="http://schemas.openxmlformats.org/drawingml/2006/main">
                <a:ext uri="{FF2B5EF4-FFF2-40B4-BE49-F238E27FC236}">
                  <a16:creationId xmlns:a16="http://schemas.microsoft.com/office/drawing/2014/main" id="{E24C756A-B918-46DC-9DA6-33A10C41A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590995F" w14:textId="77777777" w:rsidR="008A50B9" w:rsidRDefault="008A50B9" w:rsidP="008A50B9">
      <w:pPr>
        <w:spacing w:line="276" w:lineRule="auto"/>
        <w:rPr>
          <w:rFonts w:ascii="National" w:eastAsia="National" w:hAnsi="National" w:cs="National"/>
          <w:b/>
          <w:bCs/>
          <w:color w:val="303AB2"/>
          <w:sz w:val="32"/>
          <w:szCs w:val="32"/>
        </w:rPr>
      </w:pPr>
    </w:p>
    <w:p w14:paraId="361E4427" w14:textId="40A8782C" w:rsidR="002C2711" w:rsidRPr="008A50B9" w:rsidRDefault="008A50B9" w:rsidP="008A50B9">
      <w:pPr>
        <w:spacing w:line="276" w:lineRule="auto"/>
        <w:rPr>
          <w:rFonts w:ascii="National" w:eastAsia="National" w:hAnsi="National" w:cs="National"/>
          <w:b/>
          <w:bCs/>
          <w:color w:val="303AB2"/>
          <w:sz w:val="32"/>
          <w:szCs w:val="32"/>
        </w:rPr>
      </w:pPr>
      <w:r w:rsidRPr="008A50B9">
        <w:rPr>
          <w:rFonts w:ascii="National" w:eastAsia="National" w:hAnsi="National" w:cs="National"/>
          <w:b/>
          <w:bCs/>
          <w:color w:val="303AB2"/>
          <w:sz w:val="32"/>
          <w:szCs w:val="32"/>
        </w:rPr>
        <w:t>Baleares</w:t>
      </w:r>
      <w:r w:rsidR="00BB6523">
        <w:rPr>
          <w:rFonts w:ascii="National" w:eastAsia="National" w:hAnsi="National" w:cs="National"/>
          <w:b/>
          <w:bCs/>
          <w:color w:val="303AB2"/>
          <w:sz w:val="32"/>
          <w:szCs w:val="32"/>
        </w:rPr>
        <w:t xml:space="preserve">, </w:t>
      </w:r>
      <w:r w:rsidRPr="008A50B9">
        <w:rPr>
          <w:rFonts w:ascii="National" w:eastAsia="National" w:hAnsi="National" w:cs="National"/>
          <w:b/>
          <w:bCs/>
          <w:color w:val="303AB2"/>
          <w:sz w:val="32"/>
          <w:szCs w:val="32"/>
        </w:rPr>
        <w:t>Cataluña</w:t>
      </w:r>
      <w:r w:rsidR="00BB6523">
        <w:rPr>
          <w:rFonts w:ascii="National" w:eastAsia="National" w:hAnsi="National" w:cs="National"/>
          <w:b/>
          <w:bCs/>
          <w:color w:val="303AB2"/>
          <w:sz w:val="32"/>
          <w:szCs w:val="32"/>
        </w:rPr>
        <w:t xml:space="preserve"> y Andalucía</w:t>
      </w:r>
      <w:r w:rsidRPr="008A50B9">
        <w:rPr>
          <w:rFonts w:ascii="National" w:eastAsia="National" w:hAnsi="National" w:cs="National"/>
          <w:b/>
          <w:bCs/>
          <w:color w:val="303AB2"/>
          <w:sz w:val="32"/>
          <w:szCs w:val="32"/>
        </w:rPr>
        <w:t xml:space="preserve"> lideran el aumento de </w:t>
      </w:r>
      <w:r w:rsidR="00847ACC">
        <w:rPr>
          <w:rFonts w:ascii="National" w:eastAsia="National" w:hAnsi="National" w:cs="National"/>
          <w:b/>
          <w:bCs/>
          <w:color w:val="303AB2"/>
          <w:sz w:val="32"/>
          <w:szCs w:val="32"/>
        </w:rPr>
        <w:t>demandantes</w:t>
      </w:r>
      <w:r w:rsidRPr="008A50B9">
        <w:rPr>
          <w:rFonts w:ascii="National" w:eastAsia="National" w:hAnsi="National" w:cs="National"/>
          <w:b/>
          <w:bCs/>
          <w:color w:val="303AB2"/>
          <w:sz w:val="32"/>
          <w:szCs w:val="32"/>
        </w:rPr>
        <w:t xml:space="preserve"> </w:t>
      </w:r>
      <w:r w:rsidR="00CA39AC">
        <w:rPr>
          <w:rFonts w:ascii="National" w:eastAsia="National" w:hAnsi="National" w:cs="National"/>
          <w:b/>
          <w:bCs/>
          <w:color w:val="303AB2"/>
          <w:sz w:val="32"/>
          <w:szCs w:val="32"/>
        </w:rPr>
        <w:t>fallidos</w:t>
      </w:r>
    </w:p>
    <w:p w14:paraId="46D40813" w14:textId="77777777" w:rsidR="002C2711" w:rsidRDefault="002C2711">
      <w:pPr>
        <w:pBdr>
          <w:top w:val="nil"/>
          <w:left w:val="nil"/>
          <w:bottom w:val="nil"/>
          <w:right w:val="nil"/>
          <w:between w:val="nil"/>
        </w:pBdr>
        <w:spacing w:line="276" w:lineRule="auto"/>
        <w:jc w:val="both"/>
        <w:rPr>
          <w:rFonts w:ascii="Open Sans" w:eastAsia="Open Sans" w:hAnsi="Open Sans" w:cs="Open Sans"/>
        </w:rPr>
      </w:pPr>
    </w:p>
    <w:p w14:paraId="47EBDD57" w14:textId="77777777" w:rsidR="008A50B9" w:rsidRDefault="008A50B9">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 pesar de que estas comunidades presentan datos de participación igual o superior al resto de España, la realidad muestra que </w:t>
      </w:r>
      <w:r w:rsidRPr="00CA39AC">
        <w:rPr>
          <w:rFonts w:ascii="Open Sans" w:eastAsia="Open Sans" w:hAnsi="Open Sans" w:cs="Open Sans"/>
          <w:b/>
          <w:bCs/>
        </w:rPr>
        <w:t>el mercado está dejando más demanda insatisfecha que años atrás</w:t>
      </w:r>
      <w:r>
        <w:rPr>
          <w:rFonts w:ascii="Open Sans" w:eastAsia="Open Sans" w:hAnsi="Open Sans" w:cs="Open Sans"/>
        </w:rPr>
        <w:t>. Y es que l</w:t>
      </w:r>
      <w:r w:rsidRPr="008A50B9">
        <w:rPr>
          <w:rFonts w:ascii="Open Sans" w:eastAsia="Open Sans" w:hAnsi="Open Sans" w:cs="Open Sans"/>
        </w:rPr>
        <w:t xml:space="preserve">a búsqueda inefectiva de vivienda se ha consolidado como una barrera crítica en el mercado español durante 2026, alcanzando niveles de frustración residencial históricos en varias regiones. </w:t>
      </w:r>
    </w:p>
    <w:p w14:paraId="4879E41F" w14:textId="77777777" w:rsidR="008A50B9" w:rsidRDefault="008A50B9">
      <w:pPr>
        <w:pBdr>
          <w:top w:val="nil"/>
          <w:left w:val="nil"/>
          <w:bottom w:val="nil"/>
          <w:right w:val="nil"/>
          <w:between w:val="nil"/>
        </w:pBdr>
        <w:spacing w:line="276" w:lineRule="auto"/>
        <w:jc w:val="both"/>
        <w:rPr>
          <w:rFonts w:ascii="Open Sans" w:eastAsia="Open Sans" w:hAnsi="Open Sans" w:cs="Open Sans"/>
        </w:rPr>
      </w:pPr>
    </w:p>
    <w:p w14:paraId="389FF167" w14:textId="07A966F3" w:rsidR="00121E1E" w:rsidRDefault="00121E1E">
      <w:pPr>
        <w:pBdr>
          <w:top w:val="nil"/>
          <w:left w:val="nil"/>
          <w:bottom w:val="nil"/>
          <w:right w:val="nil"/>
          <w:between w:val="nil"/>
        </w:pBdr>
        <w:spacing w:line="276" w:lineRule="auto"/>
        <w:jc w:val="both"/>
        <w:rPr>
          <w:rFonts w:ascii="Open Sans" w:eastAsia="Open Sans" w:hAnsi="Open Sans" w:cs="Open Sans"/>
        </w:rPr>
      </w:pPr>
      <w:r w:rsidRPr="00CA39AC">
        <w:rPr>
          <w:rFonts w:ascii="Open Sans" w:eastAsia="Open Sans" w:hAnsi="Open Sans" w:cs="Open Sans"/>
          <w:b/>
          <w:bCs/>
        </w:rPr>
        <w:t>Baleare</w:t>
      </w:r>
      <w:r w:rsidR="00BB6523">
        <w:rPr>
          <w:rFonts w:ascii="Open Sans" w:eastAsia="Open Sans" w:hAnsi="Open Sans" w:cs="Open Sans"/>
          <w:b/>
          <w:bCs/>
        </w:rPr>
        <w:t xml:space="preserve">s, </w:t>
      </w:r>
      <w:r w:rsidRPr="00CA39AC">
        <w:rPr>
          <w:rFonts w:ascii="Open Sans" w:eastAsia="Open Sans" w:hAnsi="Open Sans" w:cs="Open Sans"/>
          <w:b/>
          <w:bCs/>
        </w:rPr>
        <w:t>Cataluña</w:t>
      </w:r>
      <w:r w:rsidR="00BB6523">
        <w:rPr>
          <w:rFonts w:ascii="Open Sans" w:eastAsia="Open Sans" w:hAnsi="Open Sans" w:cs="Open Sans"/>
          <w:b/>
          <w:bCs/>
        </w:rPr>
        <w:t xml:space="preserve"> y Andalucía</w:t>
      </w:r>
      <w:r w:rsidR="008A50B9" w:rsidRPr="008A50B9">
        <w:rPr>
          <w:rFonts w:ascii="Open Sans" w:eastAsia="Open Sans" w:hAnsi="Open Sans" w:cs="Open Sans"/>
        </w:rPr>
        <w:t xml:space="preserve"> </w:t>
      </w:r>
      <w:r w:rsidR="008A50B9" w:rsidRPr="00CA39AC">
        <w:rPr>
          <w:rFonts w:ascii="Open Sans" w:eastAsia="Open Sans" w:hAnsi="Open Sans" w:cs="Open Sans"/>
          <w:b/>
          <w:bCs/>
        </w:rPr>
        <w:t>encabezan esta tendencia, donde un 16% de los ciudadanos intentó acceder a una vivienda</w:t>
      </w:r>
      <w:r w:rsidR="00847ACC">
        <w:rPr>
          <w:rFonts w:ascii="Open Sans" w:eastAsia="Open Sans" w:hAnsi="Open Sans" w:cs="Open Sans"/>
          <w:b/>
          <w:bCs/>
        </w:rPr>
        <w:t>, tanto de venta como de alquiler,</w:t>
      </w:r>
      <w:r w:rsidR="008A50B9" w:rsidRPr="00CA39AC">
        <w:rPr>
          <w:rFonts w:ascii="Open Sans" w:eastAsia="Open Sans" w:hAnsi="Open Sans" w:cs="Open Sans"/>
          <w:b/>
          <w:bCs/>
        </w:rPr>
        <w:t xml:space="preserve"> sin éxito en el último año</w:t>
      </w:r>
      <w:r w:rsidR="008A50B9" w:rsidRPr="008A50B9">
        <w:rPr>
          <w:rFonts w:ascii="Open Sans" w:eastAsia="Open Sans" w:hAnsi="Open Sans" w:cs="Open Sans"/>
        </w:rPr>
        <w:t xml:space="preserve">, seguidas muy de cerca por </w:t>
      </w:r>
      <w:r>
        <w:rPr>
          <w:rFonts w:ascii="Open Sans" w:eastAsia="Open Sans" w:hAnsi="Open Sans" w:cs="Open Sans"/>
        </w:rPr>
        <w:t>Canarias</w:t>
      </w:r>
      <w:r w:rsidR="008A50B9" w:rsidRPr="008A50B9">
        <w:rPr>
          <w:rFonts w:ascii="Open Sans" w:eastAsia="Open Sans" w:hAnsi="Open Sans" w:cs="Open Sans"/>
        </w:rPr>
        <w:t>, que registra un 1</w:t>
      </w:r>
      <w:r>
        <w:rPr>
          <w:rFonts w:ascii="Open Sans" w:eastAsia="Open Sans" w:hAnsi="Open Sans" w:cs="Open Sans"/>
        </w:rPr>
        <w:t>3</w:t>
      </w:r>
      <w:r w:rsidR="008A50B9" w:rsidRPr="008A50B9">
        <w:rPr>
          <w:rFonts w:ascii="Open Sans" w:eastAsia="Open Sans" w:hAnsi="Open Sans" w:cs="Open Sans"/>
        </w:rPr>
        <w:t xml:space="preserve">% de </w:t>
      </w:r>
      <w:r w:rsidR="00847ACC">
        <w:rPr>
          <w:rFonts w:ascii="Open Sans" w:eastAsia="Open Sans" w:hAnsi="Open Sans" w:cs="Open Sans"/>
        </w:rPr>
        <w:t>demandantes</w:t>
      </w:r>
      <w:r w:rsidR="008A50B9" w:rsidRPr="008A50B9">
        <w:rPr>
          <w:rFonts w:ascii="Open Sans" w:eastAsia="Open Sans" w:hAnsi="Open Sans" w:cs="Open Sans"/>
        </w:rPr>
        <w:t xml:space="preserve"> frustrados ante un mercado tensionado. En </w:t>
      </w:r>
      <w:r w:rsidR="008A50B9" w:rsidRPr="00CA39AC">
        <w:rPr>
          <w:rFonts w:ascii="Open Sans" w:eastAsia="Open Sans" w:hAnsi="Open Sans" w:cs="Open Sans"/>
          <w:b/>
          <w:bCs/>
        </w:rPr>
        <w:t xml:space="preserve">la </w:t>
      </w:r>
      <w:proofErr w:type="spellStart"/>
      <w:r w:rsidR="008A50B9" w:rsidRPr="00CA39AC">
        <w:rPr>
          <w:rFonts w:ascii="Open Sans" w:eastAsia="Open Sans" w:hAnsi="Open Sans" w:cs="Open Sans"/>
          <w:b/>
          <w:bCs/>
        </w:rPr>
        <w:lastRenderedPageBreak/>
        <w:t>Comunitat</w:t>
      </w:r>
      <w:proofErr w:type="spellEnd"/>
      <w:r w:rsidR="008A50B9" w:rsidRPr="00CA39AC">
        <w:rPr>
          <w:rFonts w:ascii="Open Sans" w:eastAsia="Open Sans" w:hAnsi="Open Sans" w:cs="Open Sans"/>
          <w:b/>
          <w:bCs/>
        </w:rPr>
        <w:t xml:space="preserve"> Valenciana </w:t>
      </w:r>
      <w:r>
        <w:rPr>
          <w:rFonts w:ascii="Open Sans" w:eastAsia="Open Sans" w:hAnsi="Open Sans" w:cs="Open Sans"/>
        </w:rPr>
        <w:t xml:space="preserve">son </w:t>
      </w:r>
      <w:r w:rsidR="008A50B9" w:rsidRPr="008A50B9">
        <w:rPr>
          <w:rFonts w:ascii="Open Sans" w:eastAsia="Open Sans" w:hAnsi="Open Sans" w:cs="Open Sans"/>
        </w:rPr>
        <w:t xml:space="preserve">el 11% de los demandantes </w:t>
      </w:r>
      <w:r>
        <w:rPr>
          <w:rFonts w:ascii="Open Sans" w:eastAsia="Open Sans" w:hAnsi="Open Sans" w:cs="Open Sans"/>
        </w:rPr>
        <w:t xml:space="preserve">los que no lograron </w:t>
      </w:r>
      <w:r w:rsidR="008A50B9" w:rsidRPr="008A50B9">
        <w:rPr>
          <w:rFonts w:ascii="Open Sans" w:eastAsia="Open Sans" w:hAnsi="Open Sans" w:cs="Open Sans"/>
        </w:rPr>
        <w:t xml:space="preserve">materializar la operación. </w:t>
      </w:r>
    </w:p>
    <w:p w14:paraId="7EC32A05" w14:textId="77777777" w:rsidR="00121E1E" w:rsidRDefault="00121E1E">
      <w:pPr>
        <w:pBdr>
          <w:top w:val="nil"/>
          <w:left w:val="nil"/>
          <w:bottom w:val="nil"/>
          <w:right w:val="nil"/>
          <w:between w:val="nil"/>
        </w:pBdr>
        <w:spacing w:line="276" w:lineRule="auto"/>
        <w:jc w:val="both"/>
        <w:rPr>
          <w:rFonts w:ascii="Open Sans" w:eastAsia="Open Sans" w:hAnsi="Open Sans" w:cs="Open Sans"/>
        </w:rPr>
      </w:pPr>
    </w:p>
    <w:p w14:paraId="0A5CC7EC" w14:textId="5775874F" w:rsidR="00E96160" w:rsidRDefault="008A50B9">
      <w:pPr>
        <w:pBdr>
          <w:top w:val="nil"/>
          <w:left w:val="nil"/>
          <w:bottom w:val="nil"/>
          <w:right w:val="nil"/>
          <w:between w:val="nil"/>
        </w:pBdr>
        <w:spacing w:line="276" w:lineRule="auto"/>
        <w:jc w:val="both"/>
        <w:rPr>
          <w:rFonts w:ascii="Open Sans" w:eastAsia="Open Sans" w:hAnsi="Open Sans" w:cs="Open Sans"/>
        </w:rPr>
      </w:pPr>
      <w:r w:rsidRPr="008A50B9">
        <w:rPr>
          <w:rFonts w:ascii="Open Sans" w:eastAsia="Open Sans" w:hAnsi="Open Sans" w:cs="Open Sans"/>
        </w:rPr>
        <w:t xml:space="preserve">Por el contrario, </w:t>
      </w:r>
      <w:r w:rsidRPr="00CA39AC">
        <w:rPr>
          <w:rFonts w:ascii="Open Sans" w:eastAsia="Open Sans" w:hAnsi="Open Sans" w:cs="Open Sans"/>
          <w:b/>
          <w:bCs/>
        </w:rPr>
        <w:t>la Comunidad de Madrid muestra una dinámica diferencial</w:t>
      </w:r>
      <w:r w:rsidRPr="008A50B9">
        <w:rPr>
          <w:rFonts w:ascii="Open Sans" w:eastAsia="Open Sans" w:hAnsi="Open Sans" w:cs="Open Sans"/>
        </w:rPr>
        <w:t xml:space="preserve">: es la única región donde la demanda inefectiva ha descendido (del 15% al 13%) en favor de una mayor efectividad en el cierre de operaciones. </w:t>
      </w:r>
    </w:p>
    <w:p w14:paraId="3B161B4C" w14:textId="77777777" w:rsidR="00E96160" w:rsidRDefault="00E96160">
      <w:pPr>
        <w:pBdr>
          <w:top w:val="nil"/>
          <w:left w:val="nil"/>
          <w:bottom w:val="nil"/>
          <w:right w:val="nil"/>
          <w:between w:val="nil"/>
        </w:pBdr>
        <w:spacing w:line="276" w:lineRule="auto"/>
        <w:jc w:val="both"/>
        <w:rPr>
          <w:rFonts w:ascii="Open Sans" w:eastAsia="Open Sans" w:hAnsi="Open Sans" w:cs="Open Sans"/>
        </w:rPr>
      </w:pPr>
    </w:p>
    <w:p w14:paraId="5678EEE0" w14:textId="1C7326F1" w:rsidR="002C2711" w:rsidRDefault="00E96160">
      <w:pPr>
        <w:pBdr>
          <w:top w:val="nil"/>
          <w:left w:val="nil"/>
          <w:bottom w:val="nil"/>
          <w:right w:val="nil"/>
          <w:between w:val="nil"/>
        </w:pBdr>
        <w:spacing w:line="276" w:lineRule="auto"/>
        <w:jc w:val="both"/>
        <w:rPr>
          <w:rFonts w:ascii="Open Sans" w:eastAsia="Open Sans" w:hAnsi="Open Sans" w:cs="Open Sans"/>
        </w:rPr>
      </w:pPr>
      <w:r w:rsidRPr="00E96160">
        <w:rPr>
          <w:rFonts w:ascii="Open Sans" w:eastAsia="Open Sans" w:hAnsi="Open Sans" w:cs="Open Sans"/>
        </w:rPr>
        <w:t xml:space="preserve">"La demanda inefectiva indica la gran tensión del mercado porque muestra cuántos ciudadanos se quedan fuera, sin acceso. Lo que estamos viendo es un mercado cada vez más selectivo, donde el acceso a la vivienda depende de la capacidad económica de las familias. Esto genera gran frustración en los hogares, porque retrasa decisiones vitales y amplía la brecha de accesibilidad. Además, parte de esos compradores pasan al alquiler, incrementando aún más la presión sobre un mercado ya muy tensionado", </w:t>
      </w:r>
      <w:r w:rsidRPr="00E96160">
        <w:rPr>
          <w:rFonts w:ascii="Open Sans" w:eastAsia="Open Sans" w:hAnsi="Open Sans" w:cs="Open Sans"/>
          <w:b/>
          <w:bCs/>
        </w:rPr>
        <w:t xml:space="preserve">explica María Matos, directora de Estudios y portavoz de </w:t>
      </w:r>
      <w:hyperlink r:id="rId13" w:history="1">
        <w:r w:rsidRPr="00E96160">
          <w:rPr>
            <w:rStyle w:val="Hipervnculo"/>
            <w:rFonts w:ascii="Open Sans" w:eastAsia="Open Sans" w:hAnsi="Open Sans" w:cs="Open Sans"/>
            <w:b/>
            <w:bCs/>
          </w:rPr>
          <w:t>Fotocasa</w:t>
        </w:r>
      </w:hyperlink>
      <w:r w:rsidRPr="00E96160">
        <w:rPr>
          <w:rFonts w:ascii="Open Sans" w:eastAsia="Open Sans" w:hAnsi="Open Sans" w:cs="Open Sans"/>
          <w:b/>
          <w:bCs/>
        </w:rPr>
        <w:t>.</w:t>
      </w:r>
    </w:p>
    <w:p w14:paraId="21B59C07" w14:textId="77777777" w:rsidR="002C2711" w:rsidRDefault="002C2711">
      <w:pPr>
        <w:pBdr>
          <w:top w:val="nil"/>
          <w:left w:val="nil"/>
          <w:bottom w:val="nil"/>
          <w:right w:val="nil"/>
          <w:between w:val="nil"/>
        </w:pBdr>
        <w:spacing w:line="276" w:lineRule="auto"/>
        <w:jc w:val="both"/>
        <w:rPr>
          <w:rFonts w:ascii="Open Sans" w:eastAsia="Open Sans" w:hAnsi="Open Sans" w:cs="Open Sans"/>
        </w:rPr>
      </w:pPr>
    </w:p>
    <w:p w14:paraId="077EB5DC" w14:textId="0BF65888" w:rsidR="006E7CBB" w:rsidRPr="00CA4D8E" w:rsidRDefault="00CA4D8E" w:rsidP="00CA4D8E">
      <w:pPr>
        <w:spacing w:line="276" w:lineRule="auto"/>
        <w:rPr>
          <w:rFonts w:ascii="National" w:eastAsia="National" w:hAnsi="National" w:cs="National"/>
          <w:b/>
          <w:bCs/>
          <w:color w:val="303AB2"/>
          <w:sz w:val="32"/>
          <w:szCs w:val="32"/>
        </w:rPr>
      </w:pPr>
      <w:r w:rsidRPr="00CA4D8E">
        <w:rPr>
          <w:rFonts w:ascii="National" w:eastAsia="National" w:hAnsi="National" w:cs="National"/>
          <w:b/>
          <w:bCs/>
          <w:color w:val="303AB2"/>
          <w:sz w:val="32"/>
          <w:szCs w:val="32"/>
        </w:rPr>
        <w:t>La actividad en la compraventa se dispara en Canarias y el alquiler sube en Madrid</w:t>
      </w:r>
    </w:p>
    <w:p w14:paraId="217DD965" w14:textId="77777777" w:rsidR="00CA4D8E" w:rsidRDefault="00CA4D8E">
      <w:pPr>
        <w:pBdr>
          <w:top w:val="nil"/>
          <w:left w:val="nil"/>
          <w:bottom w:val="nil"/>
          <w:right w:val="nil"/>
          <w:between w:val="nil"/>
        </w:pBdr>
        <w:spacing w:line="276" w:lineRule="auto"/>
        <w:jc w:val="both"/>
        <w:rPr>
          <w:rFonts w:ascii="Open Sans" w:eastAsia="Open Sans" w:hAnsi="Open Sans" w:cs="Open Sans"/>
        </w:rPr>
      </w:pPr>
    </w:p>
    <w:p w14:paraId="395AEBF0" w14:textId="6417D0AC" w:rsidR="006E7CBB" w:rsidRDefault="00CA4D8E">
      <w:pPr>
        <w:pBdr>
          <w:top w:val="nil"/>
          <w:left w:val="nil"/>
          <w:bottom w:val="nil"/>
          <w:right w:val="nil"/>
          <w:between w:val="nil"/>
        </w:pBdr>
        <w:spacing w:line="276" w:lineRule="auto"/>
        <w:jc w:val="both"/>
        <w:rPr>
          <w:rFonts w:ascii="Open Sans" w:eastAsia="Open Sans" w:hAnsi="Open Sans" w:cs="Open Sans"/>
        </w:rPr>
      </w:pPr>
      <w:r w:rsidRPr="00CA4D8E">
        <w:rPr>
          <w:rFonts w:ascii="Open Sans" w:eastAsia="Open Sans" w:hAnsi="Open Sans" w:cs="Open Sans"/>
        </w:rPr>
        <w:t xml:space="preserve">Al analizar de forma separada la actividad en la compraventa y en el alquiler, vemos que en el primer ámbito </w:t>
      </w:r>
      <w:r w:rsidRPr="007F62B8">
        <w:rPr>
          <w:rFonts w:ascii="Open Sans" w:eastAsia="Open Sans" w:hAnsi="Open Sans" w:cs="Open Sans"/>
          <w:b/>
          <w:bCs/>
        </w:rPr>
        <w:t xml:space="preserve">vuelve a despuntar Baleares, con un 22%, frente al 16% de 2025. </w:t>
      </w:r>
      <w:r w:rsidRPr="00CA4D8E">
        <w:rPr>
          <w:rFonts w:ascii="Open Sans" w:eastAsia="Open Sans" w:hAnsi="Open Sans" w:cs="Open Sans"/>
        </w:rPr>
        <w:t>Este fuerte incremento compensa de sobra la caída experimentada en este archipiélago en lo que se refiere al alquiler, que cae desde el 18% al 15%.</w:t>
      </w:r>
    </w:p>
    <w:p w14:paraId="356CA857" w14:textId="77777777" w:rsidR="006E7CBB" w:rsidRPr="007F62B8" w:rsidRDefault="006E7CBB">
      <w:pPr>
        <w:pBdr>
          <w:top w:val="nil"/>
          <w:left w:val="nil"/>
          <w:bottom w:val="nil"/>
          <w:right w:val="nil"/>
          <w:between w:val="nil"/>
        </w:pBdr>
        <w:spacing w:line="276" w:lineRule="auto"/>
        <w:jc w:val="both"/>
        <w:rPr>
          <w:rFonts w:ascii="Open Sans" w:eastAsia="Open Sans" w:hAnsi="Open Sans" w:cs="Open Sans"/>
          <w:b/>
          <w:bCs/>
        </w:rPr>
      </w:pPr>
    </w:p>
    <w:p w14:paraId="4BC35AC7" w14:textId="43F902DE" w:rsidR="006E7CBB" w:rsidRDefault="00CA4D8E">
      <w:pPr>
        <w:pBdr>
          <w:top w:val="nil"/>
          <w:left w:val="nil"/>
          <w:bottom w:val="nil"/>
          <w:right w:val="nil"/>
          <w:between w:val="nil"/>
        </w:pBdr>
        <w:spacing w:line="276" w:lineRule="auto"/>
        <w:jc w:val="both"/>
        <w:rPr>
          <w:rFonts w:ascii="Open Sans" w:eastAsia="Open Sans" w:hAnsi="Open Sans" w:cs="Open Sans"/>
        </w:rPr>
      </w:pPr>
      <w:r w:rsidRPr="007F62B8">
        <w:rPr>
          <w:rFonts w:ascii="Open Sans" w:eastAsia="Open Sans" w:hAnsi="Open Sans" w:cs="Open Sans"/>
          <w:b/>
          <w:bCs/>
        </w:rPr>
        <w:t>El territorio que sí destaca en el capítulo del arrendamiento es la Comunidad de Madrid, que alcanza un porcentaje de participación del 17%.</w:t>
      </w:r>
      <w:r w:rsidRPr="00CA4D8E">
        <w:rPr>
          <w:rFonts w:ascii="Open Sans" w:eastAsia="Open Sans" w:hAnsi="Open Sans" w:cs="Open Sans"/>
        </w:rPr>
        <w:t xml:space="preserve"> De este modo, mientras que la compraventa en este territorio se mantiene en el mismo porcentaje alcanzado el año anterior (19%), el alquiler se incrementa en un punto porcentual, subiendo del 16% de 2025 al 17% de doce meses más tarde</w:t>
      </w:r>
      <w:r w:rsidR="007F62B8">
        <w:rPr>
          <w:rFonts w:ascii="Open Sans" w:eastAsia="Open Sans" w:hAnsi="Open Sans" w:cs="Open Sans"/>
        </w:rPr>
        <w:t>.</w:t>
      </w:r>
    </w:p>
    <w:p w14:paraId="2BF0C463" w14:textId="77777777" w:rsidR="006E7CBB" w:rsidRDefault="006E7CBB">
      <w:pPr>
        <w:pBdr>
          <w:top w:val="nil"/>
          <w:left w:val="nil"/>
          <w:bottom w:val="nil"/>
          <w:right w:val="nil"/>
          <w:between w:val="nil"/>
        </w:pBdr>
        <w:spacing w:line="276" w:lineRule="auto"/>
        <w:jc w:val="both"/>
        <w:rPr>
          <w:rFonts w:ascii="Open Sans" w:eastAsia="Open Sans" w:hAnsi="Open Sans" w:cs="Open Sans"/>
        </w:rPr>
      </w:pPr>
    </w:p>
    <w:p w14:paraId="2598BA71" w14:textId="66387260" w:rsidR="00CA4D8E" w:rsidRDefault="00CA4D8E" w:rsidP="00CA4D8E">
      <w:pPr>
        <w:pBdr>
          <w:top w:val="nil"/>
          <w:left w:val="nil"/>
          <w:bottom w:val="nil"/>
          <w:right w:val="nil"/>
          <w:between w:val="nil"/>
        </w:pBdr>
        <w:spacing w:line="276" w:lineRule="auto"/>
        <w:jc w:val="both"/>
        <w:rPr>
          <w:rFonts w:ascii="Open Sans" w:eastAsia="Open Sans" w:hAnsi="Open Sans" w:cs="Open Sans"/>
        </w:rPr>
      </w:pPr>
      <w:r w:rsidRPr="00CA4D8E">
        <w:rPr>
          <w:rFonts w:ascii="Open Sans" w:eastAsia="Open Sans" w:hAnsi="Open Sans" w:cs="Open Sans"/>
        </w:rPr>
        <w:t xml:space="preserve">Es importante recordar, en este sentido que ya el año anterior el mercado del arrendamiento en Madrid había crecido otro punto porcentual (del 15% al 16%), con lo que </w:t>
      </w:r>
      <w:r w:rsidRPr="007F62B8">
        <w:rPr>
          <w:rFonts w:ascii="Open Sans" w:eastAsia="Open Sans" w:hAnsi="Open Sans" w:cs="Open Sans"/>
          <w:b/>
          <w:bCs/>
        </w:rPr>
        <w:t>podríamos hablar de la consolidación de una tendencia que parece haberse detenido en el caso de la compraventa</w:t>
      </w:r>
      <w:r w:rsidRPr="00CA4D8E">
        <w:rPr>
          <w:rFonts w:ascii="Open Sans" w:eastAsia="Open Sans" w:hAnsi="Open Sans" w:cs="Open Sans"/>
        </w:rPr>
        <w:t xml:space="preserve">.  </w:t>
      </w:r>
    </w:p>
    <w:p w14:paraId="049D88A4" w14:textId="77777777" w:rsidR="007F62B8" w:rsidRPr="00CA4D8E" w:rsidRDefault="007F62B8" w:rsidP="00CA4D8E">
      <w:pPr>
        <w:pBdr>
          <w:top w:val="nil"/>
          <w:left w:val="nil"/>
          <w:bottom w:val="nil"/>
          <w:right w:val="nil"/>
          <w:between w:val="nil"/>
        </w:pBdr>
        <w:spacing w:line="276" w:lineRule="auto"/>
        <w:jc w:val="both"/>
        <w:rPr>
          <w:rFonts w:ascii="Open Sans" w:eastAsia="Open Sans" w:hAnsi="Open Sans" w:cs="Open Sans"/>
        </w:rPr>
      </w:pPr>
    </w:p>
    <w:p w14:paraId="6F3558F0" w14:textId="3B22FFAD" w:rsidR="00CA4D8E" w:rsidRDefault="00CA4D8E" w:rsidP="00CA4D8E">
      <w:pPr>
        <w:pBdr>
          <w:top w:val="nil"/>
          <w:left w:val="nil"/>
          <w:bottom w:val="nil"/>
          <w:right w:val="nil"/>
          <w:between w:val="nil"/>
        </w:pBdr>
        <w:spacing w:line="276" w:lineRule="auto"/>
        <w:jc w:val="both"/>
        <w:rPr>
          <w:rFonts w:ascii="Open Sans" w:eastAsia="Open Sans" w:hAnsi="Open Sans" w:cs="Open Sans"/>
        </w:rPr>
      </w:pPr>
      <w:r w:rsidRPr="00CA4D8E">
        <w:rPr>
          <w:rFonts w:ascii="Open Sans" w:eastAsia="Open Sans" w:hAnsi="Open Sans" w:cs="Open Sans"/>
        </w:rPr>
        <w:lastRenderedPageBreak/>
        <w:t xml:space="preserve">En el resto de </w:t>
      </w:r>
      <w:r w:rsidR="007F62B8" w:rsidRPr="00CA4D8E">
        <w:rPr>
          <w:rFonts w:ascii="Open Sans" w:eastAsia="Open Sans" w:hAnsi="Open Sans" w:cs="Open Sans"/>
        </w:rPr>
        <w:t>las comunidades</w:t>
      </w:r>
      <w:r w:rsidRPr="00CA4D8E">
        <w:rPr>
          <w:rFonts w:ascii="Open Sans" w:eastAsia="Open Sans" w:hAnsi="Open Sans" w:cs="Open Sans"/>
        </w:rPr>
        <w:t xml:space="preserve"> autónomas la participación en el alquiler se sitúa en el 15%, mientras </w:t>
      </w:r>
      <w:r w:rsidR="007F62B8" w:rsidRPr="00CA4D8E">
        <w:rPr>
          <w:rFonts w:ascii="Open Sans" w:eastAsia="Open Sans" w:hAnsi="Open Sans" w:cs="Open Sans"/>
        </w:rPr>
        <w:t>que,</w:t>
      </w:r>
      <w:r w:rsidRPr="00CA4D8E">
        <w:rPr>
          <w:rFonts w:ascii="Open Sans" w:eastAsia="Open Sans" w:hAnsi="Open Sans" w:cs="Open Sans"/>
        </w:rPr>
        <w:t xml:space="preserve"> del lado de la compraventa, tras </w:t>
      </w:r>
      <w:r w:rsidRPr="007F62B8">
        <w:rPr>
          <w:rFonts w:ascii="Open Sans" w:eastAsia="Open Sans" w:hAnsi="Open Sans" w:cs="Open Sans"/>
          <w:b/>
          <w:bCs/>
        </w:rPr>
        <w:t>Baleares</w:t>
      </w:r>
      <w:r w:rsidRPr="00CA4D8E">
        <w:rPr>
          <w:rFonts w:ascii="Open Sans" w:eastAsia="Open Sans" w:hAnsi="Open Sans" w:cs="Open Sans"/>
        </w:rPr>
        <w:t xml:space="preserve">, destaca </w:t>
      </w:r>
      <w:r w:rsidRPr="007F62B8">
        <w:rPr>
          <w:rFonts w:ascii="Open Sans" w:eastAsia="Open Sans" w:hAnsi="Open Sans" w:cs="Open Sans"/>
          <w:b/>
          <w:bCs/>
        </w:rPr>
        <w:t>Canarias</w:t>
      </w:r>
      <w:r w:rsidRPr="00CA4D8E">
        <w:rPr>
          <w:rFonts w:ascii="Open Sans" w:eastAsia="Open Sans" w:hAnsi="Open Sans" w:cs="Open Sans"/>
        </w:rPr>
        <w:t xml:space="preserve">, con un 20%, lo que representa un significativo impulso de cinco puntos porcentuales, desde el escaso 15% de 2025. En cambio, al igual que sucede en el archipiélago mediterráneo, el canario cae en su actividad respecto al alquiler, desde el 17% al 15%. </w:t>
      </w:r>
    </w:p>
    <w:p w14:paraId="7E8428B7" w14:textId="77777777" w:rsidR="007F62B8" w:rsidRPr="00CA4D8E" w:rsidRDefault="007F62B8" w:rsidP="00CA4D8E">
      <w:pPr>
        <w:pBdr>
          <w:top w:val="nil"/>
          <w:left w:val="nil"/>
          <w:bottom w:val="nil"/>
          <w:right w:val="nil"/>
          <w:between w:val="nil"/>
        </w:pBdr>
        <w:spacing w:line="276" w:lineRule="auto"/>
        <w:jc w:val="both"/>
        <w:rPr>
          <w:rFonts w:ascii="Open Sans" w:eastAsia="Open Sans" w:hAnsi="Open Sans" w:cs="Open Sans"/>
        </w:rPr>
      </w:pPr>
    </w:p>
    <w:p w14:paraId="6CA1F1DC" w14:textId="48B75262" w:rsidR="00CA4D8E" w:rsidRDefault="00CA4D8E" w:rsidP="00CA4D8E">
      <w:pPr>
        <w:pBdr>
          <w:top w:val="nil"/>
          <w:left w:val="nil"/>
          <w:bottom w:val="nil"/>
          <w:right w:val="nil"/>
          <w:between w:val="nil"/>
        </w:pBdr>
        <w:spacing w:line="276" w:lineRule="auto"/>
        <w:jc w:val="both"/>
        <w:rPr>
          <w:rFonts w:ascii="Open Sans" w:eastAsia="Open Sans" w:hAnsi="Open Sans" w:cs="Open Sans"/>
        </w:rPr>
      </w:pPr>
      <w:r w:rsidRPr="00CA4D8E">
        <w:rPr>
          <w:rFonts w:ascii="Open Sans" w:eastAsia="Open Sans" w:hAnsi="Open Sans" w:cs="Open Sans"/>
        </w:rPr>
        <w:t xml:space="preserve">Finalmente, y volviendo a la orilla de la compraventa, las comunidades que presentan porcentajes de participación más bajos son </w:t>
      </w:r>
      <w:r w:rsidRPr="007F62B8">
        <w:rPr>
          <w:rFonts w:ascii="Open Sans" w:eastAsia="Open Sans" w:hAnsi="Open Sans" w:cs="Open Sans"/>
          <w:b/>
          <w:bCs/>
        </w:rPr>
        <w:t>la Comunidad Valenciana y Andalucía</w:t>
      </w:r>
      <w:r w:rsidRPr="00CA4D8E">
        <w:rPr>
          <w:rFonts w:ascii="Open Sans" w:eastAsia="Open Sans" w:hAnsi="Open Sans" w:cs="Open Sans"/>
        </w:rPr>
        <w:t xml:space="preserve">, ambas con un 17%, un punto porcentual por debajo de la media nacional. </w:t>
      </w:r>
    </w:p>
    <w:p w14:paraId="359A4CCF" w14:textId="77777777" w:rsidR="007F62B8" w:rsidRPr="00CA4D8E" w:rsidRDefault="007F62B8" w:rsidP="00CA4D8E">
      <w:pPr>
        <w:pBdr>
          <w:top w:val="nil"/>
          <w:left w:val="nil"/>
          <w:bottom w:val="nil"/>
          <w:right w:val="nil"/>
          <w:between w:val="nil"/>
        </w:pBdr>
        <w:spacing w:line="276" w:lineRule="auto"/>
        <w:jc w:val="both"/>
        <w:rPr>
          <w:rFonts w:ascii="Open Sans" w:eastAsia="Open Sans" w:hAnsi="Open Sans" w:cs="Open Sans"/>
        </w:rPr>
      </w:pPr>
    </w:p>
    <w:p w14:paraId="0909D484" w14:textId="4A31C3A1" w:rsidR="006E7CBB" w:rsidRDefault="00CA4D8E" w:rsidP="00CA4D8E">
      <w:pPr>
        <w:pBdr>
          <w:top w:val="nil"/>
          <w:left w:val="nil"/>
          <w:bottom w:val="nil"/>
          <w:right w:val="nil"/>
          <w:between w:val="nil"/>
        </w:pBdr>
        <w:spacing w:line="276" w:lineRule="auto"/>
        <w:jc w:val="both"/>
        <w:rPr>
          <w:rFonts w:ascii="Open Sans" w:eastAsia="Open Sans" w:hAnsi="Open Sans" w:cs="Open Sans"/>
        </w:rPr>
      </w:pPr>
      <w:r w:rsidRPr="00CA4D8E">
        <w:rPr>
          <w:rFonts w:ascii="Open Sans" w:eastAsia="Open Sans" w:hAnsi="Open Sans" w:cs="Open Sans"/>
        </w:rPr>
        <w:t xml:space="preserve">Por su parte, en </w:t>
      </w:r>
      <w:r w:rsidRPr="007F62B8">
        <w:rPr>
          <w:rFonts w:ascii="Open Sans" w:eastAsia="Open Sans" w:hAnsi="Open Sans" w:cs="Open Sans"/>
          <w:b/>
          <w:bCs/>
        </w:rPr>
        <w:t>Cataluña</w:t>
      </w:r>
      <w:r w:rsidRPr="00CA4D8E">
        <w:rPr>
          <w:rFonts w:ascii="Open Sans" w:eastAsia="Open Sans" w:hAnsi="Open Sans" w:cs="Open Sans"/>
        </w:rPr>
        <w:t>, al analizar de forma separada la actividad en la compraventa y en el arrendamiento vemos que la primera se desmarca, al incrementarse en dos puntos porcentuales (del 16% de 2025 al 18% un año después), mientras que el alquiler permanece en el mismo 15% del año anterior.</w:t>
      </w:r>
    </w:p>
    <w:p w14:paraId="1E9499D0" w14:textId="77777777" w:rsidR="00731E4C" w:rsidRPr="00731E4C" w:rsidRDefault="00731E4C" w:rsidP="00CA4D8E">
      <w:pPr>
        <w:pBdr>
          <w:top w:val="nil"/>
          <w:left w:val="nil"/>
          <w:bottom w:val="nil"/>
          <w:right w:val="nil"/>
          <w:between w:val="nil"/>
        </w:pBdr>
        <w:spacing w:line="276" w:lineRule="auto"/>
        <w:jc w:val="both"/>
        <w:rPr>
          <w:rFonts w:ascii="Open Sans" w:eastAsia="Open Sans" w:hAnsi="Open Sans" w:cs="Open Sans"/>
          <w:b/>
          <w:bCs/>
        </w:rPr>
      </w:pPr>
    </w:p>
    <w:p w14:paraId="56C8B45C" w14:textId="2DBCE60E" w:rsidR="00731E4C" w:rsidRPr="00731E4C" w:rsidRDefault="00731E4C" w:rsidP="00731E4C">
      <w:pPr>
        <w:pStyle w:val="Descripcin"/>
        <w:keepNext/>
        <w:rPr>
          <w:rStyle w:val="normaltextrun"/>
          <w:rFonts w:ascii="Calibri" w:hAnsi="Calibri" w:cs="Calibri"/>
          <w:b/>
          <w:bCs/>
          <w:i w:val="0"/>
          <w:iCs w:val="0"/>
          <w:smallCaps/>
          <w:color w:val="323FAB"/>
          <w:sz w:val="24"/>
          <w:szCs w:val="24"/>
          <w:shd w:val="clear" w:color="auto" w:fill="FFFFFF"/>
        </w:rPr>
      </w:pPr>
      <w:bookmarkStart w:id="1" w:name="_Toc149738529"/>
      <w:r w:rsidRPr="00731E4C">
        <w:rPr>
          <w:rStyle w:val="normaltextrun"/>
          <w:rFonts w:ascii="Calibri" w:hAnsi="Calibri" w:cs="Calibri"/>
          <w:b/>
          <w:bCs/>
          <w:i w:val="0"/>
          <w:iCs w:val="0"/>
          <w:smallCaps/>
          <w:color w:val="323FAB"/>
          <w:sz w:val="28"/>
          <w:szCs w:val="28"/>
          <w:shd w:val="clear" w:color="auto" w:fill="FFFFFF"/>
        </w:rPr>
        <w:t xml:space="preserve">Particulares participando en el mercado de compraventa y de alquiler </w:t>
      </w:r>
      <w:r w:rsidRPr="00731E4C">
        <w:rPr>
          <w:rStyle w:val="normaltextrun"/>
          <w:rFonts w:ascii="Calibri" w:hAnsi="Calibri" w:cs="Calibri"/>
          <w:b/>
          <w:bCs/>
          <w:i w:val="0"/>
          <w:iCs w:val="0"/>
          <w:smallCaps/>
          <w:color w:val="323FAB"/>
          <w:sz w:val="28"/>
          <w:szCs w:val="28"/>
          <w:shd w:val="clear" w:color="auto" w:fill="FFFFFF"/>
        </w:rPr>
        <w:br/>
      </w:r>
      <w:r w:rsidRPr="00731E4C">
        <w:rPr>
          <w:rStyle w:val="normaltextrun"/>
          <w:rFonts w:ascii="Calibri" w:hAnsi="Calibri" w:cs="Calibri"/>
          <w:b/>
          <w:bCs/>
          <w:i w:val="0"/>
          <w:iCs w:val="0"/>
          <w:smallCaps/>
          <w:color w:val="323FAB"/>
          <w:sz w:val="24"/>
          <w:szCs w:val="24"/>
          <w:shd w:val="clear" w:color="auto" w:fill="FFFFFF"/>
        </w:rPr>
        <w:t>(% sobre la población mayor de 18 años de cada CCAA)</w:t>
      </w:r>
      <w:bookmarkEnd w:id="1"/>
    </w:p>
    <w:p w14:paraId="301A7DBD" w14:textId="77777777" w:rsidR="00731E4C" w:rsidRPr="00731E4C" w:rsidRDefault="00731E4C" w:rsidP="00731E4C">
      <w:pPr>
        <w:rPr>
          <w:lang w:val="es-ES" w:eastAsia="en-US"/>
        </w:rPr>
      </w:pPr>
    </w:p>
    <w:p w14:paraId="6CBC0097" w14:textId="77777777" w:rsidR="00731E4C" w:rsidRDefault="00731E4C" w:rsidP="00731E4C">
      <w:r>
        <w:rPr>
          <w:noProof/>
        </w:rPr>
        <w:drawing>
          <wp:inline distT="0" distB="0" distL="0" distR="0" wp14:anchorId="036F9287" wp14:editId="5F2017A7">
            <wp:extent cx="5791200" cy="3376384"/>
            <wp:effectExtent l="0" t="0" r="0" b="0"/>
            <wp:docPr id="1436978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78340" name=""/>
                    <pic:cNvPicPr/>
                  </pic:nvPicPr>
                  <pic:blipFill>
                    <a:blip r:embed="rId14"/>
                    <a:stretch>
                      <a:fillRect/>
                    </a:stretch>
                  </pic:blipFill>
                  <pic:spPr>
                    <a:xfrm>
                      <a:off x="0" y="0"/>
                      <a:ext cx="5791768" cy="3376715"/>
                    </a:xfrm>
                    <a:prstGeom prst="rect">
                      <a:avLst/>
                    </a:prstGeom>
                  </pic:spPr>
                </pic:pic>
              </a:graphicData>
            </a:graphic>
          </wp:inline>
        </w:drawing>
      </w:r>
    </w:p>
    <w:p w14:paraId="5FB8C743" w14:textId="77777777" w:rsidR="00731E4C" w:rsidRDefault="00731E4C" w:rsidP="00CA4D8E">
      <w:pPr>
        <w:pBdr>
          <w:top w:val="nil"/>
          <w:left w:val="nil"/>
          <w:bottom w:val="nil"/>
          <w:right w:val="nil"/>
          <w:between w:val="nil"/>
        </w:pBdr>
        <w:spacing w:line="276" w:lineRule="auto"/>
        <w:jc w:val="both"/>
        <w:rPr>
          <w:rFonts w:ascii="Open Sans" w:eastAsia="Open Sans" w:hAnsi="Open Sans" w:cs="Open Sans"/>
        </w:rPr>
      </w:pPr>
    </w:p>
    <w:p w14:paraId="5089980F" w14:textId="77777777" w:rsidR="006E7CBB" w:rsidRDefault="006E7CBB">
      <w:pPr>
        <w:pBdr>
          <w:top w:val="nil"/>
          <w:left w:val="nil"/>
          <w:bottom w:val="nil"/>
          <w:right w:val="nil"/>
          <w:between w:val="nil"/>
        </w:pBdr>
        <w:spacing w:line="276" w:lineRule="auto"/>
        <w:jc w:val="both"/>
        <w:rPr>
          <w:rFonts w:ascii="Open Sans" w:eastAsia="Open Sans" w:hAnsi="Open Sans" w:cs="Open Sans"/>
        </w:rPr>
      </w:pPr>
    </w:p>
    <w:p w14:paraId="69DD2F46" w14:textId="77777777" w:rsidR="006E7CBB" w:rsidRDefault="006E7CBB">
      <w:pPr>
        <w:pBdr>
          <w:top w:val="nil"/>
          <w:left w:val="nil"/>
          <w:bottom w:val="nil"/>
          <w:right w:val="nil"/>
          <w:between w:val="nil"/>
        </w:pBdr>
        <w:spacing w:line="276" w:lineRule="auto"/>
        <w:jc w:val="both"/>
        <w:rPr>
          <w:rFonts w:ascii="Open Sans" w:eastAsia="Open Sans" w:hAnsi="Open Sans" w:cs="Open Sans"/>
        </w:rPr>
      </w:pPr>
    </w:p>
    <w:p w14:paraId="58FF9E93" w14:textId="77777777" w:rsidR="00BC4DB3" w:rsidRDefault="00000000" w:rsidP="007F62B8">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617357F3" w14:textId="77777777" w:rsidR="00BC4DB3" w:rsidRDefault="00000000" w:rsidP="007F62B8">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2101EA5C" w14:textId="77777777" w:rsidR="00BC4DB3" w:rsidRDefault="00000000" w:rsidP="007F62B8">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5">
        <w:r w:rsidR="00BC4DB3">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6">
        <w:r w:rsidR="00BC4DB3">
          <w:rPr>
            <w:rFonts w:ascii="Open Sans" w:eastAsia="Open Sans" w:hAnsi="Open Sans" w:cs="Open Sans"/>
            <w:b/>
            <w:bCs/>
            <w:color w:val="0000FF"/>
            <w:sz w:val="22"/>
            <w:szCs w:val="22"/>
            <w:u w:val="single"/>
          </w:rPr>
          <w:t xml:space="preserve">Fotocasa </w:t>
        </w:r>
        <w:proofErr w:type="spellStart"/>
        <w:r w:rsidR="00BC4DB3">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6188802B" w14:textId="77777777" w:rsidR="00BC4DB3" w:rsidRDefault="00000000" w:rsidP="007F62B8">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7">
        <w:r w:rsidR="00BC4DB3">
          <w:rPr>
            <w:rFonts w:ascii="Open Sans" w:eastAsia="Open Sans" w:hAnsi="Open Sans" w:cs="Open Sans"/>
            <w:b/>
            <w:bCs/>
            <w:color w:val="0000FF"/>
            <w:sz w:val="22"/>
            <w:szCs w:val="22"/>
            <w:u w:val="single"/>
          </w:rPr>
          <w:t>Sala de Prensa</w:t>
        </w:r>
      </w:hyperlink>
    </w:p>
    <w:p w14:paraId="4B14F934" w14:textId="77777777" w:rsidR="007F62B8" w:rsidRDefault="007F62B8" w:rsidP="007F62B8">
      <w:pPr>
        <w:spacing w:line="276" w:lineRule="auto"/>
        <w:rPr>
          <w:rFonts w:ascii="Open Sans Light" w:eastAsia="Open Sans Light" w:hAnsi="Open Sans Light" w:cs="Open Sans Light"/>
          <w:b/>
          <w:bCs/>
          <w:color w:val="303AB2"/>
        </w:rPr>
      </w:pPr>
    </w:p>
    <w:p w14:paraId="2DF7059A" w14:textId="77777777" w:rsidR="00BC4DB3" w:rsidRDefault="00BC4DB3" w:rsidP="007F62B8">
      <w:pPr>
        <w:spacing w:line="276" w:lineRule="auto"/>
        <w:jc w:val="right"/>
        <w:rPr>
          <w:rFonts w:ascii="Open Sans Light" w:eastAsia="Open Sans Light" w:hAnsi="Open Sans Light" w:cs="Open Sans Light"/>
          <w:b/>
          <w:bCs/>
          <w:color w:val="303AB2"/>
        </w:rPr>
      </w:pPr>
    </w:p>
    <w:p w14:paraId="789EB989" w14:textId="77777777" w:rsidR="00BC4DB3" w:rsidRDefault="00000000" w:rsidP="007F62B8">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7C40BFBE" w14:textId="77777777" w:rsidR="00BC4DB3" w:rsidRDefault="00000000" w:rsidP="007F62B8">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5B08C958" w14:textId="77777777" w:rsidR="00BC4DB3" w:rsidRDefault="00000000" w:rsidP="007F62B8">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8">
        <w:r w:rsidR="00BC4DB3">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9">
        <w:proofErr w:type="spellStart"/>
        <w:r w:rsidR="00BC4DB3">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0">
        <w:r w:rsidR="00BC4DB3">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1">
        <w:proofErr w:type="spellStart"/>
        <w:r w:rsidR="00BC4DB3">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2">
        <w:proofErr w:type="spellStart"/>
        <w:r w:rsidR="00BC4DB3">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3">
        <w:proofErr w:type="spellStart"/>
        <w:r w:rsidR="00BC4DB3">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7B210F67" w14:textId="77777777" w:rsidR="00BC4DB3" w:rsidRDefault="00000000" w:rsidP="007F62B8">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3E58EBD6" w14:textId="77777777" w:rsidR="00BC4DB3" w:rsidRDefault="00000000" w:rsidP="007F62B8">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745C4FAC" w14:textId="77777777" w:rsidR="00BC4DB3" w:rsidRDefault="00BC4DB3" w:rsidP="007F62B8">
      <w:pPr>
        <w:spacing w:line="276" w:lineRule="auto"/>
        <w:jc w:val="both"/>
        <w:rPr>
          <w:rFonts w:ascii="Open Sans" w:eastAsia="Open Sans" w:hAnsi="Open Sans" w:cs="Open Sans"/>
          <w:sz w:val="22"/>
          <w:szCs w:val="22"/>
        </w:rPr>
      </w:pPr>
    </w:p>
    <w:p w14:paraId="259AD2FE" w14:textId="77777777" w:rsidR="00BC4DB3" w:rsidRDefault="00BC4DB3" w:rsidP="007F62B8">
      <w:pPr>
        <w:spacing w:line="276" w:lineRule="auto"/>
        <w:jc w:val="right"/>
        <w:rPr>
          <w:rFonts w:ascii="Open Sans Light" w:eastAsia="Open Sans Light" w:hAnsi="Open Sans Light" w:cs="Open Sans Light"/>
          <w:b/>
          <w:bCs/>
          <w:color w:val="303AB2"/>
        </w:rPr>
      </w:pPr>
    </w:p>
    <w:p w14:paraId="114A2DD9" w14:textId="77777777" w:rsidR="00731E4C" w:rsidRDefault="00731E4C" w:rsidP="007F62B8">
      <w:pPr>
        <w:spacing w:line="276" w:lineRule="auto"/>
        <w:jc w:val="right"/>
        <w:rPr>
          <w:rFonts w:ascii="Open Sans Light" w:eastAsia="Open Sans Light" w:hAnsi="Open Sans Light" w:cs="Open Sans Light"/>
          <w:b/>
          <w:bCs/>
          <w:color w:val="303AB2"/>
        </w:rPr>
      </w:pPr>
    </w:p>
    <w:p w14:paraId="1B8E46E4" w14:textId="77777777" w:rsidR="00731E4C" w:rsidRDefault="00731E4C" w:rsidP="007F62B8">
      <w:pPr>
        <w:spacing w:line="276" w:lineRule="auto"/>
        <w:jc w:val="right"/>
        <w:rPr>
          <w:rFonts w:ascii="Open Sans Light" w:eastAsia="Open Sans Light" w:hAnsi="Open Sans Light" w:cs="Open Sans Light"/>
          <w:b/>
          <w:bCs/>
          <w:color w:val="303AB2"/>
        </w:rPr>
      </w:pPr>
    </w:p>
    <w:p w14:paraId="5636E0DA" w14:textId="77777777" w:rsidR="00731E4C" w:rsidRDefault="00731E4C" w:rsidP="007F62B8">
      <w:pPr>
        <w:spacing w:line="276" w:lineRule="auto"/>
        <w:jc w:val="right"/>
        <w:rPr>
          <w:rFonts w:ascii="Open Sans Light" w:eastAsia="Open Sans Light" w:hAnsi="Open Sans Light" w:cs="Open Sans Light"/>
          <w:b/>
          <w:bCs/>
          <w:color w:val="303AB2"/>
        </w:rPr>
      </w:pPr>
    </w:p>
    <w:p w14:paraId="12D0C4AA" w14:textId="77777777" w:rsidR="00731E4C" w:rsidRDefault="00731E4C" w:rsidP="007F62B8">
      <w:pPr>
        <w:spacing w:line="276" w:lineRule="auto"/>
        <w:jc w:val="right"/>
        <w:rPr>
          <w:rFonts w:ascii="Open Sans Light" w:eastAsia="Open Sans Light" w:hAnsi="Open Sans Light" w:cs="Open Sans Light"/>
          <w:b/>
          <w:bCs/>
          <w:color w:val="303AB2"/>
        </w:rPr>
      </w:pPr>
    </w:p>
    <w:p w14:paraId="3F9D1A0A" w14:textId="77777777" w:rsidR="00BC4DB3" w:rsidRDefault="00000000" w:rsidP="007F62B8">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Scout24</w:t>
      </w:r>
    </w:p>
    <w:p w14:paraId="08FCBB37" w14:textId="77777777" w:rsidR="00BC4DB3" w:rsidRDefault="00BC4DB3" w:rsidP="007F62B8">
      <w:pPr>
        <w:pBdr>
          <w:top w:val="nil"/>
          <w:left w:val="nil"/>
          <w:bottom w:val="nil"/>
          <w:right w:val="nil"/>
          <w:between w:val="nil"/>
        </w:pBdr>
        <w:spacing w:line="276" w:lineRule="auto"/>
        <w:jc w:val="both"/>
        <w:rPr>
          <w:rFonts w:ascii="Open Sans" w:eastAsia="Open Sans" w:hAnsi="Open Sans" w:cs="Open Sans"/>
          <w:sz w:val="22"/>
          <w:szCs w:val="22"/>
        </w:rPr>
      </w:pPr>
    </w:p>
    <w:p w14:paraId="62A6EEB1" w14:textId="77777777" w:rsidR="00BC4DB3" w:rsidRDefault="00000000" w:rsidP="007F62B8">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4">
        <w:r w:rsidR="00BC4DB3">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391FE19B" w14:textId="77777777" w:rsidR="00BC4DB3" w:rsidRDefault="00BC4DB3" w:rsidP="007F62B8">
      <w:pPr>
        <w:pBdr>
          <w:top w:val="nil"/>
          <w:left w:val="nil"/>
          <w:bottom w:val="nil"/>
          <w:right w:val="nil"/>
          <w:between w:val="nil"/>
        </w:pBdr>
        <w:spacing w:line="276" w:lineRule="auto"/>
        <w:jc w:val="both"/>
        <w:rPr>
          <w:rFonts w:ascii="Open Sans" w:eastAsia="Open Sans" w:hAnsi="Open Sans" w:cs="Open Sans"/>
          <w:sz w:val="22"/>
          <w:szCs w:val="22"/>
        </w:rPr>
      </w:pPr>
    </w:p>
    <w:p w14:paraId="171EC0F7" w14:textId="77777777" w:rsidR="00BC4DB3" w:rsidRDefault="00000000" w:rsidP="007F62B8">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11DD8C6A" w14:textId="77777777" w:rsidR="00BC4DB3" w:rsidRDefault="00BC4DB3" w:rsidP="007F62B8">
      <w:pPr>
        <w:spacing w:line="276" w:lineRule="auto"/>
        <w:rPr>
          <w:rFonts w:ascii="Open Sans" w:eastAsia="Open Sans" w:hAnsi="Open Sans" w:cs="Open Sans"/>
        </w:rPr>
      </w:pPr>
    </w:p>
    <w:p w14:paraId="2635D09F" w14:textId="77777777" w:rsidR="00F92875" w:rsidRDefault="00F92875" w:rsidP="007F62B8">
      <w:pPr>
        <w:spacing w:line="276" w:lineRule="auto"/>
        <w:rPr>
          <w:rFonts w:ascii="Open Sans Light" w:eastAsia="Open Sans Light" w:hAnsi="Open Sans Light" w:cs="Open Sans Light"/>
          <w:b/>
          <w:bCs/>
          <w:color w:val="303AB2"/>
          <w:sz w:val="22"/>
          <w:szCs w:val="22"/>
        </w:rPr>
      </w:pPr>
    </w:p>
    <w:p w14:paraId="16ADA105" w14:textId="77777777" w:rsidR="00BC4DB3" w:rsidRDefault="00000000" w:rsidP="007F62B8">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1E070965" w14:textId="77777777" w:rsidR="00BC4DB3" w:rsidRDefault="00000000" w:rsidP="007F62B8">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0F003399" w14:textId="77777777" w:rsidR="00BC4DB3" w:rsidRDefault="00BC4DB3" w:rsidP="007F62B8">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15C82823" w14:textId="77777777" w:rsidR="00BC4DB3" w:rsidRDefault="00000000" w:rsidP="007F62B8">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BC4DB3">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93D1A" w14:textId="77777777" w:rsidR="004F4ADB" w:rsidRDefault="004F4ADB">
      <w:r>
        <w:separator/>
      </w:r>
    </w:p>
  </w:endnote>
  <w:endnote w:type="continuationSeparator" w:id="0">
    <w:p w14:paraId="31134680" w14:textId="77777777" w:rsidR="004F4ADB" w:rsidRDefault="004F4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1392EE2-FFC2-4488-A12F-97F8525487B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3A4B5EB-63AE-4ACA-B6BC-22B52AACCAB5}"/>
    <w:embedBold r:id="rId3" w:fontKey="{2EF06D05-20CF-4961-A65E-9E78DBC2C32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7A393AD-11F4-477A-8E54-5A4D22C61938}"/>
  </w:font>
  <w:font w:name="Cambria">
    <w:panose1 w:val="02040503050406030204"/>
    <w:charset w:val="00"/>
    <w:family w:val="roman"/>
    <w:pitch w:val="variable"/>
    <w:sig w:usb0="E00006FF" w:usb1="420024FF" w:usb2="02000000" w:usb3="00000000" w:csb0="0000019F" w:csb1="00000000"/>
    <w:embedRegular r:id="rId5" w:fontKey="{AC73D0F7-B304-46B9-92FC-F05026082959}"/>
    <w:embedBold r:id="rId6" w:fontKey="{2E6156D7-7552-487B-BE69-138C8090664C}"/>
    <w:embedItalic r:id="rId7" w:fontKey="{E7832C53-264B-4C48-8D6A-81482876B9F3}"/>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8" w:fontKey="{679689A6-2390-4F05-A1A1-E980AA866058}"/>
    <w:embedBoldItalic r:id="rId9" w:fontKey="{9C6F3BBC-6C93-496F-8FE8-913302515E48}"/>
  </w:font>
  <w:font w:name="Open Sans">
    <w:charset w:val="00"/>
    <w:family w:val="swiss"/>
    <w:pitch w:val="variable"/>
    <w:sig w:usb0="E00002EF" w:usb1="4000205B" w:usb2="00000028" w:usb3="00000000" w:csb0="0000019F" w:csb1="00000000"/>
    <w:embedRegular r:id="rId10" w:fontKey="{4729E347-0C20-4118-B3AE-9468F93557DC}"/>
    <w:embedBold r:id="rId11" w:fontKey="{E5E44290-5F6A-4D7C-8579-A1703E5643FC}"/>
    <w:embedBoldItalic r:id="rId12" w:fontKey="{552FA861-D2A2-489E-8A25-E818111A06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C269B" w14:textId="77777777" w:rsidR="00BC4DB3"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D605CC8" wp14:editId="34D44889">
          <wp:simplePos x="0" y="0"/>
          <wp:positionH relativeFrom="column">
            <wp:posOffset>-1068038</wp:posOffset>
          </wp:positionH>
          <wp:positionV relativeFrom="paragraph">
            <wp:posOffset>174608</wp:posOffset>
          </wp:positionV>
          <wp:extent cx="7670550" cy="45131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DCEEE" w14:textId="77777777" w:rsidR="004F4ADB" w:rsidRDefault="004F4ADB">
      <w:r>
        <w:separator/>
      </w:r>
    </w:p>
  </w:footnote>
  <w:footnote w:type="continuationSeparator" w:id="0">
    <w:p w14:paraId="34E5DD18" w14:textId="77777777" w:rsidR="004F4ADB" w:rsidRDefault="004F4A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7A412A"/>
    <w:multiLevelType w:val="multilevel"/>
    <w:tmpl w:val="F5B4A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4465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DB3"/>
    <w:rsid w:val="000638EA"/>
    <w:rsid w:val="00083246"/>
    <w:rsid w:val="00121E1E"/>
    <w:rsid w:val="001B171A"/>
    <w:rsid w:val="002C2711"/>
    <w:rsid w:val="00434D0B"/>
    <w:rsid w:val="004F4ADB"/>
    <w:rsid w:val="006E7CBB"/>
    <w:rsid w:val="00731E4C"/>
    <w:rsid w:val="00745292"/>
    <w:rsid w:val="007F62B8"/>
    <w:rsid w:val="008238CD"/>
    <w:rsid w:val="00847ACC"/>
    <w:rsid w:val="008A50B9"/>
    <w:rsid w:val="00915CA0"/>
    <w:rsid w:val="00922EDB"/>
    <w:rsid w:val="00B8021D"/>
    <w:rsid w:val="00BB6523"/>
    <w:rsid w:val="00BC4DB3"/>
    <w:rsid w:val="00CA39AC"/>
    <w:rsid w:val="00CA4D8E"/>
    <w:rsid w:val="00E640B8"/>
    <w:rsid w:val="00E96160"/>
    <w:rsid w:val="00F21C1F"/>
    <w:rsid w:val="00F928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9CEF0"/>
  <w15:docId w15:val="{DC0D1133-F7CC-4F11-A50D-72CD4EF08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normaltextrun">
    <w:name w:val="normaltextrun"/>
    <w:basedOn w:val="Fuentedeprrafopredeter"/>
    <w:rsid w:val="006E7CBB"/>
  </w:style>
  <w:style w:type="character" w:styleId="Hipervnculo">
    <w:name w:val="Hyperlink"/>
    <w:basedOn w:val="Fuentedeprrafopredeter"/>
    <w:uiPriority w:val="99"/>
    <w:unhideWhenUsed/>
    <w:rsid w:val="00E96160"/>
    <w:rPr>
      <w:color w:val="0000FF" w:themeColor="hyperlink"/>
      <w:u w:val="single"/>
    </w:rPr>
  </w:style>
  <w:style w:type="character" w:styleId="Mencinsinresolver">
    <w:name w:val="Unresolved Mention"/>
    <w:basedOn w:val="Fuentedeprrafopredeter"/>
    <w:uiPriority w:val="99"/>
    <w:semiHidden/>
    <w:unhideWhenUsed/>
    <w:rsid w:val="00E96160"/>
    <w:rPr>
      <w:color w:val="605E5C"/>
      <w:shd w:val="clear" w:color="auto" w:fill="E1DFDD"/>
    </w:rPr>
  </w:style>
  <w:style w:type="paragraph" w:styleId="Descripcin">
    <w:name w:val="caption"/>
    <w:basedOn w:val="Normal"/>
    <w:next w:val="Normal"/>
    <w:uiPriority w:val="35"/>
    <w:unhideWhenUsed/>
    <w:qFormat/>
    <w:rsid w:val="00731E4C"/>
    <w:pPr>
      <w:spacing w:after="200"/>
    </w:pPr>
    <w:rPr>
      <w:rFonts w:asciiTheme="minorHAnsi" w:eastAsiaTheme="minorHAnsi" w:hAnsiTheme="minorHAnsi" w:cstheme="minorBidi"/>
      <w:i/>
      <w:iCs/>
      <w:color w:val="1F497D" w:themeColor="text2"/>
      <w:sz w:val="18"/>
      <w:szCs w:val="1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fotocasa.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atavenues.com/"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research.fotocasa.es" TargetMode="External"/><Relationship Id="rId20" Type="http://schemas.openxmlformats.org/officeDocument/2006/relationships/hyperlink" Target="https://profesionales.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https://www.immobilienscout24.de/"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s://www.inmoweb.es/" TargetMode="External"/><Relationship Id="rId28" Type="http://schemas.openxmlformats.org/officeDocument/2006/relationships/theme" Target="theme/theme1.xml"/><Relationship Id="rId10" Type="http://schemas.openxmlformats.org/officeDocument/2006/relationships/hyperlink" Target="https://prensa.fotocasa.es/informe-radiografia-del-mercado-de-la-vivienda-en-2026/"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prensa.fotocasa.es/informe-radiografia-del-mercado-de-la-vivienda-en-2026/" TargetMode="External"/><Relationship Id="rId14" Type="http://schemas.openxmlformats.org/officeDocument/2006/relationships/image" Target="media/image2.png"/><Relationship Id="rId22" Type="http://schemas.openxmlformats.org/officeDocument/2006/relationships/hyperlink" Target="https://get.witei.com/e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982906ebeb7e54d6/Trabajo/FC_Research/2026_FC_Research_OD/04_2026_Abril/01_Radiografia_1_CCAA/FC_2026_NdP1_Radiografia_CCA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Participacion_CCAA!$C$2</c:f>
              <c:strCache>
                <c:ptCount val="1"/>
                <c:pt idx="0">
                  <c:v>feb-26</c:v>
                </c:pt>
              </c:strCache>
            </c:strRef>
          </c:tx>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102E-425B-A336-3D1F4614ACB3}"/>
              </c:ext>
            </c:extLst>
          </c:dPt>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s-ES"/>
                </a:p>
              </c:txPr>
              <c:dLblPos val="inEnd"/>
              <c:showLegendKey val="0"/>
              <c:showVal val="1"/>
              <c:showCatName val="0"/>
              <c:showSerName val="0"/>
              <c:showPercent val="0"/>
              <c:showBubbleSize val="0"/>
              <c:extLst>
                <c:ext xmlns:c16="http://schemas.microsoft.com/office/drawing/2014/chart" uri="{C3380CC4-5D6E-409C-BE32-E72D297353CC}">
                  <c16:uniqueId val="{00000001-102E-425B-A336-3D1F4614ACB3}"/>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Participacion_CCAA!$B$3:$B$9</c:f>
              <c:strCache>
                <c:ptCount val="7"/>
                <c:pt idx="0">
                  <c:v>España</c:v>
                </c:pt>
                <c:pt idx="1">
                  <c:v>Comunidad Valenciana</c:v>
                </c:pt>
                <c:pt idx="2">
                  <c:v>Andalucía</c:v>
                </c:pt>
                <c:pt idx="3">
                  <c:v>Cataluña</c:v>
                </c:pt>
                <c:pt idx="4">
                  <c:v>Madrid</c:v>
                </c:pt>
                <c:pt idx="5">
                  <c:v>Canarias</c:v>
                </c:pt>
                <c:pt idx="6">
                  <c:v>Baleares</c:v>
                </c:pt>
              </c:strCache>
            </c:strRef>
          </c:cat>
          <c:val>
            <c:numRef>
              <c:f>Participacion_CCAA!$C$3:$C$9</c:f>
              <c:numCache>
                <c:formatCode>0%</c:formatCode>
                <c:ptCount val="7"/>
                <c:pt idx="0">
                  <c:v>0.28000000000000003</c:v>
                </c:pt>
                <c:pt idx="1">
                  <c:v>0.28000000000000003</c:v>
                </c:pt>
                <c:pt idx="2">
                  <c:v>0.28000000000000003</c:v>
                </c:pt>
                <c:pt idx="3">
                  <c:v>0.28999999999999998</c:v>
                </c:pt>
                <c:pt idx="4">
                  <c:v>0.31</c:v>
                </c:pt>
                <c:pt idx="5">
                  <c:v>0.31</c:v>
                </c:pt>
                <c:pt idx="6">
                  <c:v>0.32</c:v>
                </c:pt>
              </c:numCache>
            </c:numRef>
          </c:val>
          <c:extLst>
            <c:ext xmlns:c16="http://schemas.microsoft.com/office/drawing/2014/chart" uri="{C3380CC4-5D6E-409C-BE32-E72D297353CC}">
              <c16:uniqueId val="{00000002-102E-425B-A336-3D1F4614ACB3}"/>
            </c:ext>
          </c:extLst>
        </c:ser>
        <c:dLbls>
          <c:showLegendKey val="0"/>
          <c:showVal val="0"/>
          <c:showCatName val="0"/>
          <c:showSerName val="0"/>
          <c:showPercent val="0"/>
          <c:showBubbleSize val="0"/>
        </c:dLbls>
        <c:gapWidth val="75"/>
        <c:overlap val="-27"/>
        <c:axId val="250679872"/>
        <c:axId val="250680832"/>
      </c:barChart>
      <c:dateAx>
        <c:axId val="250679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250680832"/>
        <c:crosses val="autoZero"/>
        <c:auto val="0"/>
        <c:lblOffset val="100"/>
        <c:baseTimeUnit val="days"/>
        <c:majorUnit val="1"/>
        <c:majorTimeUnit val="months"/>
        <c:minorUnit val="1"/>
        <c:minorTimeUnit val="months"/>
      </c:dateAx>
      <c:valAx>
        <c:axId val="250680832"/>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2506798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EZOerniKCCOLvcO+5j/l5u13Yw==">CgMxLjAyDmgud2R6Nnh5cTN2cmkxMg5oLjc1OGhmbDFxanBleDgAciExSll0U0pkb3dLaFI5X0hudURSTS10eGpIU25UNzdwQlU=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1430</Words>
  <Characters>7865</Characters>
  <Application>Microsoft Office Word</Application>
  <DocSecurity>0</DocSecurity>
  <Lines>65</Lines>
  <Paragraphs>18</Paragraphs>
  <ScaleCrop>false</ScaleCrop>
  <Company/>
  <LinksUpToDate>false</LinksUpToDate>
  <CharactersWithSpaces>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22</cp:revision>
  <cp:lastPrinted>2026-05-09T17:25:00Z</cp:lastPrinted>
  <dcterms:created xsi:type="dcterms:W3CDTF">2026-05-08T07:38:00Z</dcterms:created>
  <dcterms:modified xsi:type="dcterms:W3CDTF">2026-05-09T17:41:00Z</dcterms:modified>
</cp:coreProperties>
</file>