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8CF4B3" w14:textId="77777777" w:rsidR="002C2EFB" w:rsidRDefault="00000000">
      <w:r>
        <w:rPr>
          <w:noProof/>
        </w:rPr>
        <w:drawing>
          <wp:anchor distT="0" distB="0" distL="114300" distR="114300" simplePos="0" relativeHeight="251658240" behindDoc="0" locked="0" layoutInCell="1" hidden="0" allowOverlap="1" wp14:anchorId="5F217DDF" wp14:editId="22E6BC8A">
            <wp:simplePos x="0" y="0"/>
            <wp:positionH relativeFrom="column">
              <wp:posOffset>-1080116</wp:posOffset>
            </wp:positionH>
            <wp:positionV relativeFrom="paragraph">
              <wp:posOffset>-654665</wp:posOffset>
            </wp:positionV>
            <wp:extent cx="7581265" cy="101917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039465DA" w14:textId="77777777" w:rsidR="002C2EFB" w:rsidRDefault="002C2EFB">
      <w:pPr>
        <w:jc w:val="right"/>
        <w:rPr>
          <w:rFonts w:ascii="National" w:eastAsia="National" w:hAnsi="National" w:cs="National"/>
          <w:color w:val="303AB2"/>
          <w:sz w:val="36"/>
          <w:szCs w:val="36"/>
        </w:rPr>
      </w:pPr>
    </w:p>
    <w:p w14:paraId="6F14021B" w14:textId="77777777" w:rsidR="002C2EFB" w:rsidRDefault="002C2EFB">
      <w:pPr>
        <w:rPr>
          <w:rFonts w:ascii="National" w:eastAsia="National" w:hAnsi="National" w:cs="National"/>
          <w:color w:val="303AB2"/>
          <w:sz w:val="18"/>
          <w:szCs w:val="18"/>
        </w:rPr>
      </w:pPr>
    </w:p>
    <w:p w14:paraId="6DA1C290" w14:textId="77777777" w:rsidR="002C2EFB" w:rsidRDefault="00000000">
      <w:pPr>
        <w:pBdr>
          <w:top w:val="nil"/>
          <w:left w:val="nil"/>
          <w:bottom w:val="nil"/>
          <w:right w:val="nil"/>
          <w:between w:val="nil"/>
        </w:pBdr>
        <w:spacing w:line="276" w:lineRule="auto"/>
        <w:jc w:val="center"/>
        <w:rPr>
          <w:rFonts w:ascii="National" w:eastAsia="National" w:hAnsi="National" w:cs="National"/>
          <w:b/>
          <w:bCs/>
          <w:color w:val="1DBDC5"/>
          <w:sz w:val="34"/>
          <w:szCs w:val="34"/>
        </w:rPr>
      </w:pPr>
      <w:r>
        <w:rPr>
          <w:rFonts w:ascii="National" w:eastAsia="National" w:hAnsi="National" w:cs="National"/>
          <w:b/>
          <w:bCs/>
          <w:color w:val="1DBDC5"/>
          <w:sz w:val="34"/>
          <w:szCs w:val="34"/>
        </w:rPr>
        <w:t>ANÁLISIS DEL MERCADO INMOBILIARIO</w:t>
      </w:r>
    </w:p>
    <w:p w14:paraId="71B1F8C8" w14:textId="77777777" w:rsidR="002C2EFB" w:rsidRPr="00FC0C64" w:rsidRDefault="00000000">
      <w:pPr>
        <w:pBdr>
          <w:top w:val="nil"/>
          <w:left w:val="nil"/>
          <w:bottom w:val="nil"/>
          <w:right w:val="nil"/>
          <w:between w:val="nil"/>
        </w:pBdr>
        <w:spacing w:line="276" w:lineRule="auto"/>
        <w:jc w:val="center"/>
        <w:rPr>
          <w:rFonts w:ascii="Open Sans Light" w:eastAsia="Open Sans Light" w:hAnsi="Open Sans Light" w:cs="Open Sans Light"/>
          <w:b/>
          <w:bCs/>
          <w:color w:val="303AB2"/>
          <w:sz w:val="32"/>
          <w:szCs w:val="32"/>
        </w:rPr>
      </w:pPr>
      <w:r w:rsidRPr="00FC0C64">
        <w:rPr>
          <w:rFonts w:ascii="National" w:eastAsia="National" w:hAnsi="National" w:cs="National"/>
          <w:b/>
          <w:bCs/>
          <w:color w:val="303AB2"/>
          <w:sz w:val="50"/>
          <w:szCs w:val="50"/>
        </w:rPr>
        <w:t>Menos del 3% de los propietarios en España mantiene una vivienda vacía</w:t>
      </w:r>
    </w:p>
    <w:p w14:paraId="53A21534" w14:textId="77777777" w:rsidR="002C2EFB" w:rsidRDefault="002C2EFB">
      <w:pPr>
        <w:pBdr>
          <w:top w:val="nil"/>
          <w:left w:val="nil"/>
          <w:bottom w:val="nil"/>
          <w:right w:val="nil"/>
          <w:between w:val="nil"/>
        </w:pBdr>
        <w:spacing w:line="276" w:lineRule="auto"/>
        <w:ind w:left="720"/>
        <w:jc w:val="both"/>
        <w:rPr>
          <w:rFonts w:ascii="Open Sans Light" w:eastAsia="Open Sans Light" w:hAnsi="Open Sans Light" w:cs="Open Sans Light"/>
          <w:b/>
          <w:bCs/>
          <w:color w:val="303AB2"/>
        </w:rPr>
      </w:pPr>
    </w:p>
    <w:p w14:paraId="0C14522C" w14:textId="77777777" w:rsidR="002C2EFB"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Los propietarios con tres o más inmuebles concentran el mayor porcentaje de vivienda vacía: más de uno de cada cuatro reconoce tener alguna sin uso</w:t>
      </w:r>
    </w:p>
    <w:p w14:paraId="02A11324" w14:textId="77777777" w:rsidR="002C2EFB"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El mal estado o la necesidad de reforma se consolida como el principal motivo para mantener una vivienda vacía, seguido de los conflictos hereditarios y la desconfianza hacia eventuales inquilinos</w:t>
      </w:r>
    </w:p>
    <w:p w14:paraId="7868058C" w14:textId="77777777" w:rsidR="002C2EFB"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La principal preocupación de los propietarios de viviendas vacías es la ocupación: el temor crece más de 12 puntos en un año</w:t>
      </w:r>
    </w:p>
    <w:p w14:paraId="49A9B1EA" w14:textId="77777777" w:rsidR="002C2EFB" w:rsidRDefault="002C2EFB">
      <w:pPr>
        <w:pBdr>
          <w:top w:val="nil"/>
          <w:left w:val="nil"/>
          <w:bottom w:val="nil"/>
          <w:right w:val="nil"/>
          <w:between w:val="nil"/>
        </w:pBdr>
        <w:spacing w:line="276" w:lineRule="auto"/>
        <w:ind w:left="720"/>
        <w:jc w:val="both"/>
        <w:rPr>
          <w:rFonts w:ascii="Open Sans Light" w:eastAsia="Open Sans Light" w:hAnsi="Open Sans Light" w:cs="Open Sans Light"/>
          <w:b/>
          <w:bCs/>
          <w:color w:val="303AB2"/>
        </w:rPr>
      </w:pPr>
    </w:p>
    <w:p w14:paraId="0E1B37B3" w14:textId="77777777" w:rsidR="002C2EFB" w:rsidRDefault="00000000">
      <w:pPr>
        <w:pBdr>
          <w:top w:val="nil"/>
          <w:left w:val="nil"/>
          <w:bottom w:val="nil"/>
          <w:right w:val="nil"/>
          <w:between w:val="nil"/>
        </w:pBdr>
        <w:tabs>
          <w:tab w:val="left" w:pos="6589"/>
        </w:tabs>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Madrid, 19 de mayo de 2026</w:t>
      </w:r>
      <w:r>
        <w:rPr>
          <w:rFonts w:ascii="Open Sans Light" w:eastAsia="Open Sans Light" w:hAnsi="Open Sans Light" w:cs="Open Sans Light"/>
          <w:b/>
          <w:bCs/>
          <w:color w:val="303AB2"/>
        </w:rPr>
        <w:tab/>
      </w:r>
    </w:p>
    <w:p w14:paraId="453491C3" w14:textId="77777777" w:rsidR="002C2EFB" w:rsidRDefault="002C2EFB">
      <w:pPr>
        <w:pBdr>
          <w:top w:val="nil"/>
          <w:left w:val="nil"/>
          <w:bottom w:val="nil"/>
          <w:right w:val="nil"/>
          <w:between w:val="nil"/>
        </w:pBdr>
        <w:tabs>
          <w:tab w:val="left" w:pos="6589"/>
        </w:tabs>
        <w:spacing w:line="276" w:lineRule="auto"/>
        <w:jc w:val="both"/>
        <w:rPr>
          <w:rFonts w:ascii="Open Sans Light" w:eastAsia="Open Sans Light" w:hAnsi="Open Sans Light" w:cs="Open Sans Light"/>
          <w:b/>
          <w:bCs/>
          <w:color w:val="303AB2"/>
        </w:rPr>
      </w:pPr>
    </w:p>
    <w:p w14:paraId="0CC8C77A" w14:textId="77777777" w:rsidR="002C2EFB"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El mercado residencial español continúa mostrando una baja incidencia de vivienda vacía entre los particulares. En el primer semestre de 2026, menos del 3% de los propietarios en España asegura tener actualmente una vivienda vacía, un porcentaje prácticamente estable respecto al mismo periodo de 2025. De hecho, el uso predominante que los propietarios hacen de sus inmuebles sigue siendo el de residencia habitual. En concreto, el 97% de los propietarios utiliza alguna de sus viviendas como residencia principal, ligeramente por encima que un año antes. Por otro lado, el porcentaje de propietarios que destina viviendas a segunda residencia desciende ligeramente, pasando del 12% al 11%. También cae el porcentaje de propietarios que alquilan sus inmuebles como residencia habitual, del 8% al 7%, mientras que el alquiler vacacional o de corta estancia se mantiene en cifras muy reducidas, por debajo del 1%, </w:t>
      </w:r>
      <w:r>
        <w:rPr>
          <w:rFonts w:ascii="Open Sans" w:eastAsia="Open Sans" w:hAnsi="Open Sans" w:cs="Open Sans"/>
          <w:b/>
          <w:bCs/>
        </w:rPr>
        <w:t xml:space="preserve">según los datos extraídos a partir de una encuesta de </w:t>
      </w:r>
      <w:hyperlink r:id="rId9">
        <w:r w:rsidR="002C2EFB">
          <w:rPr>
            <w:rFonts w:ascii="Open Sans" w:eastAsia="Open Sans" w:hAnsi="Open Sans" w:cs="Open Sans"/>
            <w:b/>
            <w:bCs/>
            <w:color w:val="0000FF"/>
            <w:u w:val="single"/>
          </w:rPr>
          <w:t>Fotocasa Research</w:t>
        </w:r>
      </w:hyperlink>
      <w:r>
        <w:rPr>
          <w:rFonts w:ascii="Open Sans" w:eastAsia="Open Sans" w:hAnsi="Open Sans" w:cs="Open Sans"/>
          <w:b/>
          <w:bCs/>
        </w:rPr>
        <w:t xml:space="preserve"> realizada en el primer semestre de 2026</w:t>
      </w:r>
      <w:r>
        <w:rPr>
          <w:rFonts w:ascii="Open Sans" w:eastAsia="Open Sans" w:hAnsi="Open Sans" w:cs="Open Sans"/>
        </w:rPr>
        <w:t>.</w:t>
      </w:r>
    </w:p>
    <w:p w14:paraId="0D993A70" w14:textId="77777777" w:rsidR="002C2EFB" w:rsidRDefault="002C2EFB">
      <w:pPr>
        <w:pBdr>
          <w:top w:val="nil"/>
          <w:left w:val="nil"/>
          <w:bottom w:val="nil"/>
          <w:right w:val="nil"/>
          <w:between w:val="nil"/>
        </w:pBdr>
        <w:spacing w:line="276" w:lineRule="auto"/>
        <w:jc w:val="both"/>
        <w:rPr>
          <w:rFonts w:ascii="Open Sans" w:eastAsia="Open Sans" w:hAnsi="Open Sans" w:cs="Open Sans"/>
        </w:rPr>
      </w:pPr>
    </w:p>
    <w:p w14:paraId="4A63871F" w14:textId="51118457" w:rsidR="002C2EFB" w:rsidRDefault="00000000">
      <w:pPr>
        <w:pBdr>
          <w:top w:val="nil"/>
          <w:left w:val="nil"/>
          <w:bottom w:val="nil"/>
          <w:right w:val="nil"/>
          <w:between w:val="nil"/>
        </w:pBdr>
        <w:spacing w:line="276" w:lineRule="auto"/>
        <w:jc w:val="both"/>
        <w:rPr>
          <w:rFonts w:ascii="Open Sans" w:eastAsia="Open Sans" w:hAnsi="Open Sans" w:cs="Open Sans"/>
          <w:b/>
          <w:bCs/>
        </w:rPr>
      </w:pPr>
      <w:r>
        <w:rPr>
          <w:rFonts w:ascii="Open Sans" w:eastAsia="Open Sans" w:hAnsi="Open Sans" w:cs="Open Sans"/>
        </w:rPr>
        <w:t xml:space="preserve">"La vivienda vacía entre particulares sigue siendo un fenómeno muy reducido y la gran mayoría lo hace por motivos involuntarios como el mal estado del inmueble, conflictos hereditarios o desconfianza hacia los inquilinos. Sin embargo, las causas </w:t>
      </w:r>
      <w:r>
        <w:rPr>
          <w:rFonts w:ascii="Open Sans" w:eastAsia="Open Sans" w:hAnsi="Open Sans" w:cs="Open Sans"/>
        </w:rPr>
        <w:lastRenderedPageBreak/>
        <w:t xml:space="preserve">han variado y lo que más llama la atención es que el clima de inseguridad jurídica está paralizando decisiones que podrían poner más vivienda en el mercado. Por lo tanto, medidas que aporten seguridad en el alquiler, que faciliten la rehabilitación y resuelvan los bloqueos legales en herencias serían mucho más efectivas para movilizar esos inmuebles que las penalizaciones fiscales", </w:t>
      </w:r>
      <w:r>
        <w:rPr>
          <w:rFonts w:ascii="Open Sans" w:eastAsia="Open Sans" w:hAnsi="Open Sans" w:cs="Open Sans"/>
          <w:b/>
          <w:bCs/>
        </w:rPr>
        <w:t xml:space="preserve">explica María Matos, directora de Estudios y portavoz de </w:t>
      </w:r>
      <w:hyperlink r:id="rId10">
        <w:r w:rsidR="002C2EFB">
          <w:rPr>
            <w:rFonts w:ascii="Open Sans" w:eastAsia="Open Sans" w:hAnsi="Open Sans" w:cs="Open Sans"/>
            <w:b/>
            <w:bCs/>
            <w:color w:val="0000FF"/>
            <w:u w:val="single"/>
          </w:rPr>
          <w:t>Fotocasa</w:t>
        </w:r>
      </w:hyperlink>
      <w:r>
        <w:rPr>
          <w:rFonts w:ascii="Open Sans" w:eastAsia="Open Sans" w:hAnsi="Open Sans" w:cs="Open Sans"/>
          <w:b/>
          <w:bCs/>
        </w:rPr>
        <w:t>.</w:t>
      </w:r>
    </w:p>
    <w:p w14:paraId="67437F16" w14:textId="77777777" w:rsidR="002C2EFB" w:rsidRDefault="002C2EFB">
      <w:pPr>
        <w:pBdr>
          <w:top w:val="nil"/>
          <w:left w:val="nil"/>
          <w:bottom w:val="nil"/>
          <w:right w:val="nil"/>
          <w:between w:val="nil"/>
        </w:pBdr>
        <w:spacing w:line="276" w:lineRule="auto"/>
        <w:jc w:val="both"/>
        <w:rPr>
          <w:rFonts w:ascii="Open Sans" w:eastAsia="Open Sans" w:hAnsi="Open Sans" w:cs="Open Sans"/>
        </w:rPr>
      </w:pPr>
    </w:p>
    <w:p w14:paraId="236F4C21" w14:textId="77777777" w:rsidR="002C2EFB"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Si el análisis se realiza sobre el conjunto de viviendas en propiedad y no sobre el número de propietarios, los datos reflejan una situación similar. El 80% de las viviendas en propiedad en España son residencias habituales, según datos del primer semestre de 2026, frente al 79% del año anterior. Las segundas residencias representan el 9% del total, </w:t>
      </w:r>
      <w:r>
        <w:rPr>
          <w:rFonts w:ascii="Open Sans" w:eastAsia="Open Sans" w:hAnsi="Open Sans" w:cs="Open Sans"/>
          <w:b/>
          <w:bCs/>
        </w:rPr>
        <w:t>mientras que las viviendas vacías alcanzan el 2%, ligeramente por debajo del porcentaje de 2025</w:t>
      </w:r>
      <w:r>
        <w:rPr>
          <w:rFonts w:ascii="Open Sans" w:eastAsia="Open Sans" w:hAnsi="Open Sans" w:cs="Open Sans"/>
        </w:rPr>
        <w:t>.</w:t>
      </w:r>
    </w:p>
    <w:p w14:paraId="7FC85F5B" w14:textId="77777777" w:rsidR="002C2EFB" w:rsidRDefault="002C2EFB">
      <w:pPr>
        <w:pBdr>
          <w:top w:val="nil"/>
          <w:left w:val="nil"/>
          <w:bottom w:val="nil"/>
          <w:right w:val="nil"/>
          <w:between w:val="nil"/>
        </w:pBdr>
        <w:spacing w:line="276" w:lineRule="auto"/>
        <w:jc w:val="both"/>
        <w:rPr>
          <w:rFonts w:ascii="Open Sans" w:eastAsia="Open Sans" w:hAnsi="Open Sans" w:cs="Open Sans"/>
        </w:rPr>
      </w:pPr>
    </w:p>
    <w:p w14:paraId="44FF304D" w14:textId="77777777" w:rsidR="002C2EFB" w:rsidRDefault="00000000">
      <w:pPr>
        <w:pBdr>
          <w:top w:val="nil"/>
          <w:left w:val="nil"/>
          <w:bottom w:val="nil"/>
          <w:right w:val="nil"/>
          <w:between w:val="nil"/>
        </w:pBdr>
        <w:spacing w:line="276" w:lineRule="auto"/>
        <w:jc w:val="both"/>
        <w:rPr>
          <w:rFonts w:ascii="Open Sans" w:eastAsia="Open Sans" w:hAnsi="Open Sans" w:cs="Open Sans"/>
        </w:rPr>
      </w:pPr>
      <w:r>
        <w:rPr>
          <w:rFonts w:ascii="National" w:eastAsia="National" w:hAnsi="National" w:cs="National"/>
          <w:b/>
          <w:bCs/>
          <w:color w:val="303AB2"/>
          <w:sz w:val="32"/>
          <w:szCs w:val="32"/>
        </w:rPr>
        <w:t>Cataluña registra la menor tasa de viviendas vacías de España</w:t>
      </w:r>
    </w:p>
    <w:p w14:paraId="0CECD8C3" w14:textId="77777777" w:rsidR="002C2EFB" w:rsidRDefault="002C2EFB">
      <w:pPr>
        <w:pBdr>
          <w:top w:val="nil"/>
          <w:left w:val="nil"/>
          <w:bottom w:val="nil"/>
          <w:right w:val="nil"/>
          <w:between w:val="nil"/>
        </w:pBdr>
        <w:spacing w:line="276" w:lineRule="auto"/>
        <w:jc w:val="both"/>
        <w:rPr>
          <w:rFonts w:ascii="Open Sans" w:eastAsia="Open Sans" w:hAnsi="Open Sans" w:cs="Open Sans"/>
        </w:rPr>
      </w:pPr>
    </w:p>
    <w:p w14:paraId="75445BB2" w14:textId="3D28D116" w:rsidR="002C2EFB"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Por comunidades autónomas, </w:t>
      </w:r>
      <w:r>
        <w:rPr>
          <w:rFonts w:ascii="Open Sans" w:eastAsia="Open Sans" w:hAnsi="Open Sans" w:cs="Open Sans"/>
          <w:b/>
          <w:bCs/>
        </w:rPr>
        <w:t>Baleares y Canarias son los territorio</w:t>
      </w:r>
      <w:r w:rsidR="007E44C7">
        <w:rPr>
          <w:rFonts w:ascii="Open Sans" w:eastAsia="Open Sans" w:hAnsi="Open Sans" w:cs="Open Sans"/>
          <w:b/>
          <w:bCs/>
        </w:rPr>
        <w:t>s</w:t>
      </w:r>
      <w:r>
        <w:rPr>
          <w:rFonts w:ascii="Open Sans" w:eastAsia="Open Sans" w:hAnsi="Open Sans" w:cs="Open Sans"/>
          <w:b/>
          <w:bCs/>
        </w:rPr>
        <w:t xml:space="preserve"> con mayor proporción de propietarios que asegura mantener viviendas vacías, con porcentajes ligeramente por encima de 3% en 2026</w:t>
      </w:r>
      <w:r>
        <w:rPr>
          <w:rFonts w:ascii="Open Sans" w:eastAsia="Open Sans" w:hAnsi="Open Sans" w:cs="Open Sans"/>
        </w:rPr>
        <w:t xml:space="preserve">. Andalucía también presenta porcentajes superiores a la media nacional, situándose en un 3%. En cambio, Cataluña se mantiene entre las comunidades con menor incidencia, por debajo del 2%, mientras que Madrid pasa del 2% al 3%. La Comunidad Valenciana permanece estable en el 2%. A nivel nacional, el análisis del tiempo que estas viviendas permanecen desocupadas muestra un cambio de tendencia. </w:t>
      </w:r>
      <w:r>
        <w:rPr>
          <w:rFonts w:ascii="Open Sans" w:eastAsia="Open Sans" w:hAnsi="Open Sans" w:cs="Open Sans"/>
          <w:b/>
          <w:bCs/>
        </w:rPr>
        <w:t>En el primer semestre de 2026, el 49% de las viviendas vacías lleva más de dos años sin uso</w:t>
      </w:r>
      <w:r>
        <w:rPr>
          <w:rFonts w:ascii="Open Sans" w:eastAsia="Open Sans" w:hAnsi="Open Sans" w:cs="Open Sans"/>
        </w:rPr>
        <w:t xml:space="preserve">, frente al 43% registrado en 2025. Por el contrario, disminuye el peso de las viviendas que llevan vacías menos de dos años, pasando del 57% al 52%. </w:t>
      </w:r>
    </w:p>
    <w:p w14:paraId="5A7EB7F8" w14:textId="77777777" w:rsidR="002C2EFB" w:rsidRDefault="002C2EFB">
      <w:pPr>
        <w:pBdr>
          <w:top w:val="nil"/>
          <w:left w:val="nil"/>
          <w:bottom w:val="nil"/>
          <w:right w:val="nil"/>
          <w:between w:val="nil"/>
        </w:pBdr>
        <w:spacing w:line="276" w:lineRule="auto"/>
        <w:jc w:val="both"/>
        <w:rPr>
          <w:rFonts w:ascii="Open Sans" w:eastAsia="Open Sans" w:hAnsi="Open Sans" w:cs="Open Sans"/>
        </w:rPr>
      </w:pPr>
    </w:p>
    <w:p w14:paraId="4A648C1F" w14:textId="77777777" w:rsidR="002C2EFB"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En cuanto a las razones que explican por qué los propietarios mantienen inmuebles vacíos, </w:t>
      </w:r>
      <w:r>
        <w:rPr>
          <w:rFonts w:ascii="Open Sans" w:eastAsia="Open Sans" w:hAnsi="Open Sans" w:cs="Open Sans"/>
          <w:b/>
          <w:bCs/>
        </w:rPr>
        <w:t>el principal motivo en el primer semestre de 2026 es que la vivienda no se encuentra en condiciones adecuadas para ser vendida o alquilada y necesita reformas</w:t>
      </w:r>
      <w:r>
        <w:rPr>
          <w:rFonts w:ascii="Open Sans" w:eastAsia="Open Sans" w:hAnsi="Open Sans" w:cs="Open Sans"/>
        </w:rPr>
        <w:t>, una razón mencionada por el 21% de los propietarios, siete puntos más que el año anterior. El segundo motivo más frecuente son los desacuerdos entre herederos sobre el uso de la vivienda heredada, que pasan del 14% al 18%. En tercer lugar, aparece la desconfianza hacia los inquilinos, relacionada con el temor a impagos o daños en la vivienda, que prácticamente se duplica en un año y alcanza el 14%.</w:t>
      </w:r>
    </w:p>
    <w:p w14:paraId="0E6051BD" w14:textId="77777777" w:rsidR="002C2EFB" w:rsidRDefault="002C2EFB">
      <w:pPr>
        <w:pBdr>
          <w:top w:val="nil"/>
          <w:left w:val="nil"/>
          <w:bottom w:val="nil"/>
          <w:right w:val="nil"/>
          <w:between w:val="nil"/>
        </w:pBdr>
        <w:spacing w:line="276" w:lineRule="auto"/>
        <w:jc w:val="both"/>
        <w:rPr>
          <w:rFonts w:ascii="Open Sans" w:eastAsia="Open Sans" w:hAnsi="Open Sans" w:cs="Open Sans"/>
        </w:rPr>
      </w:pPr>
    </w:p>
    <w:p w14:paraId="202C7649" w14:textId="77777777" w:rsidR="002C2EFB"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Otros factores relevantes son que la vivienda se encuentra en obras, citado por el 12% de los propietarios; que el inmueble está en venta desde hace menos de un año, con un 11%; o la previsión de que un familiar, amigo o conocido vaya a vivir próximamente en ella, aunque esta razón pierde peso y cae del 16% al 9%. Asimismo, </w:t>
      </w:r>
      <w:r>
        <w:rPr>
          <w:rFonts w:ascii="Open Sans" w:eastAsia="Open Sans" w:hAnsi="Open Sans" w:cs="Open Sans"/>
          <w:b/>
          <w:bCs/>
        </w:rPr>
        <w:t>aumentan los propietarios que consideran que en la zona donde se encuentra la vivienda no existe suficiente demanda, pasando del 4% al 8%</w:t>
      </w:r>
      <w:r>
        <w:rPr>
          <w:rFonts w:ascii="Open Sans" w:eastAsia="Open Sans" w:hAnsi="Open Sans" w:cs="Open Sans"/>
        </w:rPr>
        <w:t>, mientras que disminuye el temor a no poder recuperar el inmueble en caso de impago, que cae del 7% al 4%.</w:t>
      </w:r>
    </w:p>
    <w:p w14:paraId="64C291F4" w14:textId="77777777" w:rsidR="002C2EFB" w:rsidRDefault="002C2EFB">
      <w:pPr>
        <w:pBdr>
          <w:top w:val="nil"/>
          <w:left w:val="nil"/>
          <w:bottom w:val="nil"/>
          <w:right w:val="nil"/>
          <w:between w:val="nil"/>
        </w:pBdr>
        <w:spacing w:line="276" w:lineRule="auto"/>
        <w:jc w:val="both"/>
        <w:rPr>
          <w:rFonts w:ascii="Open Sans" w:eastAsia="Open Sans" w:hAnsi="Open Sans" w:cs="Open Sans"/>
        </w:rPr>
      </w:pPr>
    </w:p>
    <w:p w14:paraId="176629C4" w14:textId="77777777" w:rsidR="002C2EFB"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El número de propiedades en posesión también influye directamente en la probabilidad de mantener una vivienda vacía. Entre quienes solo tienen una vivienda, apenas el 1% reconoce mantenerla sin uso. Sin embargo, </w:t>
      </w:r>
      <w:r>
        <w:rPr>
          <w:rFonts w:ascii="Open Sans" w:eastAsia="Open Sans" w:hAnsi="Open Sans" w:cs="Open Sans"/>
          <w:b/>
          <w:bCs/>
        </w:rPr>
        <w:t>el porcentaje aumenta hasta el 9% entre los propietarios de dos inmuebles y se dispara hasta el 26% entre quienes poseen tres o más viviendas</w:t>
      </w:r>
      <w:r>
        <w:rPr>
          <w:rFonts w:ascii="Open Sans" w:eastAsia="Open Sans" w:hAnsi="Open Sans" w:cs="Open Sans"/>
        </w:rPr>
        <w:t>.</w:t>
      </w:r>
    </w:p>
    <w:p w14:paraId="455CFBCD" w14:textId="77777777" w:rsidR="002C2EFB" w:rsidRDefault="002C2EFB">
      <w:pPr>
        <w:pBdr>
          <w:top w:val="nil"/>
          <w:left w:val="nil"/>
          <w:bottom w:val="nil"/>
          <w:right w:val="nil"/>
          <w:between w:val="nil"/>
        </w:pBdr>
        <w:spacing w:line="276" w:lineRule="auto"/>
        <w:jc w:val="both"/>
        <w:rPr>
          <w:rFonts w:ascii="Open Sans" w:eastAsia="Open Sans" w:hAnsi="Open Sans" w:cs="Open Sans"/>
        </w:rPr>
      </w:pPr>
    </w:p>
    <w:p w14:paraId="1B34B8C6" w14:textId="77777777" w:rsidR="002C2EFB" w:rsidRDefault="00000000">
      <w:pPr>
        <w:pBdr>
          <w:top w:val="nil"/>
          <w:left w:val="nil"/>
          <w:bottom w:val="nil"/>
          <w:right w:val="nil"/>
          <w:between w:val="nil"/>
        </w:pBdr>
        <w:spacing w:line="276" w:lineRule="auto"/>
        <w:jc w:val="both"/>
        <w:rPr>
          <w:rFonts w:ascii="Open Sans" w:eastAsia="Open Sans" w:hAnsi="Open Sans" w:cs="Open Sans"/>
        </w:rPr>
      </w:pPr>
      <w:r>
        <w:rPr>
          <w:rFonts w:ascii="National" w:eastAsia="National" w:hAnsi="National" w:cs="National"/>
          <w:b/>
          <w:bCs/>
          <w:color w:val="303AB2"/>
          <w:sz w:val="32"/>
          <w:szCs w:val="32"/>
        </w:rPr>
        <w:t>Hombre de 54 años y clase media, perfil del propietario de viviendas vacías</w:t>
      </w:r>
    </w:p>
    <w:p w14:paraId="50A13A7A" w14:textId="77777777" w:rsidR="002C2EFB" w:rsidRDefault="002C2EFB">
      <w:pPr>
        <w:pBdr>
          <w:top w:val="nil"/>
          <w:left w:val="nil"/>
          <w:bottom w:val="nil"/>
          <w:right w:val="nil"/>
          <w:between w:val="nil"/>
        </w:pBdr>
        <w:spacing w:line="276" w:lineRule="auto"/>
        <w:jc w:val="both"/>
        <w:rPr>
          <w:rFonts w:ascii="Open Sans" w:eastAsia="Open Sans" w:hAnsi="Open Sans" w:cs="Open Sans"/>
        </w:rPr>
      </w:pPr>
    </w:p>
    <w:p w14:paraId="544D3D26" w14:textId="77777777" w:rsidR="002C2EFB"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El perfil del propietario de una vivienda vacía en España corresponde mayoritariamente a un hombre (representa el 58% del total), tiene entre 55 y 75 años en más de la mitad de los casos y una edad media de 54 años. Además, pertenece principalmente a la clase media, vive con su pareja e hijos y cuenta, de forma mayoritaria, con dos inmuebles en propiedad. </w:t>
      </w:r>
      <w:r>
        <w:rPr>
          <w:rFonts w:ascii="Open Sans" w:eastAsia="Open Sans" w:hAnsi="Open Sans" w:cs="Open Sans"/>
          <w:b/>
          <w:bCs/>
        </w:rPr>
        <w:t>Respecto a las preocupaciones asociadas a mantener una vivienda vacía, la ocupación se sitúa como el principal temor de los propietarios y además gana relevancia de forma significativa</w:t>
      </w:r>
      <w:r>
        <w:rPr>
          <w:rFonts w:ascii="Open Sans" w:eastAsia="Open Sans" w:hAnsi="Open Sans" w:cs="Open Sans"/>
        </w:rPr>
        <w:t>. En el primer semestre de 2026, el 55% afirma preocuparse por la posibilidad de que ocupen el inmueble, frente al 43% registrado un año antes.</w:t>
      </w:r>
    </w:p>
    <w:p w14:paraId="322FCB0C" w14:textId="77777777" w:rsidR="002C2EFB" w:rsidRDefault="002C2EFB">
      <w:pPr>
        <w:pBdr>
          <w:top w:val="nil"/>
          <w:left w:val="nil"/>
          <w:bottom w:val="nil"/>
          <w:right w:val="nil"/>
          <w:between w:val="nil"/>
        </w:pBdr>
        <w:spacing w:line="276" w:lineRule="auto"/>
        <w:jc w:val="both"/>
        <w:rPr>
          <w:rFonts w:ascii="Open Sans" w:eastAsia="Open Sans" w:hAnsi="Open Sans" w:cs="Open Sans"/>
        </w:rPr>
      </w:pPr>
    </w:p>
    <w:p w14:paraId="6E8D68F1" w14:textId="77777777" w:rsidR="002C2EFB"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Por detrás se sitúa </w:t>
      </w:r>
      <w:r>
        <w:rPr>
          <w:rFonts w:ascii="Open Sans" w:eastAsia="Open Sans" w:hAnsi="Open Sans" w:cs="Open Sans"/>
          <w:b/>
          <w:bCs/>
        </w:rPr>
        <w:t>el coste económico que supone mantener una vivienda sin rentabilidad, incluyendo seguros, impuestos o gastos de comunidad, una preocupación mencionada por el 34% de los propietarios</w:t>
      </w:r>
      <w:r>
        <w:rPr>
          <w:rFonts w:ascii="Open Sans" w:eastAsia="Open Sans" w:hAnsi="Open Sans" w:cs="Open Sans"/>
        </w:rPr>
        <w:t xml:space="preserve">, aunque pierde peso respecto al año anterior. También desciende la inquietud por el deterioro derivado del abandono de la vivienda, así como el miedo a robos o a que pequeños desperfectos se agraven por no detectarse a tiempo. En cambio, crece ligeramente la preocupación relacionada con posibles impuestos o penalizaciones </w:t>
      </w:r>
      <w:r>
        <w:rPr>
          <w:rFonts w:ascii="Open Sans" w:eastAsia="Open Sans" w:hAnsi="Open Sans" w:cs="Open Sans"/>
        </w:rPr>
        <w:lastRenderedPageBreak/>
        <w:t>específicas vinculadas a tener una vivienda vacía, pasando del 14% al 15% en el último año.</w:t>
      </w:r>
    </w:p>
    <w:p w14:paraId="41FFE0BC" w14:textId="77777777" w:rsidR="002C2EFB" w:rsidRDefault="002C2EFB">
      <w:pPr>
        <w:pBdr>
          <w:top w:val="nil"/>
          <w:left w:val="nil"/>
          <w:bottom w:val="nil"/>
          <w:right w:val="nil"/>
          <w:between w:val="nil"/>
        </w:pBdr>
        <w:spacing w:line="276" w:lineRule="auto"/>
        <w:jc w:val="both"/>
        <w:rPr>
          <w:rFonts w:ascii="Open Sans" w:eastAsia="Open Sans" w:hAnsi="Open Sans" w:cs="Open Sans"/>
        </w:rPr>
      </w:pPr>
    </w:p>
    <w:p w14:paraId="105D5774" w14:textId="77777777" w:rsidR="002C2EFB" w:rsidRDefault="002C2EFB">
      <w:pPr>
        <w:pBdr>
          <w:top w:val="nil"/>
          <w:left w:val="nil"/>
          <w:bottom w:val="nil"/>
          <w:right w:val="nil"/>
          <w:between w:val="nil"/>
        </w:pBdr>
        <w:spacing w:line="276" w:lineRule="auto"/>
        <w:ind w:right="283"/>
        <w:jc w:val="both"/>
        <w:rPr>
          <w:rFonts w:ascii="Open Sans" w:eastAsia="Open Sans" w:hAnsi="Open Sans" w:cs="Open Sans"/>
        </w:rPr>
      </w:pPr>
    </w:p>
    <w:p w14:paraId="67F0B7BC" w14:textId="77777777" w:rsidR="002C2EFB" w:rsidRDefault="00000000">
      <w:pPr>
        <w:spacing w:line="276" w:lineRule="auto"/>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w:t>
      </w:r>
    </w:p>
    <w:p w14:paraId="18C582C9" w14:textId="77777777" w:rsidR="002C2EFB"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Fotocasa es uno de los principales portales inmobiliarios de España, con una amplia oferta de viviendas de segunda mano, promociones de obra nueva y alquileres que pertenece a </w:t>
      </w:r>
      <w:r>
        <w:rPr>
          <w:rFonts w:ascii="Open Sans" w:eastAsia="Open Sans" w:hAnsi="Open Sans" w:cs="Open Sans"/>
          <w:b/>
          <w:bCs/>
          <w:sz w:val="22"/>
          <w:szCs w:val="22"/>
        </w:rPr>
        <w:t>Fotocasa Group</w:t>
      </w:r>
      <w:r>
        <w:rPr>
          <w:rFonts w:ascii="Open Sans" w:eastAsia="Open Sans" w:hAnsi="Open Sans" w:cs="Open Sans"/>
          <w:sz w:val="22"/>
          <w:szCs w:val="22"/>
        </w:rPr>
        <w:t xml:space="preserve">. </w:t>
      </w:r>
    </w:p>
    <w:p w14:paraId="6C372A8A" w14:textId="77777777" w:rsidR="002C2EFB"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Mensualmente, elabora el </w:t>
      </w:r>
      <w:hyperlink r:id="rId11">
        <w:r w:rsidR="002C2EFB">
          <w:rPr>
            <w:rFonts w:ascii="Open Sans" w:eastAsia="Open Sans" w:hAnsi="Open Sans" w:cs="Open Sans"/>
            <w:b/>
            <w:bCs/>
            <w:color w:val="0000FF"/>
            <w:sz w:val="22"/>
            <w:szCs w:val="22"/>
            <w:u w:val="single"/>
          </w:rPr>
          <w:t>Índice inmobiliario Fotocasa</w:t>
        </w:r>
      </w:hyperlink>
      <w:r>
        <w:rPr>
          <w:rFonts w:ascii="Open Sans" w:eastAsia="Open Sans" w:hAnsi="Open Sans" w:cs="Open Sans"/>
          <w:sz w:val="22"/>
          <w:szCs w:val="22"/>
        </w:rPr>
        <w:t xml:space="preserve">, un informe de referencia que analiza la evolución del precio medio de la vivienda en España, tanto en venta como en alquiler. Desde 2017, desarrolla además estudios sociológicos bajo el sello </w:t>
      </w:r>
      <w:hyperlink r:id="rId12">
        <w:r w:rsidR="002C2EFB">
          <w:rPr>
            <w:rFonts w:ascii="Open Sans" w:eastAsia="Open Sans" w:hAnsi="Open Sans" w:cs="Open Sans"/>
            <w:b/>
            <w:bCs/>
            <w:color w:val="0000FF"/>
            <w:sz w:val="22"/>
            <w:szCs w:val="22"/>
            <w:u w:val="single"/>
          </w:rPr>
          <w:t>Fotocasa Research</w:t>
        </w:r>
      </w:hyperlink>
      <w:r>
        <w:rPr>
          <w:rFonts w:ascii="Open Sans" w:eastAsia="Open Sans" w:hAnsi="Open Sans" w:cs="Open Sans"/>
          <w:sz w:val="22"/>
          <w:szCs w:val="22"/>
        </w:rPr>
        <w:t>, con el objetivo de aportar conocimiento y análisis en profundidad sobre las tendencias del mercado y el comportamiento de los ciudadanos en relación con la vivienda.</w:t>
      </w:r>
    </w:p>
    <w:p w14:paraId="1B67E1F4" w14:textId="77777777" w:rsidR="002C2EFB"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la información y los últimos comunicados están disponibles en su </w:t>
      </w:r>
      <w:hyperlink r:id="rId13">
        <w:r w:rsidR="002C2EFB">
          <w:rPr>
            <w:rFonts w:ascii="Open Sans" w:eastAsia="Open Sans" w:hAnsi="Open Sans" w:cs="Open Sans"/>
            <w:b/>
            <w:bCs/>
            <w:color w:val="0000FF"/>
            <w:sz w:val="22"/>
            <w:szCs w:val="22"/>
            <w:u w:val="single"/>
          </w:rPr>
          <w:t>Sala de Prensa</w:t>
        </w:r>
      </w:hyperlink>
    </w:p>
    <w:p w14:paraId="7B53FDD1" w14:textId="77777777" w:rsidR="002C2EFB" w:rsidRDefault="002C2EFB">
      <w:pPr>
        <w:spacing w:line="276" w:lineRule="auto"/>
        <w:rPr>
          <w:rFonts w:ascii="Open Sans Light" w:eastAsia="Open Sans Light" w:hAnsi="Open Sans Light" w:cs="Open Sans Light"/>
          <w:b/>
          <w:bCs/>
          <w:color w:val="303AB2"/>
        </w:rPr>
      </w:pPr>
    </w:p>
    <w:p w14:paraId="603D3342" w14:textId="77777777" w:rsidR="002C2EFB" w:rsidRDefault="00000000">
      <w:pPr>
        <w:spacing w:line="276" w:lineRule="auto"/>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 Group</w:t>
      </w:r>
    </w:p>
    <w:p w14:paraId="26E46064" w14:textId="77777777" w:rsidR="002C2EFB"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b/>
          <w:bCs/>
          <w:sz w:val="22"/>
          <w:szCs w:val="22"/>
        </w:rPr>
        <w:t>Fotocasa Group</w:t>
      </w:r>
      <w:r>
        <w:rPr>
          <w:rFonts w:ascii="Open Sans" w:eastAsia="Open Sans" w:hAnsi="Open Sans" w:cs="Open Sans"/>
          <w:sz w:val="22"/>
          <w:szCs w:val="22"/>
        </w:rPr>
        <w:t xml:space="preserve"> es un referente del sector inmobiliario en España, </w:t>
      </w:r>
      <w:r>
        <w:rPr>
          <w:rFonts w:ascii="Open Sans" w:eastAsia="Open Sans" w:hAnsi="Open Sans" w:cs="Open Sans"/>
          <w:b/>
          <w:bCs/>
          <w:sz w:val="22"/>
          <w:szCs w:val="22"/>
        </w:rPr>
        <w:t>con más de 25 años de experiencia</w:t>
      </w:r>
      <w:r>
        <w:rPr>
          <w:rFonts w:ascii="Open Sans" w:eastAsia="Open Sans" w:hAnsi="Open Sans" w:cs="Open Sans"/>
          <w:sz w:val="22"/>
          <w:szCs w:val="22"/>
        </w:rPr>
        <w:t> liderando la transformación del real estate a través de la innovación, los datos y la tecnología.</w:t>
      </w:r>
    </w:p>
    <w:p w14:paraId="2252A802" w14:textId="77777777" w:rsidR="002C2EFB"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Bajo su marca paraguas, Fotocasa Group impulsa y da visibilidad a un ecosistema de marcas líderes —</w:t>
      </w:r>
      <w:hyperlink r:id="rId14">
        <w:r w:rsidR="002C2EFB">
          <w:rPr>
            <w:rFonts w:ascii="Open Sans" w:eastAsia="Open Sans" w:hAnsi="Open Sans" w:cs="Open Sans"/>
            <w:b/>
            <w:bCs/>
            <w:color w:val="0000FF"/>
            <w:sz w:val="22"/>
            <w:szCs w:val="22"/>
            <w:u w:val="single"/>
          </w:rPr>
          <w:t>Fotocasa</w:t>
        </w:r>
      </w:hyperlink>
      <w:r>
        <w:rPr>
          <w:rFonts w:ascii="Open Sans" w:eastAsia="Open Sans" w:hAnsi="Open Sans" w:cs="Open Sans"/>
          <w:sz w:val="22"/>
          <w:szCs w:val="22"/>
        </w:rPr>
        <w:t xml:space="preserve">, </w:t>
      </w:r>
      <w:hyperlink r:id="rId15">
        <w:r w:rsidR="002C2EFB">
          <w:rPr>
            <w:rFonts w:ascii="Open Sans" w:eastAsia="Open Sans" w:hAnsi="Open Sans" w:cs="Open Sans"/>
            <w:b/>
            <w:bCs/>
            <w:color w:val="0000FF"/>
            <w:sz w:val="22"/>
            <w:szCs w:val="22"/>
            <w:u w:val="single"/>
          </w:rPr>
          <w:t>habitaclia</w:t>
        </w:r>
      </w:hyperlink>
      <w:r>
        <w:rPr>
          <w:rFonts w:ascii="Open Sans" w:eastAsia="Open Sans" w:hAnsi="Open Sans" w:cs="Open Sans"/>
          <w:sz w:val="22"/>
          <w:szCs w:val="22"/>
        </w:rPr>
        <w:t xml:space="preserve">, </w:t>
      </w:r>
      <w:hyperlink r:id="rId16">
        <w:r w:rsidR="002C2EFB">
          <w:rPr>
            <w:rFonts w:ascii="Open Sans" w:eastAsia="Open Sans" w:hAnsi="Open Sans" w:cs="Open Sans"/>
            <w:b/>
            <w:bCs/>
            <w:color w:val="0000FF"/>
            <w:sz w:val="22"/>
            <w:szCs w:val="22"/>
            <w:u w:val="single"/>
          </w:rPr>
          <w:t>Fotocasa Pro</w:t>
        </w:r>
      </w:hyperlink>
      <w:r>
        <w:rPr>
          <w:rFonts w:ascii="Open Sans" w:eastAsia="Open Sans" w:hAnsi="Open Sans" w:cs="Open Sans"/>
          <w:sz w:val="22"/>
          <w:szCs w:val="22"/>
        </w:rPr>
        <w:t xml:space="preserve">, </w:t>
      </w:r>
      <w:hyperlink r:id="rId17">
        <w:r w:rsidR="002C2EFB">
          <w:rPr>
            <w:rFonts w:ascii="Open Sans" w:eastAsia="Open Sans" w:hAnsi="Open Sans" w:cs="Open Sans"/>
            <w:b/>
            <w:bCs/>
            <w:color w:val="0000FF"/>
            <w:sz w:val="22"/>
            <w:szCs w:val="22"/>
            <w:u w:val="single"/>
          </w:rPr>
          <w:t>Datavenues</w:t>
        </w:r>
      </w:hyperlink>
      <w:r>
        <w:rPr>
          <w:rFonts w:ascii="Open Sans" w:eastAsia="Open Sans" w:hAnsi="Open Sans" w:cs="Open Sans"/>
          <w:sz w:val="22"/>
          <w:szCs w:val="22"/>
        </w:rPr>
        <w:t xml:space="preserve">, </w:t>
      </w:r>
      <w:hyperlink r:id="rId18">
        <w:r w:rsidR="002C2EFB">
          <w:rPr>
            <w:rFonts w:ascii="Open Sans" w:eastAsia="Open Sans" w:hAnsi="Open Sans" w:cs="Open Sans"/>
            <w:b/>
            <w:bCs/>
            <w:color w:val="0000FF"/>
            <w:sz w:val="22"/>
            <w:szCs w:val="22"/>
            <w:u w:val="single"/>
          </w:rPr>
          <w:t>Witei</w:t>
        </w:r>
      </w:hyperlink>
      <w:r>
        <w:rPr>
          <w:rFonts w:ascii="Open Sans" w:eastAsia="Open Sans" w:hAnsi="Open Sans" w:cs="Open Sans"/>
          <w:sz w:val="22"/>
          <w:szCs w:val="22"/>
        </w:rPr>
        <w:t xml:space="preserve"> e </w:t>
      </w:r>
      <w:hyperlink r:id="rId19">
        <w:r w:rsidR="002C2EFB">
          <w:rPr>
            <w:rFonts w:ascii="Open Sans" w:eastAsia="Open Sans" w:hAnsi="Open Sans" w:cs="Open Sans"/>
            <w:b/>
            <w:bCs/>
            <w:color w:val="0000FF"/>
            <w:sz w:val="22"/>
            <w:szCs w:val="22"/>
          </w:rPr>
          <w:t>Inmoweb</w:t>
        </w:r>
      </w:hyperlink>
      <w:r>
        <w:rPr>
          <w:rFonts w:ascii="Open Sans" w:eastAsia="Open Sans" w:hAnsi="Open Sans" w:cs="Open Sans"/>
          <w:sz w:val="22"/>
          <w:szCs w:val="22"/>
        </w:rPr>
        <w:t xml:space="preserve">— que ofrecen soluciones integrales tanto </w:t>
      </w:r>
      <w:r>
        <w:rPr>
          <w:rFonts w:ascii="Open Sans" w:eastAsia="Open Sans" w:hAnsi="Open Sans" w:cs="Open Sans"/>
          <w:b/>
          <w:bCs/>
          <w:sz w:val="22"/>
          <w:szCs w:val="22"/>
        </w:rPr>
        <w:t>para particulares como para profesionales del sector</w:t>
      </w:r>
      <w:r>
        <w:rPr>
          <w:rFonts w:ascii="Open Sans" w:eastAsia="Open Sans" w:hAnsi="Open Sans" w:cs="Open Sans"/>
          <w:sz w:val="22"/>
          <w:szCs w:val="22"/>
        </w:rPr>
        <w:t>.</w:t>
      </w:r>
    </w:p>
    <w:p w14:paraId="580419BC" w14:textId="77777777" w:rsidR="002C2EFB"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b/>
          <w:bCs/>
          <w:sz w:val="22"/>
          <w:szCs w:val="22"/>
        </w:rPr>
        <w:t>Fotocasa</w:t>
      </w:r>
      <w:r>
        <w:rPr>
          <w:rFonts w:ascii="Open Sans" w:eastAsia="Open Sans" w:hAnsi="Open Sans" w:cs="Open Sans"/>
          <w:sz w:val="22"/>
          <w:szCs w:val="22"/>
        </w:rPr>
        <w:t>, la marca insignia del grupo, conecta cada día a </w:t>
      </w:r>
      <w:r>
        <w:rPr>
          <w:rFonts w:ascii="Open Sans" w:eastAsia="Open Sans" w:hAnsi="Open Sans" w:cs="Open Sans"/>
          <w:b/>
          <w:bCs/>
          <w:sz w:val="22"/>
          <w:szCs w:val="22"/>
        </w:rPr>
        <w:t>millones de personas con su próximo hogar</w:t>
      </w:r>
      <w:r>
        <w:rPr>
          <w:rFonts w:ascii="Open Sans" w:eastAsia="Open Sans" w:hAnsi="Open Sans" w:cs="Open Sans"/>
          <w:sz w:val="22"/>
          <w:szCs w:val="22"/>
        </w:rPr>
        <w:t>, ofreciendo la mayor oferta de viviendas de segunda mano, obra nueva, alquiler y compraventa, junto con análisis y contenidos que la consolidan como un auténtico </w:t>
      </w:r>
      <w:r>
        <w:rPr>
          <w:rFonts w:ascii="Open Sans" w:eastAsia="Open Sans" w:hAnsi="Open Sans" w:cs="Open Sans"/>
          <w:b/>
          <w:bCs/>
          <w:sz w:val="22"/>
          <w:szCs w:val="22"/>
        </w:rPr>
        <w:t>referente del mercado inmobiliario</w:t>
      </w:r>
      <w:r>
        <w:rPr>
          <w:rFonts w:ascii="Open Sans" w:eastAsia="Open Sans" w:hAnsi="Open Sans" w:cs="Open Sans"/>
          <w:sz w:val="22"/>
          <w:szCs w:val="22"/>
        </w:rPr>
        <w:t>.</w:t>
      </w:r>
    </w:p>
    <w:p w14:paraId="305C264D" w14:textId="77777777" w:rsidR="002C2EFB" w:rsidRDefault="00000000">
      <w:pPr>
        <w:spacing w:line="276" w:lineRule="auto"/>
        <w:jc w:val="both"/>
        <w:rPr>
          <w:rFonts w:ascii="Open Sans" w:eastAsia="Open Sans" w:hAnsi="Open Sans" w:cs="Open Sans"/>
          <w:sz w:val="22"/>
          <w:szCs w:val="22"/>
        </w:rPr>
      </w:pPr>
      <w:r>
        <w:rPr>
          <w:rFonts w:ascii="Open Sans" w:eastAsia="Open Sans" w:hAnsi="Open Sans" w:cs="Open Sans"/>
          <w:b/>
          <w:bCs/>
          <w:sz w:val="22"/>
          <w:szCs w:val="22"/>
        </w:rPr>
        <w:t>Fotocasa Group forma parte de Scout24</w:t>
      </w:r>
      <w:r>
        <w:rPr>
          <w:rFonts w:ascii="Open Sans" w:eastAsia="Open Sans" w:hAnsi="Open Sans" w:cs="Open Sans"/>
          <w:sz w:val="22"/>
          <w:szCs w:val="22"/>
        </w:rPr>
        <w:t xml:space="preserve">, el grupo tecnológico alemán líder en Europa que opera </w:t>
      </w:r>
      <w:r>
        <w:rPr>
          <w:rFonts w:ascii="Open Sans" w:eastAsia="Open Sans" w:hAnsi="Open Sans" w:cs="Open Sans"/>
          <w:b/>
          <w:bCs/>
          <w:sz w:val="22"/>
          <w:szCs w:val="22"/>
        </w:rPr>
        <w:t>ImmoScout24</w:t>
      </w:r>
      <w:r>
        <w:rPr>
          <w:rFonts w:ascii="Open Sans" w:eastAsia="Open Sans" w:hAnsi="Open Sans" w:cs="Open Sans"/>
          <w:sz w:val="22"/>
          <w:szCs w:val="22"/>
        </w:rPr>
        <w:t xml:space="preserve">. </w:t>
      </w:r>
    </w:p>
    <w:p w14:paraId="5A362C1E" w14:textId="77777777" w:rsidR="002C2EFB" w:rsidRDefault="002C2EFB">
      <w:pPr>
        <w:spacing w:line="276" w:lineRule="auto"/>
        <w:jc w:val="both"/>
        <w:rPr>
          <w:rFonts w:ascii="Open Sans" w:eastAsia="Open Sans" w:hAnsi="Open Sans" w:cs="Open Sans"/>
          <w:sz w:val="22"/>
          <w:szCs w:val="22"/>
        </w:rPr>
      </w:pPr>
    </w:p>
    <w:p w14:paraId="6B475410" w14:textId="77777777" w:rsidR="002C2EFB" w:rsidRDefault="00000000">
      <w:pPr>
        <w:spacing w:line="276" w:lineRule="auto"/>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Scout24</w:t>
      </w:r>
    </w:p>
    <w:p w14:paraId="2A70C97F" w14:textId="77777777" w:rsidR="002C2EFB" w:rsidRDefault="002C2EFB">
      <w:pPr>
        <w:pBdr>
          <w:top w:val="nil"/>
          <w:left w:val="nil"/>
          <w:bottom w:val="nil"/>
          <w:right w:val="nil"/>
          <w:between w:val="nil"/>
        </w:pBdr>
        <w:spacing w:line="276" w:lineRule="auto"/>
        <w:jc w:val="both"/>
        <w:rPr>
          <w:rFonts w:ascii="Open Sans" w:eastAsia="Open Sans" w:hAnsi="Open Sans" w:cs="Open Sans"/>
          <w:sz w:val="22"/>
          <w:szCs w:val="22"/>
        </w:rPr>
      </w:pPr>
    </w:p>
    <w:p w14:paraId="43EEE554" w14:textId="77777777" w:rsidR="002C2EFB" w:rsidRDefault="00000000">
      <w:p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b/>
          <w:bCs/>
          <w:sz w:val="22"/>
          <w:szCs w:val="22"/>
        </w:rPr>
        <w:lastRenderedPageBreak/>
        <w:t>Scout24 es una de las empresas tecnológicas líderes en Alemania</w:t>
      </w:r>
      <w:r>
        <w:rPr>
          <w:rFonts w:ascii="Open Sans" w:eastAsia="Open Sans" w:hAnsi="Open Sans" w:cs="Open Sans"/>
          <w:sz w:val="22"/>
          <w:szCs w:val="22"/>
        </w:rPr>
        <w:t xml:space="preserve">. Con el marketplace </w:t>
      </w:r>
      <w:hyperlink r:id="rId20">
        <w:r w:rsidR="002C2EFB">
          <w:rPr>
            <w:rFonts w:ascii="Open Sans" w:eastAsia="Open Sans" w:hAnsi="Open Sans" w:cs="Open Sans"/>
            <w:color w:val="0000FF"/>
            <w:sz w:val="22"/>
            <w:szCs w:val="22"/>
            <w:u w:val="single"/>
          </w:rPr>
          <w:t>ImmoScout24</w:t>
        </w:r>
      </w:hyperlink>
      <w:r>
        <w:rPr>
          <w:rFonts w:ascii="Open Sans" w:eastAsia="Open Sans" w:hAnsi="Open Sans" w:cs="Open Sans"/>
          <w:sz w:val="22"/>
          <w:szCs w:val="22"/>
        </w:rPr>
        <w:t xml:space="preserve">, especializado en el sector residencial y comercial, conectamos con éxito a propietarios, agentes inmobiliarios, inquilinos y compradores desde hace más de 25 años. </w:t>
      </w:r>
    </w:p>
    <w:p w14:paraId="3EE09956" w14:textId="77777777" w:rsidR="002C2EFB" w:rsidRDefault="002C2EFB">
      <w:pPr>
        <w:pBdr>
          <w:top w:val="nil"/>
          <w:left w:val="nil"/>
          <w:bottom w:val="nil"/>
          <w:right w:val="nil"/>
          <w:between w:val="nil"/>
        </w:pBdr>
        <w:spacing w:line="276" w:lineRule="auto"/>
        <w:jc w:val="both"/>
        <w:rPr>
          <w:rFonts w:ascii="Open Sans" w:eastAsia="Open Sans" w:hAnsi="Open Sans" w:cs="Open Sans"/>
          <w:sz w:val="22"/>
          <w:szCs w:val="22"/>
        </w:rPr>
      </w:pPr>
    </w:p>
    <w:p w14:paraId="49675F91" w14:textId="77777777" w:rsidR="002C2EFB" w:rsidRDefault="00000000">
      <w:p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sz w:val="22"/>
          <w:szCs w:val="22"/>
        </w:rPr>
        <w:t xml:space="preserve">Con aproximadamente 19 millones de usuarios al mes en su web o aplicación, </w:t>
      </w:r>
      <w:r>
        <w:rPr>
          <w:rFonts w:ascii="Open Sans" w:eastAsia="Open Sans" w:hAnsi="Open Sans" w:cs="Open Sans"/>
          <w:b/>
          <w:bCs/>
          <w:sz w:val="22"/>
          <w:szCs w:val="22"/>
        </w:rPr>
        <w:t>ImmoScout24 es el líder del mercado en listados y búsqueda inmobiliaria digital</w:t>
      </w:r>
      <w:r>
        <w:rPr>
          <w:rFonts w:ascii="Open Sans" w:eastAsia="Open Sans" w:hAnsi="Open Sans" w:cs="Open Sans"/>
          <w:sz w:val="22"/>
          <w:szCs w:val="22"/>
        </w:rPr>
        <w:t>. Para digitalizar el proceso de las transacciones inmobiliarias, ImmoScout24 desarrolla continuamente nuevos productos y construye un ecosistema conectado y rico en datos para el alquiler, la compra y el sector inmobiliario comercial en Alemania y Austria. Scout24 es una sociedad anónima que cotiza en bolsa (ISIN: DE000A12DM80, Ticker: G24) y miembro del DAX, así como del DAX 50 ESG y el DAX 50 ESG+.</w:t>
      </w:r>
    </w:p>
    <w:p w14:paraId="1DCA2A06" w14:textId="77777777" w:rsidR="002C2EFB" w:rsidRDefault="002C2EFB">
      <w:pPr>
        <w:spacing w:line="276" w:lineRule="auto"/>
        <w:rPr>
          <w:rFonts w:ascii="Open Sans" w:eastAsia="Open Sans" w:hAnsi="Open Sans" w:cs="Open Sans"/>
        </w:rPr>
      </w:pPr>
    </w:p>
    <w:p w14:paraId="6FBAF4AE" w14:textId="77777777" w:rsidR="002C2EFB" w:rsidRDefault="002C2EFB">
      <w:pPr>
        <w:spacing w:line="276" w:lineRule="auto"/>
        <w:rPr>
          <w:rFonts w:ascii="Open Sans Light" w:eastAsia="Open Sans Light" w:hAnsi="Open Sans Light" w:cs="Open Sans Light"/>
          <w:b/>
          <w:bCs/>
          <w:color w:val="303AB2"/>
          <w:sz w:val="22"/>
          <w:szCs w:val="22"/>
        </w:rPr>
      </w:pPr>
    </w:p>
    <w:p w14:paraId="7249A281" w14:textId="77777777" w:rsidR="002C2EFB" w:rsidRDefault="002C2EFB">
      <w:pPr>
        <w:spacing w:line="276" w:lineRule="auto"/>
        <w:rPr>
          <w:rFonts w:ascii="Open Sans Light" w:eastAsia="Open Sans Light" w:hAnsi="Open Sans Light" w:cs="Open Sans Light"/>
          <w:b/>
          <w:bCs/>
          <w:color w:val="303AB2"/>
          <w:sz w:val="22"/>
          <w:szCs w:val="22"/>
        </w:rPr>
      </w:pPr>
    </w:p>
    <w:p w14:paraId="0DEC3344" w14:textId="77777777" w:rsidR="002C2EFB" w:rsidRDefault="00000000">
      <w:pPr>
        <w:spacing w:line="276" w:lineRule="auto"/>
        <w:rPr>
          <w:rFonts w:ascii="Open Sans Light" w:eastAsia="Open Sans Light" w:hAnsi="Open Sans Light" w:cs="Open Sans Light"/>
          <w:b/>
          <w:bCs/>
          <w:color w:val="303AB2"/>
          <w:sz w:val="22"/>
          <w:szCs w:val="22"/>
        </w:rPr>
      </w:pPr>
      <w:r>
        <w:rPr>
          <w:rFonts w:ascii="Open Sans Light" w:eastAsia="Open Sans Light" w:hAnsi="Open Sans Light" w:cs="Open Sans Light"/>
          <w:b/>
          <w:bCs/>
          <w:color w:val="303AB2"/>
          <w:sz w:val="22"/>
          <w:szCs w:val="22"/>
        </w:rPr>
        <w:t>Departamento Comunicación Fotocasa</w:t>
      </w:r>
    </w:p>
    <w:p w14:paraId="397769AE" w14:textId="77777777" w:rsidR="002C2EFB" w:rsidRDefault="00000000">
      <w:pPr>
        <w:shd w:val="clear" w:color="auto" w:fill="FFFFFF"/>
        <w:spacing w:line="276" w:lineRule="auto"/>
        <w:rPr>
          <w:rFonts w:ascii="Open Sans" w:eastAsia="Open Sans" w:hAnsi="Open Sans" w:cs="Open Sans"/>
          <w:b/>
          <w:bCs/>
          <w:color w:val="000000"/>
          <w:sz w:val="22"/>
          <w:szCs w:val="22"/>
        </w:rPr>
      </w:pPr>
      <w:r>
        <w:rPr>
          <w:rFonts w:ascii="Open Sans" w:eastAsia="Open Sans" w:hAnsi="Open Sans" w:cs="Open Sans"/>
          <w:b/>
          <w:bCs/>
          <w:color w:val="000000"/>
          <w:sz w:val="22"/>
          <w:szCs w:val="22"/>
        </w:rPr>
        <w:t>Anaïs García</w:t>
      </w:r>
    </w:p>
    <w:p w14:paraId="351E17F8" w14:textId="77777777" w:rsidR="002C2EFB" w:rsidRDefault="002C2EFB">
      <w:pPr>
        <w:shd w:val="clear" w:color="auto" w:fill="FFFFFF"/>
        <w:spacing w:line="276" w:lineRule="auto"/>
        <w:rPr>
          <w:rFonts w:ascii="Open Sans" w:eastAsia="Open Sans" w:hAnsi="Open Sans" w:cs="Open Sans"/>
          <w:color w:val="0000FF"/>
          <w:sz w:val="22"/>
          <w:szCs w:val="22"/>
          <w:u w:val="single"/>
        </w:rPr>
      </w:pPr>
      <w:hyperlink r:id="rId21">
        <w:r>
          <w:rPr>
            <w:rFonts w:ascii="Open Sans" w:eastAsia="Open Sans" w:hAnsi="Open Sans" w:cs="Open Sans"/>
            <w:color w:val="0000FF"/>
            <w:sz w:val="22"/>
            <w:szCs w:val="22"/>
            <w:u w:val="single"/>
          </w:rPr>
          <w:t>comunicacion@fotocasa.es</w:t>
        </w:r>
      </w:hyperlink>
    </w:p>
    <w:p w14:paraId="5E8A642D" w14:textId="77777777" w:rsidR="002C2EFB"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7E31FF71" w14:textId="77777777" w:rsidR="002C2EFB" w:rsidRDefault="002C2EFB">
      <w:pPr>
        <w:spacing w:line="276" w:lineRule="auto"/>
        <w:jc w:val="right"/>
        <w:rPr>
          <w:rFonts w:ascii="Open Sans" w:eastAsia="Open Sans" w:hAnsi="Open Sans" w:cs="Open Sans"/>
          <w:color w:val="000000"/>
          <w:sz w:val="22"/>
          <w:szCs w:val="22"/>
        </w:rPr>
      </w:pPr>
    </w:p>
    <w:sectPr w:rsidR="002C2EFB">
      <w:footerReference w:type="default" r:id="rId22"/>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843A29" w14:textId="77777777" w:rsidR="00DD7892" w:rsidRDefault="00DD7892">
      <w:r>
        <w:separator/>
      </w:r>
    </w:p>
  </w:endnote>
  <w:endnote w:type="continuationSeparator" w:id="0">
    <w:p w14:paraId="73BD0A16" w14:textId="77777777" w:rsidR="00DD7892" w:rsidRDefault="00DD78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66A9211-20A7-44DC-88D1-B33F8F10B79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0F7792C-586C-4B93-BFE1-1CAB45B4AE77}"/>
    <w:embedBold r:id="rId3" w:fontKey="{CC44EB8C-AA4E-4673-967D-7EC7CE4E645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06C4080F-1073-47E1-9FAC-EAABB1E1F8E5}"/>
  </w:font>
  <w:font w:name="National">
    <w:altName w:val="Calibri"/>
    <w:charset w:val="00"/>
    <w:family w:val="auto"/>
    <w:pitch w:val="default"/>
  </w:font>
  <w:font w:name="Open Sans Light">
    <w:charset w:val="00"/>
    <w:family w:val="swiss"/>
    <w:pitch w:val="variable"/>
    <w:sig w:usb0="E00002EF" w:usb1="4000205B" w:usb2="00000028" w:usb3="00000000" w:csb0="0000019F" w:csb1="00000000"/>
    <w:embedBold r:id="rId5" w:fontKey="{BB595E3A-FE25-4625-A9B4-75CD43122110}"/>
  </w:font>
  <w:font w:name="Open Sans">
    <w:charset w:val="00"/>
    <w:family w:val="swiss"/>
    <w:pitch w:val="variable"/>
    <w:sig w:usb0="E00002EF" w:usb1="4000205B" w:usb2="00000028" w:usb3="00000000" w:csb0="0000019F" w:csb1="00000000"/>
    <w:embedRegular r:id="rId6" w:fontKey="{0DC2151A-A935-427C-9B33-2DE3807728DC}"/>
    <w:embedBold r:id="rId7" w:fontKey="{8EBFB8E6-7BC0-4D46-B5F2-D4E0800538EE}"/>
  </w:font>
  <w:font w:name="Cambria">
    <w:panose1 w:val="02040503050406030204"/>
    <w:charset w:val="00"/>
    <w:family w:val="roman"/>
    <w:pitch w:val="variable"/>
    <w:sig w:usb0="E00006FF" w:usb1="420024FF" w:usb2="02000000" w:usb3="00000000" w:csb0="0000019F" w:csb1="00000000"/>
    <w:embedRegular r:id="rId8" w:fontKey="{73260736-98BD-477F-B6D5-58BB88FB91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6AC75" w14:textId="77777777" w:rsidR="002C2EFB"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32900397" wp14:editId="59E698BD">
          <wp:simplePos x="0" y="0"/>
          <wp:positionH relativeFrom="column">
            <wp:posOffset>-1068040</wp:posOffset>
          </wp:positionH>
          <wp:positionV relativeFrom="paragraph">
            <wp:posOffset>174608</wp:posOffset>
          </wp:positionV>
          <wp:extent cx="7670550" cy="451315"/>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343142" w14:textId="77777777" w:rsidR="00DD7892" w:rsidRDefault="00DD7892">
      <w:r>
        <w:separator/>
      </w:r>
    </w:p>
  </w:footnote>
  <w:footnote w:type="continuationSeparator" w:id="0">
    <w:p w14:paraId="3D236DF3" w14:textId="77777777" w:rsidR="00DD7892" w:rsidRDefault="00DD78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56122E"/>
    <w:multiLevelType w:val="multilevel"/>
    <w:tmpl w:val="998875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754684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2EFB"/>
    <w:rsid w:val="002C2EFB"/>
    <w:rsid w:val="00362B47"/>
    <w:rsid w:val="005A6E18"/>
    <w:rsid w:val="007E44C7"/>
    <w:rsid w:val="00B8161F"/>
    <w:rsid w:val="00DD7892"/>
    <w:rsid w:val="00FC0C6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163D5A"/>
  <w15:docId w15:val="{7AB519E7-F190-4E62-8391-0EFE3826E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prensa.fotocasa.es" TargetMode="External"/><Relationship Id="rId18" Type="http://schemas.openxmlformats.org/officeDocument/2006/relationships/hyperlink" Target="https://get.witei.com/en/" TargetMode="External"/><Relationship Id="rId3" Type="http://schemas.openxmlformats.org/officeDocument/2006/relationships/styles" Target="styles.xml"/><Relationship Id="rId21" Type="http://schemas.openxmlformats.org/officeDocument/2006/relationships/hyperlink" Target="mailto:comunicacion@fotocasa.es" TargetMode="External"/><Relationship Id="rId7" Type="http://schemas.openxmlformats.org/officeDocument/2006/relationships/endnotes" Target="endnotes.xml"/><Relationship Id="rId12" Type="http://schemas.openxmlformats.org/officeDocument/2006/relationships/hyperlink" Target="https://www.research.fotocasa.es" TargetMode="External"/><Relationship Id="rId17" Type="http://schemas.openxmlformats.org/officeDocument/2006/relationships/hyperlink" Target="https://datavenues.com/" TargetMode="External"/><Relationship Id="rId2" Type="http://schemas.openxmlformats.org/officeDocument/2006/relationships/numbering" Target="numbering.xml"/><Relationship Id="rId16" Type="http://schemas.openxmlformats.org/officeDocument/2006/relationships/hyperlink" Target="https://profesionales.fotocasa.es/" TargetMode="External"/><Relationship Id="rId20" Type="http://schemas.openxmlformats.org/officeDocument/2006/relationships/hyperlink" Target="https://www.immobilienscout24.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indic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habitaclia.com/" TargetMode="External"/><Relationship Id="rId23" Type="http://schemas.openxmlformats.org/officeDocument/2006/relationships/fontTable" Target="fontTable.xml"/><Relationship Id="rId10" Type="http://schemas.openxmlformats.org/officeDocument/2006/relationships/hyperlink" Target="https://www.fotocasa.es" TargetMode="External"/><Relationship Id="rId19" Type="http://schemas.openxmlformats.org/officeDocument/2006/relationships/hyperlink" Target="https://www.inmoweb.es/" TargetMode="External"/><Relationship Id="rId4" Type="http://schemas.openxmlformats.org/officeDocument/2006/relationships/settings" Target="settings.xml"/><Relationship Id="rId9" Type="http://schemas.openxmlformats.org/officeDocument/2006/relationships/hyperlink" Target="https://research.fotocasa.es/" TargetMode="External"/><Relationship Id="rId14" Type="http://schemas.openxmlformats.org/officeDocument/2006/relationships/hyperlink" Target="https://www.fotocasa.es"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TUiprP0Dhwy73Y3M0ag9G2l3nA==">CgMxLjA4AHIhMWNCOGpQTHlnNnc1VjVqN3dNb25aci05ejhsSGUxUU95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1506</Words>
  <Characters>8285</Characters>
  <Application>Microsoft Office Word</Application>
  <DocSecurity>0</DocSecurity>
  <Lines>69</Lines>
  <Paragraphs>19</Paragraphs>
  <ScaleCrop>false</ScaleCrop>
  <Company/>
  <LinksUpToDate>false</LinksUpToDate>
  <CharactersWithSpaces>9772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Anais Garcia Lopez</cp:lastModifiedBy>
  <cp:revision>3</cp:revision>
  <dcterms:created xsi:type="dcterms:W3CDTF">2026-05-12T14:18:00Z</dcterms:created>
  <dcterms:modified xsi:type="dcterms:W3CDTF">2026-05-12T14:34:00Z</dcterms:modified>
</cp:coreProperties>
</file>