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8CFD6E" w14:textId="5D73918D" w:rsidR="00D23A6D" w:rsidRPr="00BA5916" w:rsidRDefault="008B44FA">
      <w:pPr>
        <w:rPr>
          <w:lang w:val="es-ES"/>
        </w:rPr>
      </w:pPr>
      <w:r w:rsidRPr="00BA5916">
        <w:rPr>
          <w:noProof/>
          <w:lang w:val="es-ES"/>
        </w:rPr>
        <w:drawing>
          <wp:anchor distT="0" distB="0" distL="114300" distR="114300" simplePos="0" relativeHeight="251658240" behindDoc="0" locked="0" layoutInCell="1" hidden="0" allowOverlap="1" wp14:anchorId="13C5D7E7" wp14:editId="5CB7182D">
            <wp:simplePos x="0" y="0"/>
            <wp:positionH relativeFrom="page">
              <wp:align>left</wp:align>
            </wp:positionH>
            <wp:positionV relativeFrom="paragraph">
              <wp:posOffset>-821690</wp:posOffset>
            </wp:positionV>
            <wp:extent cx="7581265" cy="1019175"/>
            <wp:effectExtent l="0" t="0" r="635" b="9525"/>
            <wp:wrapNone/>
            <wp:docPr id="20668166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E346BF" w14:textId="77777777" w:rsidR="00D23A6D" w:rsidRPr="00BA5916" w:rsidRDefault="00D23A6D">
      <w:pPr>
        <w:jc w:val="right"/>
        <w:rPr>
          <w:rFonts w:ascii="National" w:eastAsia="National" w:hAnsi="National" w:cs="National"/>
          <w:color w:val="303AB2"/>
          <w:sz w:val="36"/>
          <w:szCs w:val="36"/>
          <w:lang w:val="es-ES"/>
        </w:rPr>
      </w:pPr>
    </w:p>
    <w:p w14:paraId="571DC26F" w14:textId="77777777" w:rsidR="00D23A6D" w:rsidRPr="00BA5916" w:rsidRDefault="00D23A6D">
      <w:pPr>
        <w:rPr>
          <w:rFonts w:ascii="National" w:eastAsia="National" w:hAnsi="National" w:cs="National"/>
          <w:color w:val="303AB2"/>
          <w:sz w:val="18"/>
          <w:szCs w:val="18"/>
          <w:lang w:val="es-ES"/>
        </w:rPr>
      </w:pPr>
    </w:p>
    <w:p w14:paraId="63936624" w14:textId="77777777" w:rsidR="00F30DA2" w:rsidRDefault="00F30DA2" w:rsidP="00F30DA2">
      <w:pPr>
        <w:jc w:val="center"/>
        <w:rPr>
          <w:rFonts w:ascii="National" w:eastAsia="National" w:hAnsi="National" w:cs="National"/>
          <w:b/>
          <w:color w:val="1DBDC5"/>
          <w:sz w:val="34"/>
          <w:szCs w:val="34"/>
        </w:rPr>
      </w:pPr>
      <w:r>
        <w:rPr>
          <w:rFonts w:ascii="National" w:eastAsia="National" w:hAnsi="National" w:cs="National"/>
          <w:b/>
          <w:color w:val="1DBDC5"/>
          <w:sz w:val="34"/>
          <w:szCs w:val="34"/>
        </w:rPr>
        <w:t>ÍNDICE DE NEGOCIACIÓN FOTOCASA</w:t>
      </w:r>
    </w:p>
    <w:p w14:paraId="36549777" w14:textId="5C32B59D" w:rsidR="00E22BF1" w:rsidRDefault="00E22BF1">
      <w:pPr>
        <w:jc w:val="center"/>
        <w:rPr>
          <w:rFonts w:ascii="National" w:eastAsia="National" w:hAnsi="National" w:cs="National"/>
          <w:b/>
          <w:color w:val="303AB2"/>
          <w:sz w:val="46"/>
          <w:szCs w:val="46"/>
          <w:lang w:val="es-ES"/>
        </w:rPr>
      </w:pPr>
      <w:r w:rsidRPr="00E22BF1">
        <w:rPr>
          <w:rFonts w:ascii="National" w:eastAsia="National" w:hAnsi="National" w:cs="National"/>
          <w:b/>
          <w:color w:val="303AB2"/>
          <w:sz w:val="46"/>
          <w:szCs w:val="46"/>
          <w:lang w:val="es-ES"/>
        </w:rPr>
        <w:t>Palma, Alicante y Valencia son las ciudades españolas con más margen para negociar el precio de la vivienda</w:t>
      </w:r>
    </w:p>
    <w:p w14:paraId="3C781BA6" w14:textId="77777777" w:rsidR="00E22BF1" w:rsidRPr="00BA5916" w:rsidRDefault="00E22BF1">
      <w:pPr>
        <w:jc w:val="center"/>
        <w:rPr>
          <w:rFonts w:ascii="Open Sans" w:eastAsia="Open Sans" w:hAnsi="Open Sans" w:cs="Open Sans"/>
          <w:color w:val="303AB2"/>
          <w:lang w:val="es-ES"/>
        </w:rPr>
      </w:pPr>
    </w:p>
    <w:p w14:paraId="25C8A1EC" w14:textId="3BDAAE2D" w:rsidR="00E22BF1" w:rsidRPr="00E22BF1" w:rsidRDefault="00E22BF1" w:rsidP="00E22BF1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  <w:lang w:val="es-ES"/>
        </w:rPr>
      </w:pPr>
      <w:r w:rsidRPr="003E453A">
        <w:rPr>
          <w:rFonts w:ascii="Open Sans Light" w:eastAsia="Open Sans Light" w:hAnsi="Open Sans Light" w:cs="Open Sans Light"/>
          <w:b/>
          <w:color w:val="303AB2"/>
          <w:lang w:val="es-ES"/>
        </w:rPr>
        <w:t xml:space="preserve">El portal inmobiliario </w:t>
      </w:r>
      <w:r>
        <w:rPr>
          <w:rFonts w:ascii="Open Sans Light" w:eastAsia="Open Sans Light" w:hAnsi="Open Sans Light" w:cs="Open Sans Light"/>
          <w:b/>
          <w:color w:val="303AB2"/>
          <w:lang w:val="es-ES"/>
        </w:rPr>
        <w:t>publica una nueva entrega d</w:t>
      </w:r>
      <w:r w:rsidRPr="003E453A">
        <w:rPr>
          <w:rFonts w:ascii="Open Sans Light" w:eastAsia="Open Sans Light" w:hAnsi="Open Sans Light" w:cs="Open Sans Light"/>
          <w:b/>
          <w:color w:val="303AB2"/>
          <w:lang w:val="es-ES"/>
        </w:rPr>
        <w:t>el “</w:t>
      </w:r>
      <w:r w:rsidRPr="00E22BF1">
        <w:rPr>
          <w:rFonts w:ascii="Open Sans Light" w:eastAsia="Open Sans Light" w:hAnsi="Open Sans Light" w:cs="Open Sans Light"/>
          <w:b/>
          <w:i/>
          <w:iCs/>
          <w:color w:val="303AB2"/>
          <w:lang w:val="es-ES"/>
        </w:rPr>
        <w:t>Índice de Negociación Fotocasa</w:t>
      </w:r>
      <w:r w:rsidRPr="003E453A">
        <w:rPr>
          <w:rFonts w:ascii="Open Sans Light" w:eastAsia="Open Sans Light" w:hAnsi="Open Sans Light" w:cs="Open Sans Light"/>
          <w:b/>
          <w:color w:val="303AB2"/>
          <w:lang w:val="es-ES"/>
        </w:rPr>
        <w:t xml:space="preserve">”, que detalla la diferencia entre el precio ofertado y lo que realmente quiere la demanda, gracias a la herramienta de datos </w:t>
      </w:r>
      <w:proofErr w:type="spellStart"/>
      <w:r w:rsidRPr="003E453A">
        <w:rPr>
          <w:rFonts w:ascii="Open Sans Light" w:eastAsia="Open Sans Light" w:hAnsi="Open Sans Light" w:cs="Open Sans Light"/>
          <w:b/>
          <w:color w:val="303AB2"/>
          <w:lang w:val="es-ES"/>
        </w:rPr>
        <w:t>DataVenues</w:t>
      </w:r>
      <w:proofErr w:type="spellEnd"/>
      <w:r w:rsidRPr="003E453A">
        <w:rPr>
          <w:rFonts w:ascii="Open Sans Light" w:eastAsia="Open Sans Light" w:hAnsi="Open Sans Light" w:cs="Open Sans Light"/>
          <w:b/>
          <w:color w:val="303AB2"/>
          <w:lang w:val="es-ES"/>
        </w:rPr>
        <w:t>, especializada en el análisis Big Data del sector inmobiliario</w:t>
      </w:r>
    </w:p>
    <w:p w14:paraId="000F17E9" w14:textId="67D30736" w:rsidR="00680931" w:rsidRPr="00680931" w:rsidRDefault="00680931" w:rsidP="00680931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  <w:lang w:val="es-ES"/>
        </w:rPr>
      </w:pPr>
      <w:r w:rsidRPr="00680931">
        <w:rPr>
          <w:rFonts w:ascii="Open Sans Light" w:eastAsia="Open Sans Light" w:hAnsi="Open Sans Light" w:cs="Open Sans Light"/>
          <w:b/>
          <w:color w:val="303AB2"/>
          <w:lang w:val="es-ES"/>
        </w:rPr>
        <w:t xml:space="preserve">Palma encabeza el </w:t>
      </w:r>
      <w:r w:rsidR="008B552E" w:rsidRPr="00E22BF1">
        <w:rPr>
          <w:rFonts w:ascii="Open Sans Light" w:eastAsia="Open Sans Light" w:hAnsi="Open Sans Light" w:cs="Open Sans Light"/>
          <w:b/>
          <w:i/>
          <w:iCs/>
          <w:color w:val="303AB2"/>
          <w:lang w:val="es-ES"/>
        </w:rPr>
        <w:t>“</w:t>
      </w:r>
      <w:r w:rsidRPr="00E22BF1">
        <w:rPr>
          <w:rFonts w:ascii="Open Sans Light" w:eastAsia="Open Sans Light" w:hAnsi="Open Sans Light" w:cs="Open Sans Light"/>
          <w:b/>
          <w:i/>
          <w:iCs/>
          <w:color w:val="303AB2"/>
          <w:lang w:val="es-ES"/>
        </w:rPr>
        <w:t>Índice de Negociación Fotocasa</w:t>
      </w:r>
      <w:r w:rsidR="008B552E">
        <w:rPr>
          <w:rFonts w:ascii="Open Sans Light" w:eastAsia="Open Sans Light" w:hAnsi="Open Sans Light" w:cs="Open Sans Light"/>
          <w:b/>
          <w:color w:val="303AB2"/>
          <w:lang w:val="es-ES"/>
        </w:rPr>
        <w:t>”</w:t>
      </w:r>
      <w:r w:rsidRPr="00680931">
        <w:rPr>
          <w:rFonts w:ascii="Open Sans Light" w:eastAsia="Open Sans Light" w:hAnsi="Open Sans Light" w:cs="Open Sans Light"/>
          <w:b/>
          <w:color w:val="303AB2"/>
          <w:lang w:val="es-ES"/>
        </w:rPr>
        <w:t xml:space="preserve"> con una diferencia del 16% entre los precios ofertados y los demandados, seguida de Alicante (13%) y Valencia (12%)</w:t>
      </w:r>
    </w:p>
    <w:p w14:paraId="42C2D6D8" w14:textId="5E150123" w:rsidR="00680931" w:rsidRPr="003E453A" w:rsidRDefault="00680931" w:rsidP="00680931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  <w:lang w:val="es-ES"/>
        </w:rPr>
      </w:pPr>
      <w:r w:rsidRPr="00680931">
        <w:rPr>
          <w:rFonts w:ascii="Open Sans Light" w:eastAsia="Open Sans Light" w:hAnsi="Open Sans Light" w:cs="Open Sans Light"/>
          <w:b/>
          <w:color w:val="303AB2"/>
          <w:lang w:val="es-ES"/>
        </w:rPr>
        <w:t>En el extremo contrario, San Sebastián (1%), Zamora (2%), Cádiz (3%), Huelva (3%) y Soria (3%) presentan las menores diferencias entre oferta y demanda</w:t>
      </w:r>
    </w:p>
    <w:p w14:paraId="29F3F959" w14:textId="77777777" w:rsidR="003E453A" w:rsidRPr="003E453A" w:rsidRDefault="003E453A" w:rsidP="00E22BF1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  <w:lang w:val="es-ES"/>
        </w:rPr>
      </w:pPr>
    </w:p>
    <w:p w14:paraId="418EFDA0" w14:textId="4291F6E6" w:rsidR="00D23A6D" w:rsidRPr="00BA5916" w:rsidRDefault="008B44FA" w:rsidP="00B330EF">
      <w:pPr>
        <w:pBdr>
          <w:top w:val="nil"/>
          <w:left w:val="nil"/>
          <w:bottom w:val="nil"/>
          <w:right w:val="nil"/>
          <w:between w:val="nil"/>
        </w:pBdr>
        <w:tabs>
          <w:tab w:val="left" w:pos="6589"/>
        </w:tabs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  <w:lang w:val="es-ES"/>
        </w:rPr>
      </w:pPr>
      <w:r w:rsidRPr="00BA5916">
        <w:rPr>
          <w:rFonts w:ascii="Open Sans Light" w:eastAsia="Open Sans Light" w:hAnsi="Open Sans Light" w:cs="Open Sans Light"/>
          <w:b/>
          <w:color w:val="303AB2"/>
          <w:lang w:val="es-ES"/>
        </w:rPr>
        <w:t>Madrid,</w:t>
      </w:r>
      <w:r w:rsidR="005D2D1A" w:rsidRPr="00BA5916">
        <w:rPr>
          <w:rFonts w:ascii="Open Sans Light" w:eastAsia="Open Sans Light" w:hAnsi="Open Sans Light" w:cs="Open Sans Light"/>
          <w:b/>
          <w:color w:val="303AB2"/>
          <w:lang w:val="es-ES"/>
        </w:rPr>
        <w:t xml:space="preserve"> </w:t>
      </w:r>
      <w:r w:rsidR="000A28DA">
        <w:rPr>
          <w:rFonts w:ascii="Open Sans Light" w:eastAsia="Open Sans Light" w:hAnsi="Open Sans Light" w:cs="Open Sans Light"/>
          <w:b/>
          <w:color w:val="303AB2"/>
          <w:lang w:val="es-ES"/>
        </w:rPr>
        <w:t>17</w:t>
      </w:r>
      <w:r w:rsidRPr="00BA5916">
        <w:rPr>
          <w:rFonts w:ascii="Open Sans Light" w:eastAsia="Open Sans Light" w:hAnsi="Open Sans Light" w:cs="Open Sans Light"/>
          <w:b/>
          <w:color w:val="303AB2"/>
          <w:lang w:val="es-ES"/>
        </w:rPr>
        <w:t xml:space="preserve"> de </w:t>
      </w:r>
      <w:r w:rsidR="000A28DA">
        <w:rPr>
          <w:rFonts w:ascii="Open Sans Light" w:eastAsia="Open Sans Light" w:hAnsi="Open Sans Light" w:cs="Open Sans Light"/>
          <w:b/>
          <w:color w:val="303AB2"/>
          <w:lang w:val="es-ES"/>
        </w:rPr>
        <w:t>junio</w:t>
      </w:r>
      <w:r w:rsidRPr="00BA5916">
        <w:rPr>
          <w:rFonts w:ascii="Open Sans Light" w:eastAsia="Open Sans Light" w:hAnsi="Open Sans Light" w:cs="Open Sans Light"/>
          <w:b/>
          <w:color w:val="303AB2"/>
          <w:lang w:val="es-ES"/>
        </w:rPr>
        <w:t xml:space="preserve"> de 202</w:t>
      </w:r>
      <w:r w:rsidR="000A28DA">
        <w:rPr>
          <w:rFonts w:ascii="Open Sans Light" w:eastAsia="Open Sans Light" w:hAnsi="Open Sans Light" w:cs="Open Sans Light"/>
          <w:b/>
          <w:color w:val="303AB2"/>
          <w:lang w:val="es-ES"/>
        </w:rPr>
        <w:t>6</w:t>
      </w:r>
      <w:r w:rsidR="00B330EF" w:rsidRPr="00BA5916">
        <w:rPr>
          <w:rFonts w:ascii="Open Sans Light" w:eastAsia="Open Sans Light" w:hAnsi="Open Sans Light" w:cs="Open Sans Light"/>
          <w:b/>
          <w:color w:val="303AB2"/>
          <w:lang w:val="es-ES"/>
        </w:rPr>
        <w:tab/>
      </w:r>
    </w:p>
    <w:p w14:paraId="316CDCAF" w14:textId="77777777" w:rsidR="00B330EF" w:rsidRPr="00BA5916" w:rsidRDefault="00B330EF" w:rsidP="00B330EF">
      <w:pPr>
        <w:pBdr>
          <w:top w:val="nil"/>
          <w:left w:val="nil"/>
          <w:bottom w:val="nil"/>
          <w:right w:val="nil"/>
          <w:between w:val="nil"/>
        </w:pBdr>
        <w:tabs>
          <w:tab w:val="left" w:pos="6589"/>
        </w:tabs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  <w:lang w:val="es-ES"/>
        </w:rPr>
      </w:pPr>
    </w:p>
    <w:p w14:paraId="60AE11BE" w14:textId="77777777" w:rsidR="00E22BF1" w:rsidRDefault="008163FC" w:rsidP="008163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  <w:r w:rsidRPr="008163FC">
        <w:rPr>
          <w:rFonts w:ascii="Open Sans" w:eastAsia="Open Sans" w:hAnsi="Open Sans" w:cs="Open Sans"/>
          <w:lang w:val="es-ES"/>
        </w:rPr>
        <w:t xml:space="preserve">Las ciudades de Palma (16%), Alicante (13%) y Valencia (12%) son las capitales de provincia españolas con una mayor diferencia entre los precios de oferta y de demanda de vivienda en propiedad, </w:t>
      </w:r>
      <w:r w:rsidRPr="00F42CA7">
        <w:rPr>
          <w:rFonts w:ascii="Open Sans" w:eastAsia="Open Sans" w:hAnsi="Open Sans" w:cs="Open Sans"/>
          <w:b/>
          <w:bCs/>
          <w:lang w:val="es-ES"/>
        </w:rPr>
        <w:t>según los datos del “</w:t>
      </w:r>
      <w:r w:rsidRPr="00E22BF1">
        <w:rPr>
          <w:rFonts w:ascii="Open Sans" w:eastAsia="Open Sans" w:hAnsi="Open Sans" w:cs="Open Sans"/>
          <w:b/>
          <w:bCs/>
          <w:i/>
          <w:iCs/>
          <w:lang w:val="es-ES"/>
        </w:rPr>
        <w:t xml:space="preserve">Índice de Negociación </w:t>
      </w:r>
      <w:hyperlink r:id="rId10" w:history="1">
        <w:r w:rsidRPr="00E22BF1">
          <w:rPr>
            <w:rStyle w:val="Hipervnculo"/>
            <w:rFonts w:ascii="Open Sans" w:eastAsia="Open Sans" w:hAnsi="Open Sans" w:cs="Open Sans"/>
            <w:b/>
            <w:bCs/>
            <w:i/>
            <w:iCs/>
            <w:lang w:val="es-ES"/>
          </w:rPr>
          <w:t>Fotocasa</w:t>
        </w:r>
      </w:hyperlink>
      <w:r w:rsidRPr="00F42CA7">
        <w:rPr>
          <w:rFonts w:ascii="Open Sans" w:eastAsia="Open Sans" w:hAnsi="Open Sans" w:cs="Open Sans"/>
          <w:b/>
          <w:bCs/>
          <w:lang w:val="es-ES"/>
        </w:rPr>
        <w:t>”, basado en cifras del primer semestre de 2026</w:t>
      </w:r>
      <w:r w:rsidRPr="008163FC">
        <w:rPr>
          <w:rFonts w:ascii="Open Sans" w:eastAsia="Open Sans" w:hAnsi="Open Sans" w:cs="Open Sans"/>
          <w:lang w:val="es-ES"/>
        </w:rPr>
        <w:t xml:space="preserve">. Esto </w:t>
      </w:r>
      <w:r w:rsidR="00F42CA7">
        <w:rPr>
          <w:rFonts w:ascii="Open Sans" w:eastAsia="Open Sans" w:hAnsi="Open Sans" w:cs="Open Sans"/>
          <w:lang w:val="es-ES"/>
        </w:rPr>
        <w:t>significa</w:t>
      </w:r>
      <w:r w:rsidRPr="008163FC">
        <w:rPr>
          <w:rFonts w:ascii="Open Sans" w:eastAsia="Open Sans" w:hAnsi="Open Sans" w:cs="Open Sans"/>
          <w:lang w:val="es-ES"/>
        </w:rPr>
        <w:t xml:space="preserve"> que en estas capitales de provincia es donde </w:t>
      </w:r>
      <w:r w:rsidRPr="00E22BF1">
        <w:rPr>
          <w:rFonts w:ascii="Open Sans" w:eastAsia="Open Sans" w:hAnsi="Open Sans" w:cs="Open Sans"/>
          <w:b/>
          <w:bCs/>
          <w:lang w:val="es-ES"/>
        </w:rPr>
        <w:t>existe una mayor distancia entre el precio ofertado y el precio que la demanda está buscando</w:t>
      </w:r>
      <w:r w:rsidRPr="008163FC">
        <w:rPr>
          <w:rFonts w:ascii="Open Sans" w:eastAsia="Open Sans" w:hAnsi="Open Sans" w:cs="Open Sans"/>
          <w:lang w:val="es-ES"/>
        </w:rPr>
        <w:t xml:space="preserve"> y es, por tanto, donde existiría más margen para poder negociar el precio de la vivienda de compra.</w:t>
      </w:r>
      <w:r w:rsidR="00F42CA7">
        <w:rPr>
          <w:rFonts w:ascii="Open Sans" w:eastAsia="Open Sans" w:hAnsi="Open Sans" w:cs="Open Sans"/>
          <w:lang w:val="es-ES"/>
        </w:rPr>
        <w:t xml:space="preserve"> </w:t>
      </w:r>
    </w:p>
    <w:p w14:paraId="13FEC5C2" w14:textId="77777777" w:rsidR="00E22BF1" w:rsidRDefault="00E22BF1" w:rsidP="008163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</w:p>
    <w:p w14:paraId="26FA4512" w14:textId="3ADEE4DD" w:rsidR="008163FC" w:rsidRDefault="008163FC" w:rsidP="008163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  <w:r w:rsidRPr="008163FC">
        <w:rPr>
          <w:rFonts w:ascii="Open Sans" w:eastAsia="Open Sans" w:hAnsi="Open Sans" w:cs="Open Sans"/>
          <w:lang w:val="es-ES"/>
        </w:rPr>
        <w:t>Por el contrario, en ciudades como San Sebastián (1%), Zamora (2%), Cádiz (3%), Huelva (3%) o Soria (3%) es donde menor margen de negociación se puede esperar, ya que los precios de oferta y los precios que la demanda está dispuesta a pagar son más similares. Estas son las principales conclusiones de una nueva edición del “</w:t>
      </w:r>
      <w:r w:rsidRPr="00E22BF1">
        <w:rPr>
          <w:rFonts w:ascii="Open Sans" w:eastAsia="Open Sans" w:hAnsi="Open Sans" w:cs="Open Sans"/>
          <w:b/>
          <w:bCs/>
          <w:i/>
          <w:iCs/>
          <w:lang w:val="es-ES"/>
        </w:rPr>
        <w:t>Índice de Negociación Fotocasa</w:t>
      </w:r>
      <w:r w:rsidRPr="008163FC">
        <w:rPr>
          <w:rFonts w:ascii="Open Sans" w:eastAsia="Open Sans" w:hAnsi="Open Sans" w:cs="Open Sans"/>
          <w:lang w:val="es-ES"/>
        </w:rPr>
        <w:t xml:space="preserve">” que el portal inmobiliario difunde semestralmente y que ha desarrollado gracias a la herramienta de datos </w:t>
      </w:r>
      <w:hyperlink r:id="rId11" w:history="1">
        <w:proofErr w:type="spellStart"/>
        <w:r w:rsidRPr="00E22BF1">
          <w:rPr>
            <w:rStyle w:val="Hipervnculo"/>
            <w:rFonts w:ascii="Open Sans" w:eastAsia="Open Sans" w:hAnsi="Open Sans" w:cs="Open Sans"/>
            <w:lang w:val="es-ES"/>
          </w:rPr>
          <w:t>DataVenues</w:t>
        </w:r>
        <w:proofErr w:type="spellEnd"/>
      </w:hyperlink>
      <w:r w:rsidRPr="008163FC">
        <w:rPr>
          <w:rFonts w:ascii="Open Sans" w:eastAsia="Open Sans" w:hAnsi="Open Sans" w:cs="Open Sans"/>
          <w:lang w:val="es-ES"/>
        </w:rPr>
        <w:t>, diseñada para aplicar el análisis Big Data al mercado inmobiliario.</w:t>
      </w:r>
    </w:p>
    <w:p w14:paraId="1D8D9FCE" w14:textId="77777777" w:rsidR="002249E9" w:rsidRDefault="002249E9" w:rsidP="004A57D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la-Latn"/>
        </w:rPr>
      </w:pPr>
    </w:p>
    <w:p w14:paraId="701841BF" w14:textId="77777777" w:rsidR="006E2D0B" w:rsidRPr="003746BD" w:rsidRDefault="006E2D0B" w:rsidP="006E2D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National" w:eastAsia="National" w:hAnsi="National" w:cs="National"/>
          <w:b/>
          <w:color w:val="303AB2"/>
          <w:sz w:val="28"/>
          <w:szCs w:val="28"/>
          <w:lang w:val="es-ES"/>
        </w:rPr>
      </w:pPr>
      <w:r w:rsidRPr="003746BD">
        <w:rPr>
          <w:rFonts w:ascii="National" w:eastAsia="National" w:hAnsi="National" w:cs="National"/>
          <w:b/>
          <w:color w:val="303AB2"/>
          <w:sz w:val="28"/>
          <w:szCs w:val="28"/>
          <w:lang w:val="es-ES"/>
        </w:rPr>
        <w:lastRenderedPageBreak/>
        <w:t>Capitales de provincia de mayor a menor posibilidad de negociación</w:t>
      </w:r>
    </w:p>
    <w:p w14:paraId="6D9F3F6F" w14:textId="77777777" w:rsidR="006E2D0B" w:rsidRDefault="006E2D0B" w:rsidP="006E2D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</w:p>
    <w:p w14:paraId="115179B1" w14:textId="77777777" w:rsidR="006E2D0B" w:rsidRPr="00D753F3" w:rsidRDefault="006E2D0B" w:rsidP="006E2D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right"/>
        <w:rPr>
          <w:rFonts w:ascii="Open Sans" w:eastAsia="Open Sans" w:hAnsi="Open Sans" w:cs="Open Sans"/>
          <w:lang w:val="es-ES"/>
        </w:rPr>
      </w:pPr>
      <w:r>
        <w:rPr>
          <w:noProof/>
        </w:rPr>
        <w:drawing>
          <wp:inline distT="0" distB="0" distL="0" distR="0" wp14:anchorId="24883918" wp14:editId="7574F33E">
            <wp:extent cx="6603365" cy="3450566"/>
            <wp:effectExtent l="0" t="0" r="6985" b="0"/>
            <wp:docPr id="213319092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5FC78993-829E-0029-785D-EA5571AC0DD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06E2EC1" w14:textId="710C328C" w:rsidR="00820C46" w:rsidRDefault="00820C46" w:rsidP="00820C4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la-Latn"/>
        </w:rPr>
      </w:pPr>
      <w:r w:rsidRPr="00820C46">
        <w:rPr>
          <w:rFonts w:ascii="Open Sans" w:eastAsia="Open Sans" w:hAnsi="Open Sans" w:cs="Open Sans"/>
          <w:lang w:val="la-Latn"/>
        </w:rPr>
        <w:t xml:space="preserve">Tras los casos mencionados de Palma, Alicante y Valencia, </w:t>
      </w:r>
      <w:r w:rsidRPr="003E2371">
        <w:rPr>
          <w:rFonts w:ascii="Open Sans" w:eastAsia="Open Sans" w:hAnsi="Open Sans" w:cs="Open Sans"/>
          <w:b/>
          <w:bCs/>
          <w:lang w:val="la-Latn"/>
        </w:rPr>
        <w:t>otras ciudades españolas registran elevadas diferencias entre los precios de demanda y de oferta de vivienda de compraventa</w:t>
      </w:r>
      <w:r w:rsidRPr="00820C46">
        <w:rPr>
          <w:rFonts w:ascii="Open Sans" w:eastAsia="Open Sans" w:hAnsi="Open Sans" w:cs="Open Sans"/>
          <w:lang w:val="la-Latn"/>
        </w:rPr>
        <w:t xml:space="preserve">. Se trata de Las Palmas de Gran Canaria (11%), Castellón de la Plana (11%), </w:t>
      </w:r>
      <w:r w:rsidR="00E5714C">
        <w:rPr>
          <w:rFonts w:ascii="Open Sans" w:eastAsia="Open Sans" w:hAnsi="Open Sans" w:cs="Open Sans"/>
          <w:lang w:val="la-Latn"/>
        </w:rPr>
        <w:t xml:space="preserve">y </w:t>
      </w:r>
      <w:r w:rsidRPr="00820C46">
        <w:rPr>
          <w:rFonts w:ascii="Open Sans" w:eastAsia="Open Sans" w:hAnsi="Open Sans" w:cs="Open Sans"/>
          <w:lang w:val="la-Latn"/>
        </w:rPr>
        <w:t>Palencia (10%)</w:t>
      </w:r>
      <w:r w:rsidR="00E5714C">
        <w:rPr>
          <w:rFonts w:ascii="Open Sans" w:eastAsia="Open Sans" w:hAnsi="Open Sans" w:cs="Open Sans"/>
          <w:lang w:val="la-Latn"/>
        </w:rPr>
        <w:t xml:space="preserve">, </w:t>
      </w:r>
      <w:r w:rsidRPr="00820C46">
        <w:rPr>
          <w:rFonts w:ascii="Open Sans" w:eastAsia="Open Sans" w:hAnsi="Open Sans" w:cs="Open Sans"/>
          <w:lang w:val="la-Latn"/>
        </w:rPr>
        <w:t>así como Málaga (9%), Granada (9%) y Ciudad Real (9%). También destacan Vitoria, Tarragona, Murcia, Jaén, Cuenca y Badajoz, todas ellas con una diferencia del 8%.</w:t>
      </w:r>
    </w:p>
    <w:p w14:paraId="51DA0995" w14:textId="77777777" w:rsidR="00E22BF1" w:rsidRDefault="00E22BF1" w:rsidP="00820C4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la-Latn"/>
        </w:rPr>
      </w:pPr>
    </w:p>
    <w:p w14:paraId="233E289D" w14:textId="54172961" w:rsidR="00E22BF1" w:rsidRDefault="00E22BF1" w:rsidP="00820C4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la-Latn"/>
        </w:rPr>
      </w:pPr>
      <w:r w:rsidRPr="00E22BF1">
        <w:rPr>
          <w:rFonts w:ascii="Open Sans" w:eastAsia="Open Sans" w:hAnsi="Open Sans" w:cs="Open Sans"/>
        </w:rPr>
        <w:t xml:space="preserve">"El </w:t>
      </w:r>
      <w:r w:rsidRPr="00E22BF1">
        <w:rPr>
          <w:rFonts w:ascii="Open Sans" w:eastAsia="Open Sans" w:hAnsi="Open Sans" w:cs="Open Sans"/>
          <w:i/>
          <w:iCs/>
        </w:rPr>
        <w:t>Índice de Negociación Fotocasa</w:t>
      </w:r>
      <w:r w:rsidRPr="00E22BF1">
        <w:rPr>
          <w:rFonts w:ascii="Open Sans" w:eastAsia="Open Sans" w:hAnsi="Open Sans" w:cs="Open Sans"/>
        </w:rPr>
        <w:t xml:space="preserve"> nos permite trazar semestralmente una radiografía muy clara de dónde confluyen las posturas de oferta y demanda y dónde se distancian.</w:t>
      </w:r>
      <w:r>
        <w:rPr>
          <w:rFonts w:ascii="Open Sans" w:eastAsia="Open Sans" w:hAnsi="Open Sans" w:cs="Open Sans"/>
        </w:rPr>
        <w:t xml:space="preserve"> Los datos de esta edición muestran </w:t>
      </w:r>
      <w:r w:rsidRPr="00E22BF1">
        <w:rPr>
          <w:rFonts w:ascii="Open Sans" w:eastAsia="Open Sans" w:hAnsi="Open Sans" w:cs="Open Sans"/>
        </w:rPr>
        <w:t xml:space="preserve">que el arco mediterráneo y las islas concentran las mayores distancias entre las expectativas de propietarios y compradores, abriendo una ventana de oportunidad clara para la negociación. Palma encabeza el índice con una brecha del 16%, seguida muy de cerca por Alicante con un 13% y Valencia con un 12%. Tras ellas, encontramos también diferencias elevadas de doble dígito en Las Palmas de Gran Canaria (11%), Castellón de la Plana (11%) y Palencia (10%), además de en mercados dinámicos como Málaga, Granada y Ciudad Real, que registran un 9%. En todas estas capitales existe un decalaje relevante que permite al comprador tener un mayor recorrido para pactar el precio final de la vivienda en propiedad", </w:t>
      </w:r>
      <w:r w:rsidRPr="00E22BF1">
        <w:rPr>
          <w:rFonts w:ascii="Open Sans" w:eastAsia="Open Sans" w:hAnsi="Open Sans" w:cs="Open Sans"/>
          <w:b/>
          <w:bCs/>
        </w:rPr>
        <w:t xml:space="preserve">explica María Matos, directora de Estudios y portavoz de </w:t>
      </w:r>
      <w:hyperlink r:id="rId13" w:history="1">
        <w:r w:rsidRPr="00E22BF1">
          <w:rPr>
            <w:rStyle w:val="Hipervnculo"/>
            <w:rFonts w:ascii="Open Sans" w:eastAsia="Open Sans" w:hAnsi="Open Sans" w:cs="Open Sans"/>
            <w:b/>
            <w:bCs/>
          </w:rPr>
          <w:t>Fotocasa</w:t>
        </w:r>
      </w:hyperlink>
      <w:r w:rsidRPr="00E22BF1">
        <w:rPr>
          <w:rFonts w:ascii="Open Sans" w:eastAsia="Open Sans" w:hAnsi="Open Sans" w:cs="Open Sans"/>
          <w:b/>
          <w:bCs/>
        </w:rPr>
        <w:t>.</w:t>
      </w:r>
    </w:p>
    <w:p w14:paraId="0DE30801" w14:textId="77777777" w:rsidR="00820C46" w:rsidRPr="003E2371" w:rsidRDefault="00820C46" w:rsidP="00820C4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National" w:eastAsia="National" w:hAnsi="National" w:cs="National"/>
          <w:b/>
          <w:color w:val="303AB2"/>
          <w:sz w:val="32"/>
          <w:szCs w:val="32"/>
          <w:lang w:val="es-ES"/>
        </w:rPr>
      </w:pPr>
      <w:r w:rsidRPr="003E2371">
        <w:rPr>
          <w:rFonts w:ascii="National" w:eastAsia="National" w:hAnsi="National" w:cs="National"/>
          <w:b/>
          <w:color w:val="303AB2"/>
          <w:sz w:val="32"/>
          <w:szCs w:val="32"/>
          <w:lang w:val="es-ES"/>
        </w:rPr>
        <w:lastRenderedPageBreak/>
        <w:t>Capitales de provincia de mayor a menor posibilidad de negociación</w:t>
      </w:r>
    </w:p>
    <w:p w14:paraId="59B6CBBA" w14:textId="77777777" w:rsidR="00820C46" w:rsidRPr="00820C46" w:rsidRDefault="00820C46" w:rsidP="00820C4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la-Latn"/>
        </w:rPr>
      </w:pPr>
    </w:p>
    <w:p w14:paraId="54B295B5" w14:textId="32BEF7C4" w:rsidR="00820C46" w:rsidRPr="00820C46" w:rsidRDefault="00820C46" w:rsidP="00820C4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la-Latn"/>
        </w:rPr>
      </w:pPr>
      <w:r w:rsidRPr="00E5714C">
        <w:rPr>
          <w:rFonts w:ascii="Open Sans" w:eastAsia="Open Sans" w:hAnsi="Open Sans" w:cs="Open Sans"/>
          <w:b/>
          <w:bCs/>
          <w:lang w:val="la-Latn"/>
        </w:rPr>
        <w:t>En la zona intermedia de la clasificación, con diferencias de entre el 6% y el 7% entre los precios de oferta y demanda de vivienda en propiedad</w:t>
      </w:r>
      <w:r w:rsidRPr="00820C46">
        <w:rPr>
          <w:rFonts w:ascii="Open Sans" w:eastAsia="Open Sans" w:hAnsi="Open Sans" w:cs="Open Sans"/>
          <w:lang w:val="la-Latn"/>
        </w:rPr>
        <w:t xml:space="preserve">, se sitúan capitales como Segovia (7%), Salamanca (7%), </w:t>
      </w:r>
      <w:r w:rsidR="00C8184C">
        <w:rPr>
          <w:rFonts w:ascii="Open Sans" w:eastAsia="Open Sans" w:hAnsi="Open Sans" w:cs="Open Sans"/>
          <w:lang w:val="la-Latn"/>
        </w:rPr>
        <w:t>Lleida</w:t>
      </w:r>
      <w:r w:rsidRPr="00820C46">
        <w:rPr>
          <w:rFonts w:ascii="Open Sans" w:eastAsia="Open Sans" w:hAnsi="Open Sans" w:cs="Open Sans"/>
          <w:lang w:val="la-Latn"/>
        </w:rPr>
        <w:t xml:space="preserve"> (7%), León (7%) y Córdoba (7%). Por debajo aparecen Vigo (6%), Toledo (6%), Sevilla (6%), Santander (6%), Santa Cruz de Tenerife (6%), Pontevedra (6%), Oviedo (6%), Madrid (6%), </w:t>
      </w:r>
      <w:r w:rsidR="00C8184C">
        <w:rPr>
          <w:rFonts w:ascii="Open Sans" w:eastAsia="Open Sans" w:hAnsi="Open Sans" w:cs="Open Sans"/>
          <w:lang w:val="la-Latn"/>
        </w:rPr>
        <w:t>A</w:t>
      </w:r>
      <w:r w:rsidRPr="00820C46">
        <w:rPr>
          <w:rFonts w:ascii="Open Sans" w:eastAsia="Open Sans" w:hAnsi="Open Sans" w:cs="Open Sans"/>
          <w:lang w:val="la-Latn"/>
        </w:rPr>
        <w:t xml:space="preserve"> Coruña (6%), Huesca (6%), Guadalajara (6%), G</w:t>
      </w:r>
      <w:r w:rsidR="00C8184C">
        <w:rPr>
          <w:rFonts w:ascii="Open Sans" w:eastAsia="Open Sans" w:hAnsi="Open Sans" w:cs="Open Sans"/>
          <w:lang w:val="la-Latn"/>
        </w:rPr>
        <w:t>i</w:t>
      </w:r>
      <w:r w:rsidRPr="00820C46">
        <w:rPr>
          <w:rFonts w:ascii="Open Sans" w:eastAsia="Open Sans" w:hAnsi="Open Sans" w:cs="Open Sans"/>
          <w:lang w:val="la-Latn"/>
        </w:rPr>
        <w:t>rona (6%), Cáceres (6%) y Almería (6%).</w:t>
      </w:r>
    </w:p>
    <w:p w14:paraId="62261340" w14:textId="77777777" w:rsidR="00820C46" w:rsidRPr="00820C46" w:rsidRDefault="00820C46" w:rsidP="00820C4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la-Latn"/>
        </w:rPr>
      </w:pPr>
    </w:p>
    <w:p w14:paraId="69BD5790" w14:textId="77777777" w:rsidR="00820C46" w:rsidRPr="00C8184C" w:rsidRDefault="00820C46" w:rsidP="00820C4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National" w:eastAsia="National" w:hAnsi="National" w:cs="National"/>
          <w:b/>
          <w:color w:val="303AB2"/>
          <w:sz w:val="32"/>
          <w:szCs w:val="32"/>
          <w:lang w:val="es-ES"/>
        </w:rPr>
      </w:pPr>
      <w:r w:rsidRPr="00C8184C">
        <w:rPr>
          <w:rFonts w:ascii="National" w:eastAsia="National" w:hAnsi="National" w:cs="National"/>
          <w:b/>
          <w:color w:val="303AB2"/>
          <w:sz w:val="32"/>
          <w:szCs w:val="32"/>
          <w:lang w:val="es-ES"/>
        </w:rPr>
        <w:t>San Sebastián y Zamora, con menor margen de negociación</w:t>
      </w:r>
    </w:p>
    <w:p w14:paraId="1FD51CEF" w14:textId="77777777" w:rsidR="00820C46" w:rsidRPr="00820C46" w:rsidRDefault="00820C46" w:rsidP="00820C4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la-Latn"/>
        </w:rPr>
      </w:pPr>
    </w:p>
    <w:p w14:paraId="522C8470" w14:textId="63EB4DD0" w:rsidR="00820C46" w:rsidRPr="00820C46" w:rsidRDefault="00820C46" w:rsidP="00820C4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la-Latn"/>
        </w:rPr>
      </w:pPr>
      <w:r w:rsidRPr="00C8184C">
        <w:rPr>
          <w:rFonts w:ascii="Open Sans" w:eastAsia="Open Sans" w:hAnsi="Open Sans" w:cs="Open Sans"/>
          <w:b/>
          <w:bCs/>
          <w:lang w:val="la-Latn"/>
        </w:rPr>
        <w:t>A continuación, se encuentran las ciudades donde la diferencia entre los precios de oferta y demanda es más reducida</w:t>
      </w:r>
      <w:r w:rsidRPr="00820C46">
        <w:rPr>
          <w:rFonts w:ascii="Open Sans" w:eastAsia="Open Sans" w:hAnsi="Open Sans" w:cs="Open Sans"/>
          <w:lang w:val="la-Latn"/>
        </w:rPr>
        <w:t>: Zaragoza (5%), Valladolid (5%), Pamplona (5%), Logroño (5%) y Barcelona (5%), así como Teruel (4%), O</w:t>
      </w:r>
      <w:r w:rsidR="00603A29">
        <w:rPr>
          <w:rFonts w:ascii="Open Sans" w:eastAsia="Open Sans" w:hAnsi="Open Sans" w:cs="Open Sans"/>
          <w:lang w:val="la-Latn"/>
        </w:rPr>
        <w:t>u</w:t>
      </w:r>
      <w:r w:rsidRPr="00820C46">
        <w:rPr>
          <w:rFonts w:ascii="Open Sans" w:eastAsia="Open Sans" w:hAnsi="Open Sans" w:cs="Open Sans"/>
          <w:lang w:val="la-Latn"/>
        </w:rPr>
        <w:t>rense (4%), Lugo (4%), Burgos (4%), Bilbao (4%), Ávila (4%) y Albacete (4%). Finalmente, las menores diferencias corresponden a Soria (3%), Huelva (3%), Cádiz (3%), Zamora (2%) y San Sebastián (1%), donde los precios que solicitan los vendedores y los que están dispuestos a pagar los compradores muestran una mayor convergencia.</w:t>
      </w:r>
    </w:p>
    <w:p w14:paraId="5726F678" w14:textId="77777777" w:rsidR="002158D2" w:rsidRPr="00D753F3" w:rsidRDefault="002158D2" w:rsidP="00CE5ABE">
      <w:pPr>
        <w:spacing w:line="276" w:lineRule="auto"/>
        <w:ind w:right="-1"/>
        <w:jc w:val="right"/>
        <w:rPr>
          <w:rFonts w:ascii="Open Sans Light" w:eastAsia="Open Sans Light" w:hAnsi="Open Sans Light" w:cs="Open Sans Light"/>
          <w:b/>
          <w:color w:val="303AB2"/>
          <w:lang w:val="ca-ES"/>
        </w:rPr>
      </w:pPr>
    </w:p>
    <w:p w14:paraId="2CD5CFC9" w14:textId="77777777" w:rsidR="00160D04" w:rsidRDefault="00160D04" w:rsidP="00CE5ABE">
      <w:pPr>
        <w:spacing w:line="276" w:lineRule="auto"/>
        <w:ind w:right="-1"/>
        <w:jc w:val="right"/>
        <w:rPr>
          <w:rFonts w:ascii="Open Sans Light" w:eastAsia="Open Sans Light" w:hAnsi="Open Sans Light" w:cs="Open Sans Light"/>
          <w:b/>
          <w:color w:val="303AB2"/>
          <w:lang w:val="es-ES"/>
        </w:rPr>
      </w:pPr>
    </w:p>
    <w:p w14:paraId="086FD4A4" w14:textId="37F0D2DA" w:rsidR="00CE5ABE" w:rsidRPr="00BA5916" w:rsidRDefault="00CE5ABE" w:rsidP="00CE5ABE">
      <w:pPr>
        <w:spacing w:line="276" w:lineRule="auto"/>
        <w:ind w:right="-1"/>
        <w:jc w:val="right"/>
        <w:rPr>
          <w:rFonts w:ascii="Open Sans Light" w:eastAsia="Open Sans Light" w:hAnsi="Open Sans Light" w:cs="Open Sans Light"/>
          <w:b/>
          <w:color w:val="303AB2"/>
          <w:lang w:val="es-ES"/>
        </w:rPr>
      </w:pPr>
      <w:r w:rsidRPr="00BA5916">
        <w:rPr>
          <w:rFonts w:ascii="Open Sans Light" w:eastAsia="Open Sans Light" w:hAnsi="Open Sans Light" w:cs="Open Sans Light"/>
          <w:b/>
          <w:color w:val="303AB2"/>
          <w:lang w:val="es-ES"/>
        </w:rPr>
        <w:t>Sobre Fotocasa</w:t>
      </w:r>
    </w:p>
    <w:p w14:paraId="453D4FED" w14:textId="77777777" w:rsidR="00CE5ABE" w:rsidRPr="00BA5916" w:rsidRDefault="00CE5ABE" w:rsidP="00CE5ABE">
      <w:pPr>
        <w:shd w:val="clear" w:color="auto" w:fill="FFFFFF"/>
        <w:spacing w:before="280" w:after="280" w:line="276" w:lineRule="auto"/>
        <w:ind w:right="-1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  <w:r w:rsidRPr="00BA5916">
        <w:rPr>
          <w:rFonts w:ascii="Open Sans" w:eastAsia="Open Sans" w:hAnsi="Open Sans" w:cs="Open Sans"/>
          <w:sz w:val="22"/>
          <w:szCs w:val="22"/>
          <w:lang w:val="es-ES"/>
        </w:rPr>
        <w:t xml:space="preserve">Fotocasa es uno de los principales portales inmobiliarios de España, con una amplia oferta de viviendas de segunda mano, promociones de obra nueva y alquileres que pertenece a </w:t>
      </w:r>
      <w:r w:rsidRPr="00BA5916">
        <w:rPr>
          <w:rFonts w:ascii="Open Sans" w:eastAsia="Open Sans" w:hAnsi="Open Sans" w:cs="Open Sans"/>
          <w:b/>
          <w:bCs/>
          <w:sz w:val="22"/>
          <w:szCs w:val="22"/>
          <w:lang w:val="es-ES"/>
        </w:rPr>
        <w:t>Fotocasa Group</w:t>
      </w:r>
      <w:r w:rsidRPr="00BA5916">
        <w:rPr>
          <w:rFonts w:ascii="Open Sans" w:eastAsia="Open Sans" w:hAnsi="Open Sans" w:cs="Open Sans"/>
          <w:sz w:val="22"/>
          <w:szCs w:val="22"/>
          <w:lang w:val="es-ES"/>
        </w:rPr>
        <w:t xml:space="preserve">. </w:t>
      </w:r>
    </w:p>
    <w:p w14:paraId="5C30015A" w14:textId="77777777" w:rsidR="00CE5ABE" w:rsidRPr="00BA5916" w:rsidRDefault="00CE5ABE" w:rsidP="00CE5ABE">
      <w:pPr>
        <w:shd w:val="clear" w:color="auto" w:fill="FFFFFF"/>
        <w:spacing w:before="280" w:after="280" w:line="276" w:lineRule="auto"/>
        <w:ind w:right="-1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  <w:r w:rsidRPr="00BA5916">
        <w:rPr>
          <w:rFonts w:ascii="Open Sans" w:eastAsia="Open Sans" w:hAnsi="Open Sans" w:cs="Open Sans"/>
          <w:sz w:val="22"/>
          <w:szCs w:val="22"/>
          <w:lang w:val="es-ES"/>
        </w:rPr>
        <w:t xml:space="preserve">Mensualmente, elabora el </w:t>
      </w:r>
      <w:hyperlink r:id="rId14">
        <w:r w:rsidRPr="00BA5916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  <w:lang w:val="es-ES"/>
          </w:rPr>
          <w:t>Índice inmobiliario Fotocasa</w:t>
        </w:r>
      </w:hyperlink>
      <w:r w:rsidRPr="00BA5916">
        <w:rPr>
          <w:rFonts w:ascii="Open Sans" w:eastAsia="Open Sans" w:hAnsi="Open Sans" w:cs="Open Sans"/>
          <w:sz w:val="22"/>
          <w:szCs w:val="22"/>
          <w:lang w:val="es-ES"/>
        </w:rPr>
        <w:t>, un informe de referencia que analiza la evolución del precio medio de la vivienda en España, tanto en venta como en alquiler.</w:t>
      </w:r>
    </w:p>
    <w:p w14:paraId="38B0B3C3" w14:textId="77777777" w:rsidR="00CE5ABE" w:rsidRPr="00BA5916" w:rsidRDefault="00CE5ABE" w:rsidP="00CE5ABE">
      <w:pPr>
        <w:shd w:val="clear" w:color="auto" w:fill="FFFFFF"/>
        <w:spacing w:before="280" w:after="280" w:line="276" w:lineRule="auto"/>
        <w:ind w:right="-1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  <w:r w:rsidRPr="00BA5916">
        <w:rPr>
          <w:rFonts w:ascii="Open Sans" w:eastAsia="Open Sans" w:hAnsi="Open Sans" w:cs="Open Sans"/>
          <w:sz w:val="22"/>
          <w:szCs w:val="22"/>
          <w:lang w:val="es-ES"/>
        </w:rPr>
        <w:t xml:space="preserve">Desde 2017, desarrolla además estudios sociológicos bajo el sello </w:t>
      </w:r>
      <w:hyperlink r:id="rId15" w:history="1">
        <w:r w:rsidRPr="00BA5916">
          <w:rPr>
            <w:rFonts w:ascii="Open Sans" w:hAnsi="Open Sans" w:cs="Open Sans"/>
            <w:b/>
            <w:bCs/>
            <w:color w:val="0000FF"/>
            <w:sz w:val="22"/>
            <w:szCs w:val="22"/>
            <w:u w:val="single"/>
            <w:lang w:val="es-ES"/>
          </w:rPr>
          <w:t xml:space="preserve">Fotocasa </w:t>
        </w:r>
        <w:proofErr w:type="spellStart"/>
        <w:r w:rsidRPr="00BA5916">
          <w:rPr>
            <w:rFonts w:ascii="Open Sans" w:hAnsi="Open Sans" w:cs="Open Sans"/>
            <w:b/>
            <w:bCs/>
            <w:color w:val="0000FF"/>
            <w:sz w:val="22"/>
            <w:szCs w:val="22"/>
            <w:u w:val="single"/>
            <w:lang w:val="es-ES"/>
          </w:rPr>
          <w:t>Research</w:t>
        </w:r>
        <w:proofErr w:type="spellEnd"/>
      </w:hyperlink>
      <w:r w:rsidRPr="00BA5916">
        <w:rPr>
          <w:rFonts w:ascii="Open Sans" w:eastAsia="Open Sans" w:hAnsi="Open Sans" w:cs="Open Sans"/>
          <w:sz w:val="22"/>
          <w:szCs w:val="22"/>
          <w:lang w:val="es-ES"/>
        </w:rPr>
        <w:t>, con el objetivo de aportar conocimiento y análisis en profundidad sobre las tendencias del mercado y el comportamiento de los ciudadanos en relación con la vivienda.</w:t>
      </w:r>
    </w:p>
    <w:p w14:paraId="6DED000D" w14:textId="77777777" w:rsidR="00CE5ABE" w:rsidRPr="00BA5916" w:rsidRDefault="00CE5ABE" w:rsidP="00CE5ABE">
      <w:pPr>
        <w:shd w:val="clear" w:color="auto" w:fill="FFFFFF"/>
        <w:spacing w:before="280" w:after="280" w:line="276" w:lineRule="auto"/>
        <w:ind w:right="-1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  <w:r w:rsidRPr="00BA5916">
        <w:rPr>
          <w:rFonts w:ascii="Open Sans" w:eastAsia="Open Sans" w:hAnsi="Open Sans" w:cs="Open Sans"/>
          <w:sz w:val="22"/>
          <w:szCs w:val="22"/>
          <w:lang w:val="es-ES"/>
        </w:rPr>
        <w:t xml:space="preserve">Toda la información y los últimos comunicados están disponibles en su </w:t>
      </w:r>
      <w:hyperlink r:id="rId16">
        <w:r w:rsidRPr="00BA5916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  <w:lang w:val="es-ES"/>
          </w:rPr>
          <w:t>Sala de Prensa</w:t>
        </w:r>
      </w:hyperlink>
    </w:p>
    <w:p w14:paraId="3827E61D" w14:textId="77777777" w:rsidR="00CE5ABE" w:rsidRPr="00BA5916" w:rsidRDefault="00CE5ABE" w:rsidP="00CE5ABE">
      <w:pPr>
        <w:spacing w:line="276" w:lineRule="auto"/>
        <w:ind w:right="-1"/>
        <w:rPr>
          <w:rFonts w:ascii="Open Sans Light" w:eastAsia="Open Sans Light" w:hAnsi="Open Sans Light" w:cs="Open Sans Light"/>
          <w:b/>
          <w:color w:val="303AB2"/>
          <w:lang w:val="es-ES"/>
        </w:rPr>
      </w:pPr>
    </w:p>
    <w:p w14:paraId="6DB3B5E2" w14:textId="77777777" w:rsidR="00CE5ABE" w:rsidRPr="00BA5916" w:rsidRDefault="00CE5ABE" w:rsidP="00CE5ABE">
      <w:pPr>
        <w:spacing w:line="276" w:lineRule="auto"/>
        <w:ind w:right="-1"/>
        <w:rPr>
          <w:rFonts w:ascii="Open Sans Light" w:eastAsia="Open Sans Light" w:hAnsi="Open Sans Light" w:cs="Open Sans Light"/>
          <w:b/>
          <w:color w:val="303AB2"/>
          <w:lang w:val="es-ES"/>
        </w:rPr>
      </w:pPr>
    </w:p>
    <w:p w14:paraId="225586A8" w14:textId="77777777" w:rsidR="00CE5ABE" w:rsidRPr="00BA5916" w:rsidRDefault="00CE5ABE" w:rsidP="00CE5ABE">
      <w:pPr>
        <w:spacing w:line="276" w:lineRule="auto"/>
        <w:ind w:right="-1"/>
        <w:jc w:val="right"/>
        <w:rPr>
          <w:rFonts w:ascii="Open Sans Light" w:eastAsia="Open Sans Light" w:hAnsi="Open Sans Light" w:cs="Open Sans Light"/>
          <w:b/>
          <w:color w:val="303AB2"/>
          <w:lang w:val="es-ES"/>
        </w:rPr>
      </w:pPr>
      <w:r w:rsidRPr="00BA5916">
        <w:rPr>
          <w:rFonts w:ascii="Open Sans Light" w:eastAsia="Open Sans Light" w:hAnsi="Open Sans Light" w:cs="Open Sans Light"/>
          <w:b/>
          <w:color w:val="303AB2"/>
          <w:lang w:val="es-ES"/>
        </w:rPr>
        <w:lastRenderedPageBreak/>
        <w:t>Sobre Fotocasa Group</w:t>
      </w:r>
    </w:p>
    <w:p w14:paraId="461B8FB5" w14:textId="77777777" w:rsidR="00CE5ABE" w:rsidRPr="00BA5916" w:rsidRDefault="00CE5ABE" w:rsidP="00CE5ABE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  <w:r w:rsidRPr="00BA5916">
        <w:rPr>
          <w:rFonts w:ascii="Open Sans" w:eastAsia="Open Sans" w:hAnsi="Open Sans" w:cs="Open Sans"/>
          <w:b/>
          <w:bCs/>
          <w:sz w:val="22"/>
          <w:szCs w:val="22"/>
          <w:lang w:val="es-ES"/>
        </w:rPr>
        <w:t>Fotocasa Group</w:t>
      </w:r>
      <w:r w:rsidRPr="00BA5916">
        <w:rPr>
          <w:rFonts w:ascii="Open Sans" w:eastAsia="Open Sans" w:hAnsi="Open Sans" w:cs="Open Sans"/>
          <w:sz w:val="22"/>
          <w:szCs w:val="22"/>
          <w:lang w:val="es-ES"/>
        </w:rPr>
        <w:t xml:space="preserve"> es un referente del sector inmobiliario en España, </w:t>
      </w:r>
      <w:r w:rsidRPr="00BA5916">
        <w:rPr>
          <w:rFonts w:ascii="Open Sans" w:eastAsia="Open Sans" w:hAnsi="Open Sans" w:cs="Open Sans"/>
          <w:b/>
          <w:bCs/>
          <w:sz w:val="22"/>
          <w:szCs w:val="22"/>
          <w:lang w:val="es-ES"/>
        </w:rPr>
        <w:t>con más de 25 años de experiencia</w:t>
      </w:r>
      <w:r w:rsidRPr="00BA5916">
        <w:rPr>
          <w:rFonts w:ascii="Open Sans" w:eastAsia="Open Sans" w:hAnsi="Open Sans" w:cs="Open Sans"/>
          <w:sz w:val="22"/>
          <w:szCs w:val="22"/>
          <w:lang w:val="es-ES"/>
        </w:rPr>
        <w:t> liderando la transformación del real estate a través de la innovación, los datos y la tecnología.</w:t>
      </w:r>
    </w:p>
    <w:p w14:paraId="2A64E0D5" w14:textId="77777777" w:rsidR="00CE5ABE" w:rsidRPr="00BA5916" w:rsidRDefault="00CE5ABE" w:rsidP="00CE5ABE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  <w:r w:rsidRPr="00BA5916">
        <w:rPr>
          <w:rFonts w:ascii="Open Sans" w:eastAsia="Open Sans" w:hAnsi="Open Sans" w:cs="Open Sans"/>
          <w:sz w:val="22"/>
          <w:szCs w:val="22"/>
          <w:lang w:val="es-ES"/>
        </w:rPr>
        <w:t>Bajo su marca paraguas, Fotocasa Group impulsa y da visibilidad a un ecosistema de marcas líderes —</w:t>
      </w:r>
      <w:hyperlink r:id="rId17" w:history="1">
        <w:r w:rsidRPr="00BA5916">
          <w:rPr>
            <w:rFonts w:ascii="Open Sans" w:hAnsi="Open Sans" w:cs="Open Sans"/>
            <w:b/>
            <w:bCs/>
            <w:color w:val="0000FF"/>
            <w:sz w:val="22"/>
            <w:szCs w:val="22"/>
            <w:u w:val="single"/>
            <w:lang w:val="es-ES"/>
          </w:rPr>
          <w:t>Fotocasa</w:t>
        </w:r>
      </w:hyperlink>
      <w:r w:rsidRPr="00BA5916">
        <w:rPr>
          <w:rFonts w:ascii="Open Sans" w:eastAsia="Open Sans" w:hAnsi="Open Sans" w:cs="Open Sans"/>
          <w:sz w:val="22"/>
          <w:szCs w:val="22"/>
          <w:lang w:val="es-ES"/>
        </w:rPr>
        <w:t xml:space="preserve">, </w:t>
      </w:r>
      <w:hyperlink r:id="rId18" w:history="1">
        <w:proofErr w:type="spellStart"/>
        <w:r w:rsidRPr="00BA5916">
          <w:rPr>
            <w:rFonts w:ascii="Open Sans" w:hAnsi="Open Sans" w:cs="Open Sans"/>
            <w:b/>
            <w:bCs/>
            <w:color w:val="0000FF"/>
            <w:sz w:val="22"/>
            <w:szCs w:val="22"/>
            <w:u w:val="single"/>
            <w:lang w:val="es-ES"/>
          </w:rPr>
          <w:t>habitaclia</w:t>
        </w:r>
        <w:proofErr w:type="spellEnd"/>
      </w:hyperlink>
      <w:r w:rsidRPr="00BA5916">
        <w:rPr>
          <w:rFonts w:ascii="Open Sans" w:eastAsia="Open Sans" w:hAnsi="Open Sans" w:cs="Open Sans"/>
          <w:sz w:val="22"/>
          <w:szCs w:val="22"/>
          <w:lang w:val="es-ES"/>
        </w:rPr>
        <w:t xml:space="preserve">, </w:t>
      </w:r>
      <w:hyperlink r:id="rId19" w:history="1">
        <w:r w:rsidRPr="00BA5916">
          <w:rPr>
            <w:rFonts w:ascii="Open Sans" w:hAnsi="Open Sans" w:cs="Open Sans"/>
            <w:b/>
            <w:bCs/>
            <w:color w:val="0000FF"/>
            <w:sz w:val="22"/>
            <w:szCs w:val="22"/>
            <w:u w:val="single"/>
            <w:lang w:val="es-ES"/>
          </w:rPr>
          <w:t>Fotocasa Pro</w:t>
        </w:r>
      </w:hyperlink>
      <w:r w:rsidRPr="00BA5916">
        <w:rPr>
          <w:rFonts w:ascii="Open Sans" w:eastAsia="Open Sans" w:hAnsi="Open Sans" w:cs="Open Sans"/>
          <w:sz w:val="22"/>
          <w:szCs w:val="22"/>
          <w:lang w:val="es-ES"/>
        </w:rPr>
        <w:t xml:space="preserve">, </w:t>
      </w:r>
      <w:hyperlink r:id="rId20" w:history="1">
        <w:proofErr w:type="spellStart"/>
        <w:r w:rsidRPr="00BA5916">
          <w:rPr>
            <w:rFonts w:ascii="Open Sans" w:hAnsi="Open Sans" w:cs="Open Sans"/>
            <w:b/>
            <w:bCs/>
            <w:color w:val="0000FF"/>
            <w:sz w:val="22"/>
            <w:szCs w:val="22"/>
            <w:u w:val="single"/>
            <w:lang w:val="es-ES"/>
          </w:rPr>
          <w:t>Datavenues</w:t>
        </w:r>
        <w:proofErr w:type="spellEnd"/>
      </w:hyperlink>
      <w:r w:rsidRPr="00BA5916">
        <w:rPr>
          <w:rFonts w:ascii="Open Sans" w:eastAsia="Open Sans" w:hAnsi="Open Sans" w:cs="Open Sans"/>
          <w:sz w:val="22"/>
          <w:szCs w:val="22"/>
          <w:lang w:val="es-ES"/>
        </w:rPr>
        <w:t xml:space="preserve">, </w:t>
      </w:r>
      <w:hyperlink r:id="rId21" w:history="1">
        <w:proofErr w:type="spellStart"/>
        <w:r w:rsidRPr="00BA5916">
          <w:rPr>
            <w:rFonts w:ascii="Open Sans" w:hAnsi="Open Sans" w:cs="Open Sans"/>
            <w:b/>
            <w:bCs/>
            <w:color w:val="0000FF"/>
            <w:sz w:val="22"/>
            <w:szCs w:val="22"/>
            <w:u w:val="single"/>
            <w:lang w:val="es-ES"/>
          </w:rPr>
          <w:t>Witei</w:t>
        </w:r>
        <w:proofErr w:type="spellEnd"/>
      </w:hyperlink>
      <w:r w:rsidRPr="00BA5916">
        <w:rPr>
          <w:rFonts w:ascii="Open Sans" w:eastAsia="Open Sans" w:hAnsi="Open Sans" w:cs="Open Sans"/>
          <w:sz w:val="22"/>
          <w:szCs w:val="22"/>
          <w:lang w:val="es-ES"/>
        </w:rPr>
        <w:t xml:space="preserve"> e </w:t>
      </w:r>
      <w:hyperlink r:id="rId22" w:history="1">
        <w:proofErr w:type="spellStart"/>
        <w:r w:rsidRPr="00BA5916">
          <w:rPr>
            <w:rFonts w:ascii="Open Sans" w:hAnsi="Open Sans" w:cs="Open Sans"/>
            <w:b/>
            <w:bCs/>
            <w:color w:val="0000FF"/>
            <w:sz w:val="22"/>
            <w:szCs w:val="22"/>
            <w:lang w:val="es-ES"/>
          </w:rPr>
          <w:t>Inmoweb</w:t>
        </w:r>
        <w:proofErr w:type="spellEnd"/>
      </w:hyperlink>
      <w:r w:rsidRPr="00BA5916">
        <w:rPr>
          <w:rFonts w:ascii="Open Sans" w:eastAsia="Open Sans" w:hAnsi="Open Sans" w:cs="Open Sans"/>
          <w:sz w:val="22"/>
          <w:szCs w:val="22"/>
          <w:lang w:val="es-ES"/>
        </w:rPr>
        <w:t xml:space="preserve">— que ofrecen soluciones integrales tanto </w:t>
      </w:r>
      <w:r w:rsidRPr="00BA5916">
        <w:rPr>
          <w:rFonts w:ascii="Open Sans" w:eastAsia="Open Sans" w:hAnsi="Open Sans" w:cs="Open Sans"/>
          <w:b/>
          <w:bCs/>
          <w:sz w:val="22"/>
          <w:szCs w:val="22"/>
          <w:lang w:val="es-ES"/>
        </w:rPr>
        <w:t>para particulares como para profesionales del sector</w:t>
      </w:r>
      <w:r w:rsidRPr="00BA5916">
        <w:rPr>
          <w:rFonts w:ascii="Open Sans" w:eastAsia="Open Sans" w:hAnsi="Open Sans" w:cs="Open Sans"/>
          <w:sz w:val="22"/>
          <w:szCs w:val="22"/>
          <w:lang w:val="es-ES"/>
        </w:rPr>
        <w:t>.</w:t>
      </w:r>
    </w:p>
    <w:p w14:paraId="7B120931" w14:textId="77777777" w:rsidR="00CE5ABE" w:rsidRPr="00BA5916" w:rsidRDefault="00CE5ABE" w:rsidP="00CE5ABE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  <w:r w:rsidRPr="00BA5916">
        <w:rPr>
          <w:rFonts w:ascii="Open Sans" w:eastAsia="Open Sans" w:hAnsi="Open Sans" w:cs="Open Sans"/>
          <w:b/>
          <w:bCs/>
          <w:sz w:val="22"/>
          <w:szCs w:val="22"/>
          <w:lang w:val="es-ES"/>
        </w:rPr>
        <w:t>Fotocasa</w:t>
      </w:r>
      <w:r w:rsidRPr="00BA5916">
        <w:rPr>
          <w:rFonts w:ascii="Open Sans" w:eastAsia="Open Sans" w:hAnsi="Open Sans" w:cs="Open Sans"/>
          <w:sz w:val="22"/>
          <w:szCs w:val="22"/>
          <w:lang w:val="es-ES"/>
        </w:rPr>
        <w:t>, la marca insignia del grupo, conecta cada día a </w:t>
      </w:r>
      <w:r w:rsidRPr="00BA5916">
        <w:rPr>
          <w:rFonts w:ascii="Open Sans" w:eastAsia="Open Sans" w:hAnsi="Open Sans" w:cs="Open Sans"/>
          <w:b/>
          <w:bCs/>
          <w:sz w:val="22"/>
          <w:szCs w:val="22"/>
          <w:lang w:val="es-ES"/>
        </w:rPr>
        <w:t>millones de personas con su próximo hogar</w:t>
      </w:r>
      <w:r w:rsidRPr="00BA5916">
        <w:rPr>
          <w:rFonts w:ascii="Open Sans" w:eastAsia="Open Sans" w:hAnsi="Open Sans" w:cs="Open Sans"/>
          <w:sz w:val="22"/>
          <w:szCs w:val="22"/>
          <w:lang w:val="es-ES"/>
        </w:rPr>
        <w:t>, ofreciendo la mayor oferta de viviendas de segunda mano, obra nueva, alquiler y compraventa, junto con análisis y contenidos que la consolidan como un auténtico </w:t>
      </w:r>
      <w:r w:rsidRPr="00BA5916">
        <w:rPr>
          <w:rFonts w:ascii="Open Sans" w:eastAsia="Open Sans" w:hAnsi="Open Sans" w:cs="Open Sans"/>
          <w:b/>
          <w:bCs/>
          <w:sz w:val="22"/>
          <w:szCs w:val="22"/>
          <w:lang w:val="es-ES"/>
        </w:rPr>
        <w:t>referente del mercado inmobiliario</w:t>
      </w:r>
      <w:r w:rsidRPr="00BA5916">
        <w:rPr>
          <w:rFonts w:ascii="Open Sans" w:eastAsia="Open Sans" w:hAnsi="Open Sans" w:cs="Open Sans"/>
          <w:sz w:val="22"/>
          <w:szCs w:val="22"/>
          <w:lang w:val="es-ES"/>
        </w:rPr>
        <w:t>.</w:t>
      </w:r>
    </w:p>
    <w:p w14:paraId="7DF79761" w14:textId="77777777" w:rsidR="00CE5ABE" w:rsidRPr="00BA5916" w:rsidRDefault="00CE5ABE" w:rsidP="00CE5ABE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  <w:r w:rsidRPr="00BA5916">
        <w:rPr>
          <w:rFonts w:ascii="Open Sans" w:eastAsia="Open Sans" w:hAnsi="Open Sans" w:cs="Open Sans"/>
          <w:sz w:val="22"/>
          <w:szCs w:val="22"/>
          <w:lang w:val="es-ES"/>
        </w:rPr>
        <w:t>En Fotocasa Group, </w:t>
      </w:r>
      <w:r w:rsidRPr="00BA5916">
        <w:rPr>
          <w:rFonts w:ascii="Open Sans" w:eastAsia="Open Sans" w:hAnsi="Open Sans" w:cs="Open Sans"/>
          <w:b/>
          <w:bCs/>
          <w:sz w:val="22"/>
          <w:szCs w:val="22"/>
          <w:lang w:val="es-ES"/>
        </w:rPr>
        <w:t>unimos personas y propiedades</w:t>
      </w:r>
      <w:r w:rsidRPr="00BA5916">
        <w:rPr>
          <w:rFonts w:ascii="Open Sans" w:eastAsia="Open Sans" w:hAnsi="Open Sans" w:cs="Open Sans"/>
          <w:sz w:val="22"/>
          <w:szCs w:val="22"/>
          <w:lang w:val="es-ES"/>
        </w:rPr>
        <w:t> a través de una plataforma inteligente, diseñada para hacer que </w:t>
      </w:r>
      <w:r w:rsidRPr="00BA5916">
        <w:rPr>
          <w:rFonts w:ascii="Open Sans" w:eastAsia="Open Sans" w:hAnsi="Open Sans" w:cs="Open Sans"/>
          <w:b/>
          <w:bCs/>
          <w:sz w:val="22"/>
          <w:szCs w:val="22"/>
          <w:lang w:val="es-ES"/>
        </w:rPr>
        <w:t>buscar, comprar o alquilar vivienda</w:t>
      </w:r>
      <w:r w:rsidRPr="00BA5916">
        <w:rPr>
          <w:rFonts w:ascii="Open Sans" w:eastAsia="Open Sans" w:hAnsi="Open Sans" w:cs="Open Sans"/>
          <w:sz w:val="22"/>
          <w:szCs w:val="22"/>
          <w:lang w:val="es-ES"/>
        </w:rPr>
        <w:t> sea una experiencia más fácil, transparente y eficiente.</w:t>
      </w:r>
    </w:p>
    <w:p w14:paraId="1E776ABD" w14:textId="77777777" w:rsidR="00CE5ABE" w:rsidRPr="00BA5916" w:rsidRDefault="00CE5ABE" w:rsidP="00CE5ABE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  <w:r w:rsidRPr="00BA5916">
        <w:rPr>
          <w:rFonts w:ascii="Open Sans" w:eastAsia="Open Sans" w:hAnsi="Open Sans" w:cs="Open Sans"/>
          <w:sz w:val="22"/>
          <w:szCs w:val="22"/>
          <w:lang w:val="es-ES"/>
        </w:rPr>
        <w:t>Nuestra visión es clara</w:t>
      </w:r>
      <w:r w:rsidRPr="00BA5916">
        <w:rPr>
          <w:rFonts w:ascii="Open Sans" w:eastAsia="Open Sans" w:hAnsi="Open Sans" w:cs="Open Sans"/>
          <w:b/>
          <w:bCs/>
          <w:sz w:val="22"/>
          <w:szCs w:val="22"/>
          <w:lang w:val="es-ES"/>
        </w:rPr>
        <w:t>: ser el lugar donde tu nuevo hogar te encuentra</w:t>
      </w:r>
      <w:r w:rsidRPr="00BA5916">
        <w:rPr>
          <w:rFonts w:ascii="Open Sans" w:eastAsia="Open Sans" w:hAnsi="Open Sans" w:cs="Open Sans"/>
          <w:sz w:val="22"/>
          <w:szCs w:val="22"/>
          <w:lang w:val="es-ES"/>
        </w:rPr>
        <w:t>.</w:t>
      </w:r>
    </w:p>
    <w:p w14:paraId="7E356E02" w14:textId="77777777" w:rsidR="00640A36" w:rsidRPr="00BA5916" w:rsidRDefault="00640A36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</w:p>
    <w:p w14:paraId="094B96F6" w14:textId="77777777" w:rsidR="00D23A6D" w:rsidRPr="00BA5916" w:rsidRDefault="00D23A6D">
      <w:pPr>
        <w:spacing w:line="276" w:lineRule="auto"/>
        <w:jc w:val="right"/>
        <w:rPr>
          <w:rFonts w:ascii="Open Sans" w:eastAsia="Open Sans" w:hAnsi="Open Sans" w:cs="Open Sans"/>
          <w:lang w:val="es-ES"/>
        </w:rPr>
      </w:pPr>
    </w:p>
    <w:p w14:paraId="33EB1EA7" w14:textId="77777777" w:rsidR="00D23A6D" w:rsidRPr="00BA5916" w:rsidRDefault="008B44FA">
      <w:pPr>
        <w:spacing w:line="276" w:lineRule="auto"/>
        <w:rPr>
          <w:rFonts w:ascii="Open Sans Light" w:eastAsia="Open Sans Light" w:hAnsi="Open Sans Light" w:cs="Open Sans Light"/>
          <w:b/>
          <w:color w:val="303AB2"/>
          <w:sz w:val="22"/>
          <w:szCs w:val="22"/>
          <w:lang w:val="es-ES"/>
        </w:rPr>
      </w:pPr>
      <w:r w:rsidRPr="00BA5916">
        <w:rPr>
          <w:rFonts w:ascii="Open Sans Light" w:eastAsia="Open Sans Light" w:hAnsi="Open Sans Light" w:cs="Open Sans Light"/>
          <w:b/>
          <w:color w:val="303AB2"/>
          <w:sz w:val="22"/>
          <w:szCs w:val="22"/>
          <w:lang w:val="es-ES"/>
        </w:rPr>
        <w:t>Departamento Comunicación Fotocasa</w:t>
      </w:r>
    </w:p>
    <w:p w14:paraId="5E03CADA" w14:textId="77777777" w:rsidR="00D23A6D" w:rsidRPr="00BA5916" w:rsidRDefault="008B44FA">
      <w:pPr>
        <w:shd w:val="clear" w:color="auto" w:fill="FFFFFF"/>
        <w:spacing w:line="276" w:lineRule="auto"/>
        <w:rPr>
          <w:rFonts w:ascii="Open Sans" w:eastAsia="Open Sans" w:hAnsi="Open Sans" w:cs="Open Sans"/>
          <w:b/>
          <w:color w:val="000000"/>
          <w:sz w:val="22"/>
          <w:szCs w:val="22"/>
          <w:lang w:val="es-ES"/>
        </w:rPr>
      </w:pPr>
      <w:r w:rsidRPr="00BA5916">
        <w:rPr>
          <w:rFonts w:ascii="Open Sans" w:eastAsia="Open Sans" w:hAnsi="Open Sans" w:cs="Open Sans"/>
          <w:b/>
          <w:color w:val="000000"/>
          <w:sz w:val="22"/>
          <w:szCs w:val="22"/>
          <w:lang w:val="es-ES"/>
        </w:rPr>
        <w:t>Anaïs López</w:t>
      </w:r>
    </w:p>
    <w:p w14:paraId="5289F366" w14:textId="77777777" w:rsidR="00D23A6D" w:rsidRPr="00BA5916" w:rsidRDefault="00D23A6D">
      <w:pPr>
        <w:shd w:val="clear" w:color="auto" w:fill="FFFFFF"/>
        <w:spacing w:line="276" w:lineRule="auto"/>
        <w:rPr>
          <w:rFonts w:ascii="Open Sans" w:eastAsia="Open Sans" w:hAnsi="Open Sans" w:cs="Open Sans"/>
          <w:color w:val="0000FF"/>
          <w:sz w:val="22"/>
          <w:szCs w:val="22"/>
          <w:u w:val="single"/>
          <w:lang w:val="es-ES"/>
        </w:rPr>
      </w:pPr>
      <w:hyperlink r:id="rId23">
        <w:r w:rsidRPr="00BA5916">
          <w:rPr>
            <w:rFonts w:ascii="Open Sans" w:eastAsia="Open Sans" w:hAnsi="Open Sans" w:cs="Open Sans"/>
            <w:color w:val="0000FF"/>
            <w:sz w:val="22"/>
            <w:szCs w:val="22"/>
            <w:u w:val="single"/>
            <w:lang w:val="es-ES"/>
          </w:rPr>
          <w:t>comunicacion@fotocasa.es</w:t>
        </w:r>
      </w:hyperlink>
    </w:p>
    <w:p w14:paraId="114B609B" w14:textId="77777777" w:rsidR="00D23A6D" w:rsidRPr="00BA5916" w:rsidRDefault="008B44FA">
      <w:pPr>
        <w:shd w:val="clear" w:color="auto" w:fill="FFFFFF"/>
        <w:spacing w:line="276" w:lineRule="auto"/>
        <w:rPr>
          <w:rFonts w:ascii="Open Sans" w:eastAsia="Open Sans" w:hAnsi="Open Sans" w:cs="Open Sans"/>
          <w:color w:val="000000"/>
          <w:sz w:val="22"/>
          <w:szCs w:val="22"/>
          <w:lang w:val="es-ES"/>
        </w:rPr>
      </w:pPr>
      <w:r w:rsidRPr="00BA5916">
        <w:rPr>
          <w:rFonts w:ascii="Open Sans" w:eastAsia="Open Sans" w:hAnsi="Open Sans" w:cs="Open Sans"/>
          <w:color w:val="000000"/>
          <w:sz w:val="22"/>
          <w:szCs w:val="22"/>
          <w:lang w:val="es-ES"/>
        </w:rPr>
        <w:t>620 66 29 26</w:t>
      </w:r>
    </w:p>
    <w:sectPr w:rsidR="00D23A6D" w:rsidRPr="00BA5916">
      <w:footerReference w:type="default" r:id="rId24"/>
      <w:pgSz w:w="11900" w:h="16840"/>
      <w:pgMar w:top="1417" w:right="1127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B8F56D" w14:textId="77777777" w:rsidR="00CF155C" w:rsidRDefault="00CF155C">
      <w:r>
        <w:separator/>
      </w:r>
    </w:p>
  </w:endnote>
  <w:endnote w:type="continuationSeparator" w:id="0">
    <w:p w14:paraId="60E36567" w14:textId="77777777" w:rsidR="00CF155C" w:rsidRDefault="00CF1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A17F79C6-0DA4-46FB-810C-D645E3E0BD7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84C0F5A-F5A8-4066-A475-0FAF71A3DE87}"/>
    <w:embedBold r:id="rId3" w:fontKey="{D3180C24-3082-4983-896E-F8BB9EA06CC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CBBEEDC-EDCB-4965-BF61-B7CAB443813C}"/>
    <w:embedItalic r:id="rId5" w:fontKey="{A0031893-FBBD-468E-A439-3BFC327068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FB6E5FB-2169-4778-AC0E-884F65E81071}"/>
  </w:font>
  <w:font w:name="National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3ADA6009-4587-4EF8-9E25-FB33ADC415B1}"/>
    <w:embedBold r:id="rId8" w:fontKey="{8872FC3F-B009-4463-9C44-04316326F05A}"/>
    <w:embedItalic r:id="rId9" w:fontKey="{3EF66B87-356C-4261-BF3C-981530EADF32}"/>
    <w:embedBoldItalic r:id="rId10" w:fontKey="{1E887D15-9B05-457C-B0E5-8CC462F9863C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11" w:fontKey="{0CA5A740-04A4-4487-8D50-D1148DAF3F01}"/>
    <w:embedBold r:id="rId12" w:fontKey="{AB80B27F-64BA-4FFA-B3F7-775A172FA503}"/>
    <w:embedItalic r:id="rId13" w:fontKey="{2DD1C271-455B-49E4-A5FA-59D914F5E1F4}"/>
    <w:embedBoldItalic r:id="rId14" w:fontKey="{F779114C-4326-4CD7-8D98-C7157B3580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E0C8B" w14:textId="77777777" w:rsidR="00D23A6D" w:rsidRDefault="008B44F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A50753C" wp14:editId="2BAE600E">
          <wp:simplePos x="0" y="0"/>
          <wp:positionH relativeFrom="column">
            <wp:posOffset>-1068044</wp:posOffset>
          </wp:positionH>
          <wp:positionV relativeFrom="paragraph">
            <wp:posOffset>174608</wp:posOffset>
          </wp:positionV>
          <wp:extent cx="7670550" cy="451315"/>
          <wp:effectExtent l="0" t="0" r="0" b="0"/>
          <wp:wrapNone/>
          <wp:docPr id="81514984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0550" cy="451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ABE6CD" w14:textId="77777777" w:rsidR="00CF155C" w:rsidRDefault="00CF155C">
      <w:r>
        <w:separator/>
      </w:r>
    </w:p>
  </w:footnote>
  <w:footnote w:type="continuationSeparator" w:id="0">
    <w:p w14:paraId="182B0816" w14:textId="77777777" w:rsidR="00CF155C" w:rsidRDefault="00CF15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CB04DB"/>
    <w:multiLevelType w:val="hybridMultilevel"/>
    <w:tmpl w:val="FA7AB3B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CF12D6"/>
    <w:multiLevelType w:val="multilevel"/>
    <w:tmpl w:val="B0C279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08E7D5B"/>
    <w:multiLevelType w:val="hybridMultilevel"/>
    <w:tmpl w:val="9FB69E92"/>
    <w:lvl w:ilvl="0" w:tplc="040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39F6878"/>
    <w:multiLevelType w:val="hybridMultilevel"/>
    <w:tmpl w:val="030C29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8746668">
    <w:abstractNumId w:val="1"/>
  </w:num>
  <w:num w:numId="2" w16cid:durableId="931620082">
    <w:abstractNumId w:val="3"/>
  </w:num>
  <w:num w:numId="3" w16cid:durableId="691614064">
    <w:abstractNumId w:val="2"/>
  </w:num>
  <w:num w:numId="4" w16cid:durableId="2183714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A6D"/>
    <w:rsid w:val="00006549"/>
    <w:rsid w:val="000153D9"/>
    <w:rsid w:val="00022C21"/>
    <w:rsid w:val="00022DFC"/>
    <w:rsid w:val="00023C57"/>
    <w:rsid w:val="000244DA"/>
    <w:rsid w:val="00024DCA"/>
    <w:rsid w:val="00034790"/>
    <w:rsid w:val="00035297"/>
    <w:rsid w:val="000376B9"/>
    <w:rsid w:val="00040A41"/>
    <w:rsid w:val="000435D8"/>
    <w:rsid w:val="00052008"/>
    <w:rsid w:val="0005729A"/>
    <w:rsid w:val="00061193"/>
    <w:rsid w:val="00063809"/>
    <w:rsid w:val="00064D17"/>
    <w:rsid w:val="00065A06"/>
    <w:rsid w:val="00070682"/>
    <w:rsid w:val="00072F2D"/>
    <w:rsid w:val="00073563"/>
    <w:rsid w:val="00074749"/>
    <w:rsid w:val="00075C74"/>
    <w:rsid w:val="00084C7B"/>
    <w:rsid w:val="000952E4"/>
    <w:rsid w:val="00097A2D"/>
    <w:rsid w:val="000A1D8C"/>
    <w:rsid w:val="000A28DA"/>
    <w:rsid w:val="000A3D93"/>
    <w:rsid w:val="000A6BDF"/>
    <w:rsid w:val="000B3066"/>
    <w:rsid w:val="000B6C21"/>
    <w:rsid w:val="000B7FC6"/>
    <w:rsid w:val="000C2350"/>
    <w:rsid w:val="000C6AA7"/>
    <w:rsid w:val="000D0024"/>
    <w:rsid w:val="000E2265"/>
    <w:rsid w:val="000E306C"/>
    <w:rsid w:val="000E729E"/>
    <w:rsid w:val="00111BEC"/>
    <w:rsid w:val="0011337A"/>
    <w:rsid w:val="00124CB0"/>
    <w:rsid w:val="0012502B"/>
    <w:rsid w:val="001358AC"/>
    <w:rsid w:val="00143082"/>
    <w:rsid w:val="001439BF"/>
    <w:rsid w:val="00156267"/>
    <w:rsid w:val="00160D04"/>
    <w:rsid w:val="00161105"/>
    <w:rsid w:val="00171BB4"/>
    <w:rsid w:val="00174F42"/>
    <w:rsid w:val="001772DD"/>
    <w:rsid w:val="0018112E"/>
    <w:rsid w:val="001835B5"/>
    <w:rsid w:val="00186464"/>
    <w:rsid w:val="00186963"/>
    <w:rsid w:val="00192553"/>
    <w:rsid w:val="001A7B11"/>
    <w:rsid w:val="001B2F58"/>
    <w:rsid w:val="001B4AF8"/>
    <w:rsid w:val="001B4E2D"/>
    <w:rsid w:val="001B601F"/>
    <w:rsid w:val="001C0E6A"/>
    <w:rsid w:val="001C32FC"/>
    <w:rsid w:val="001C4292"/>
    <w:rsid w:val="001C45B1"/>
    <w:rsid w:val="001D0DCC"/>
    <w:rsid w:val="001D1906"/>
    <w:rsid w:val="001D2053"/>
    <w:rsid w:val="001D3973"/>
    <w:rsid w:val="001D6116"/>
    <w:rsid w:val="001E1005"/>
    <w:rsid w:val="001E13AF"/>
    <w:rsid w:val="001E2F2D"/>
    <w:rsid w:val="001E318E"/>
    <w:rsid w:val="001E56B9"/>
    <w:rsid w:val="001E6818"/>
    <w:rsid w:val="001E6ACC"/>
    <w:rsid w:val="001F0C85"/>
    <w:rsid w:val="001F30DD"/>
    <w:rsid w:val="001F357A"/>
    <w:rsid w:val="001F3676"/>
    <w:rsid w:val="001F67B6"/>
    <w:rsid w:val="001F7DC0"/>
    <w:rsid w:val="00200D2E"/>
    <w:rsid w:val="00202920"/>
    <w:rsid w:val="00202CFC"/>
    <w:rsid w:val="0020569F"/>
    <w:rsid w:val="00211492"/>
    <w:rsid w:val="002129AF"/>
    <w:rsid w:val="002158D2"/>
    <w:rsid w:val="002249E9"/>
    <w:rsid w:val="00224E6E"/>
    <w:rsid w:val="002300F3"/>
    <w:rsid w:val="002304AC"/>
    <w:rsid w:val="002356D5"/>
    <w:rsid w:val="00245A74"/>
    <w:rsid w:val="00247EDA"/>
    <w:rsid w:val="00260F91"/>
    <w:rsid w:val="00262544"/>
    <w:rsid w:val="00264A70"/>
    <w:rsid w:val="00264F97"/>
    <w:rsid w:val="00265197"/>
    <w:rsid w:val="00270ACE"/>
    <w:rsid w:val="00281616"/>
    <w:rsid w:val="002827A1"/>
    <w:rsid w:val="002841AF"/>
    <w:rsid w:val="00284861"/>
    <w:rsid w:val="0029322A"/>
    <w:rsid w:val="002938AE"/>
    <w:rsid w:val="002A045D"/>
    <w:rsid w:val="002A2112"/>
    <w:rsid w:val="002A2A8B"/>
    <w:rsid w:val="002A3A33"/>
    <w:rsid w:val="002B2321"/>
    <w:rsid w:val="002B287D"/>
    <w:rsid w:val="002B5952"/>
    <w:rsid w:val="002B5A4A"/>
    <w:rsid w:val="002B6C4C"/>
    <w:rsid w:val="002D18BF"/>
    <w:rsid w:val="002D2380"/>
    <w:rsid w:val="002D531E"/>
    <w:rsid w:val="002E7100"/>
    <w:rsid w:val="002F061E"/>
    <w:rsid w:val="002F240A"/>
    <w:rsid w:val="002F4C1C"/>
    <w:rsid w:val="002F6F15"/>
    <w:rsid w:val="002F77C5"/>
    <w:rsid w:val="00301167"/>
    <w:rsid w:val="00303CAD"/>
    <w:rsid w:val="00304DA4"/>
    <w:rsid w:val="00313446"/>
    <w:rsid w:val="00313CE0"/>
    <w:rsid w:val="00321699"/>
    <w:rsid w:val="00323024"/>
    <w:rsid w:val="00324DD9"/>
    <w:rsid w:val="00326B82"/>
    <w:rsid w:val="003276F3"/>
    <w:rsid w:val="003305AB"/>
    <w:rsid w:val="00331724"/>
    <w:rsid w:val="0033371F"/>
    <w:rsid w:val="00337B7C"/>
    <w:rsid w:val="003400DC"/>
    <w:rsid w:val="00341123"/>
    <w:rsid w:val="0034758C"/>
    <w:rsid w:val="00351923"/>
    <w:rsid w:val="00353263"/>
    <w:rsid w:val="00354506"/>
    <w:rsid w:val="00355DD8"/>
    <w:rsid w:val="00365FF4"/>
    <w:rsid w:val="0037106E"/>
    <w:rsid w:val="003746BD"/>
    <w:rsid w:val="00382D57"/>
    <w:rsid w:val="00382E3B"/>
    <w:rsid w:val="003871B0"/>
    <w:rsid w:val="003908E1"/>
    <w:rsid w:val="0039674B"/>
    <w:rsid w:val="003A795E"/>
    <w:rsid w:val="003B030F"/>
    <w:rsid w:val="003B248D"/>
    <w:rsid w:val="003B5541"/>
    <w:rsid w:val="003B69AE"/>
    <w:rsid w:val="003C01EB"/>
    <w:rsid w:val="003C3A2D"/>
    <w:rsid w:val="003D0EEA"/>
    <w:rsid w:val="003D5B39"/>
    <w:rsid w:val="003E2371"/>
    <w:rsid w:val="003E453A"/>
    <w:rsid w:val="003E67AD"/>
    <w:rsid w:val="003F28F9"/>
    <w:rsid w:val="00401FBC"/>
    <w:rsid w:val="00403D89"/>
    <w:rsid w:val="004075C7"/>
    <w:rsid w:val="004076B0"/>
    <w:rsid w:val="0041610D"/>
    <w:rsid w:val="00425014"/>
    <w:rsid w:val="00436576"/>
    <w:rsid w:val="004424B9"/>
    <w:rsid w:val="004451A9"/>
    <w:rsid w:val="00452926"/>
    <w:rsid w:val="0045586D"/>
    <w:rsid w:val="004602A3"/>
    <w:rsid w:val="004609E8"/>
    <w:rsid w:val="0046163C"/>
    <w:rsid w:val="004621C8"/>
    <w:rsid w:val="00463FFE"/>
    <w:rsid w:val="0047272E"/>
    <w:rsid w:val="0047318F"/>
    <w:rsid w:val="004735E6"/>
    <w:rsid w:val="00473B17"/>
    <w:rsid w:val="00476B57"/>
    <w:rsid w:val="004770B6"/>
    <w:rsid w:val="00477AA9"/>
    <w:rsid w:val="00486008"/>
    <w:rsid w:val="00486275"/>
    <w:rsid w:val="004869ED"/>
    <w:rsid w:val="00486C98"/>
    <w:rsid w:val="00495C99"/>
    <w:rsid w:val="00496131"/>
    <w:rsid w:val="00496D00"/>
    <w:rsid w:val="004A074F"/>
    <w:rsid w:val="004A13D3"/>
    <w:rsid w:val="004A2368"/>
    <w:rsid w:val="004A2419"/>
    <w:rsid w:val="004A5504"/>
    <w:rsid w:val="004A57D5"/>
    <w:rsid w:val="004A6218"/>
    <w:rsid w:val="004B13B7"/>
    <w:rsid w:val="004B2325"/>
    <w:rsid w:val="004C0F19"/>
    <w:rsid w:val="004C269C"/>
    <w:rsid w:val="004C3A40"/>
    <w:rsid w:val="004C3ADA"/>
    <w:rsid w:val="004C410A"/>
    <w:rsid w:val="004E1693"/>
    <w:rsid w:val="004E4E86"/>
    <w:rsid w:val="004E5516"/>
    <w:rsid w:val="004F0B95"/>
    <w:rsid w:val="004F1573"/>
    <w:rsid w:val="004F24DF"/>
    <w:rsid w:val="004F3C47"/>
    <w:rsid w:val="00501561"/>
    <w:rsid w:val="00507F9D"/>
    <w:rsid w:val="00510A79"/>
    <w:rsid w:val="00511389"/>
    <w:rsid w:val="00511900"/>
    <w:rsid w:val="00514534"/>
    <w:rsid w:val="00517D35"/>
    <w:rsid w:val="00530DFB"/>
    <w:rsid w:val="0053586D"/>
    <w:rsid w:val="00542D74"/>
    <w:rsid w:val="00547B13"/>
    <w:rsid w:val="00553893"/>
    <w:rsid w:val="0056345D"/>
    <w:rsid w:val="00565E5C"/>
    <w:rsid w:val="00576122"/>
    <w:rsid w:val="00581D12"/>
    <w:rsid w:val="00592205"/>
    <w:rsid w:val="00592A67"/>
    <w:rsid w:val="00593023"/>
    <w:rsid w:val="00593C17"/>
    <w:rsid w:val="00595A4D"/>
    <w:rsid w:val="005A1675"/>
    <w:rsid w:val="005A71CD"/>
    <w:rsid w:val="005C12B6"/>
    <w:rsid w:val="005C1C6D"/>
    <w:rsid w:val="005C21AC"/>
    <w:rsid w:val="005C226A"/>
    <w:rsid w:val="005D2D1A"/>
    <w:rsid w:val="005E3706"/>
    <w:rsid w:val="005E7B84"/>
    <w:rsid w:val="005F155E"/>
    <w:rsid w:val="005F5733"/>
    <w:rsid w:val="00603A29"/>
    <w:rsid w:val="006042CE"/>
    <w:rsid w:val="00612DDD"/>
    <w:rsid w:val="00613777"/>
    <w:rsid w:val="0061400A"/>
    <w:rsid w:val="00614DEE"/>
    <w:rsid w:val="006222D7"/>
    <w:rsid w:val="00624E2D"/>
    <w:rsid w:val="00633B3D"/>
    <w:rsid w:val="0063764A"/>
    <w:rsid w:val="006405A3"/>
    <w:rsid w:val="00640A36"/>
    <w:rsid w:val="00640C2A"/>
    <w:rsid w:val="006479ED"/>
    <w:rsid w:val="00651225"/>
    <w:rsid w:val="00651EC4"/>
    <w:rsid w:val="00656ECA"/>
    <w:rsid w:val="006618AF"/>
    <w:rsid w:val="00662E0B"/>
    <w:rsid w:val="00665C21"/>
    <w:rsid w:val="00676F98"/>
    <w:rsid w:val="00680931"/>
    <w:rsid w:val="0068144F"/>
    <w:rsid w:val="00686195"/>
    <w:rsid w:val="00691A48"/>
    <w:rsid w:val="00692730"/>
    <w:rsid w:val="00694DE9"/>
    <w:rsid w:val="006B03E5"/>
    <w:rsid w:val="006B67D1"/>
    <w:rsid w:val="006B6CA4"/>
    <w:rsid w:val="006C0EFA"/>
    <w:rsid w:val="006C3FF4"/>
    <w:rsid w:val="006D1C4B"/>
    <w:rsid w:val="006D2B75"/>
    <w:rsid w:val="006D3BE2"/>
    <w:rsid w:val="006D4A5C"/>
    <w:rsid w:val="006E240A"/>
    <w:rsid w:val="006E2D0B"/>
    <w:rsid w:val="006E5B5D"/>
    <w:rsid w:val="006E642E"/>
    <w:rsid w:val="006F557B"/>
    <w:rsid w:val="006F5945"/>
    <w:rsid w:val="006F5EE8"/>
    <w:rsid w:val="00702FFF"/>
    <w:rsid w:val="00704D9D"/>
    <w:rsid w:val="00711555"/>
    <w:rsid w:val="007134FE"/>
    <w:rsid w:val="00715C1A"/>
    <w:rsid w:val="0072395D"/>
    <w:rsid w:val="0072439F"/>
    <w:rsid w:val="0074056D"/>
    <w:rsid w:val="00757A67"/>
    <w:rsid w:val="00760DCE"/>
    <w:rsid w:val="00761C54"/>
    <w:rsid w:val="00762B08"/>
    <w:rsid w:val="00767E3D"/>
    <w:rsid w:val="0077235E"/>
    <w:rsid w:val="0077640F"/>
    <w:rsid w:val="0078153E"/>
    <w:rsid w:val="007852D5"/>
    <w:rsid w:val="007863A8"/>
    <w:rsid w:val="00787521"/>
    <w:rsid w:val="0078752B"/>
    <w:rsid w:val="007932C8"/>
    <w:rsid w:val="007A1365"/>
    <w:rsid w:val="007A247E"/>
    <w:rsid w:val="007A3A89"/>
    <w:rsid w:val="007A3BB9"/>
    <w:rsid w:val="007A4242"/>
    <w:rsid w:val="007A7429"/>
    <w:rsid w:val="007B2410"/>
    <w:rsid w:val="007B6A5C"/>
    <w:rsid w:val="007C002D"/>
    <w:rsid w:val="007C305C"/>
    <w:rsid w:val="007C32DC"/>
    <w:rsid w:val="007D1DB5"/>
    <w:rsid w:val="007D4903"/>
    <w:rsid w:val="007D7046"/>
    <w:rsid w:val="007D75A6"/>
    <w:rsid w:val="007E5A66"/>
    <w:rsid w:val="007E659F"/>
    <w:rsid w:val="007E780F"/>
    <w:rsid w:val="007F1082"/>
    <w:rsid w:val="007F1EDC"/>
    <w:rsid w:val="007F26A2"/>
    <w:rsid w:val="00805853"/>
    <w:rsid w:val="00805A3B"/>
    <w:rsid w:val="00807FD7"/>
    <w:rsid w:val="00812AB2"/>
    <w:rsid w:val="00813B4D"/>
    <w:rsid w:val="00814D79"/>
    <w:rsid w:val="00815BCE"/>
    <w:rsid w:val="008163FC"/>
    <w:rsid w:val="00820C46"/>
    <w:rsid w:val="00822F64"/>
    <w:rsid w:val="00832151"/>
    <w:rsid w:val="008357A7"/>
    <w:rsid w:val="00835DD4"/>
    <w:rsid w:val="00836C72"/>
    <w:rsid w:val="00844A6A"/>
    <w:rsid w:val="00852E3F"/>
    <w:rsid w:val="008532C2"/>
    <w:rsid w:val="00853CD0"/>
    <w:rsid w:val="00854266"/>
    <w:rsid w:val="008553F4"/>
    <w:rsid w:val="00856812"/>
    <w:rsid w:val="00856D05"/>
    <w:rsid w:val="00856F58"/>
    <w:rsid w:val="00864DD7"/>
    <w:rsid w:val="00865AA0"/>
    <w:rsid w:val="008667AE"/>
    <w:rsid w:val="0086746E"/>
    <w:rsid w:val="00872AAE"/>
    <w:rsid w:val="00872B53"/>
    <w:rsid w:val="00873C79"/>
    <w:rsid w:val="00885479"/>
    <w:rsid w:val="00890C17"/>
    <w:rsid w:val="00891179"/>
    <w:rsid w:val="00891BDD"/>
    <w:rsid w:val="00891E9D"/>
    <w:rsid w:val="00897B23"/>
    <w:rsid w:val="008A09DA"/>
    <w:rsid w:val="008B2AC4"/>
    <w:rsid w:val="008B3913"/>
    <w:rsid w:val="008B44FA"/>
    <w:rsid w:val="008B4905"/>
    <w:rsid w:val="008B552E"/>
    <w:rsid w:val="008B6506"/>
    <w:rsid w:val="008C00E5"/>
    <w:rsid w:val="008C1AED"/>
    <w:rsid w:val="008C362F"/>
    <w:rsid w:val="008C65C3"/>
    <w:rsid w:val="008D6CCA"/>
    <w:rsid w:val="008E4451"/>
    <w:rsid w:val="008F065D"/>
    <w:rsid w:val="008F3149"/>
    <w:rsid w:val="00903FE8"/>
    <w:rsid w:val="00904B62"/>
    <w:rsid w:val="009054F6"/>
    <w:rsid w:val="0091153A"/>
    <w:rsid w:val="00913182"/>
    <w:rsid w:val="00913C69"/>
    <w:rsid w:val="009255AA"/>
    <w:rsid w:val="0092591A"/>
    <w:rsid w:val="0092731E"/>
    <w:rsid w:val="009321D0"/>
    <w:rsid w:val="00933BCD"/>
    <w:rsid w:val="00933CB1"/>
    <w:rsid w:val="009420E1"/>
    <w:rsid w:val="0095005C"/>
    <w:rsid w:val="00950394"/>
    <w:rsid w:val="00953EF7"/>
    <w:rsid w:val="00961F54"/>
    <w:rsid w:val="00964AD9"/>
    <w:rsid w:val="00966505"/>
    <w:rsid w:val="0096673D"/>
    <w:rsid w:val="00966C0D"/>
    <w:rsid w:val="0096755A"/>
    <w:rsid w:val="009746F6"/>
    <w:rsid w:val="009842DC"/>
    <w:rsid w:val="009868CB"/>
    <w:rsid w:val="00991167"/>
    <w:rsid w:val="00991AF2"/>
    <w:rsid w:val="009935BC"/>
    <w:rsid w:val="00993A59"/>
    <w:rsid w:val="009B297F"/>
    <w:rsid w:val="009B6B42"/>
    <w:rsid w:val="009C1A05"/>
    <w:rsid w:val="009C2CD9"/>
    <w:rsid w:val="009C2D3D"/>
    <w:rsid w:val="009D2BD3"/>
    <w:rsid w:val="009D4D36"/>
    <w:rsid w:val="009D6919"/>
    <w:rsid w:val="009E415C"/>
    <w:rsid w:val="009F2063"/>
    <w:rsid w:val="009F2A76"/>
    <w:rsid w:val="009F2C37"/>
    <w:rsid w:val="009F4E98"/>
    <w:rsid w:val="009F5AD6"/>
    <w:rsid w:val="009F79EA"/>
    <w:rsid w:val="00A00C67"/>
    <w:rsid w:val="00A02F23"/>
    <w:rsid w:val="00A1545A"/>
    <w:rsid w:val="00A15F29"/>
    <w:rsid w:val="00A17797"/>
    <w:rsid w:val="00A2074A"/>
    <w:rsid w:val="00A211B6"/>
    <w:rsid w:val="00A2469E"/>
    <w:rsid w:val="00A35495"/>
    <w:rsid w:val="00A4261F"/>
    <w:rsid w:val="00A44A99"/>
    <w:rsid w:val="00A44B0B"/>
    <w:rsid w:val="00A4500B"/>
    <w:rsid w:val="00A456A4"/>
    <w:rsid w:val="00A533FC"/>
    <w:rsid w:val="00A5708E"/>
    <w:rsid w:val="00A60886"/>
    <w:rsid w:val="00A72D41"/>
    <w:rsid w:val="00A76381"/>
    <w:rsid w:val="00A770B8"/>
    <w:rsid w:val="00A80D15"/>
    <w:rsid w:val="00A831B7"/>
    <w:rsid w:val="00A869EC"/>
    <w:rsid w:val="00A87182"/>
    <w:rsid w:val="00A9676D"/>
    <w:rsid w:val="00AB5EEB"/>
    <w:rsid w:val="00AB7A98"/>
    <w:rsid w:val="00AC71F4"/>
    <w:rsid w:val="00AC7A76"/>
    <w:rsid w:val="00AD05D8"/>
    <w:rsid w:val="00AD25DE"/>
    <w:rsid w:val="00AE3524"/>
    <w:rsid w:val="00AE51DD"/>
    <w:rsid w:val="00AE5850"/>
    <w:rsid w:val="00AE7324"/>
    <w:rsid w:val="00B0350C"/>
    <w:rsid w:val="00B12113"/>
    <w:rsid w:val="00B15A95"/>
    <w:rsid w:val="00B1627D"/>
    <w:rsid w:val="00B16EBE"/>
    <w:rsid w:val="00B22E63"/>
    <w:rsid w:val="00B24217"/>
    <w:rsid w:val="00B25F03"/>
    <w:rsid w:val="00B268E6"/>
    <w:rsid w:val="00B330EF"/>
    <w:rsid w:val="00B40646"/>
    <w:rsid w:val="00B41B06"/>
    <w:rsid w:val="00B477A7"/>
    <w:rsid w:val="00B51E54"/>
    <w:rsid w:val="00B557C6"/>
    <w:rsid w:val="00B57DC2"/>
    <w:rsid w:val="00B6049B"/>
    <w:rsid w:val="00B62370"/>
    <w:rsid w:val="00B73ECD"/>
    <w:rsid w:val="00B77683"/>
    <w:rsid w:val="00B84B3E"/>
    <w:rsid w:val="00B90ADE"/>
    <w:rsid w:val="00B937A4"/>
    <w:rsid w:val="00B93F1D"/>
    <w:rsid w:val="00B9654F"/>
    <w:rsid w:val="00BA09AF"/>
    <w:rsid w:val="00BA19F2"/>
    <w:rsid w:val="00BA5916"/>
    <w:rsid w:val="00BB21BE"/>
    <w:rsid w:val="00BB323A"/>
    <w:rsid w:val="00BB64E7"/>
    <w:rsid w:val="00BB793C"/>
    <w:rsid w:val="00BC4CBF"/>
    <w:rsid w:val="00BD5096"/>
    <w:rsid w:val="00BE0EA7"/>
    <w:rsid w:val="00BE2626"/>
    <w:rsid w:val="00BE6315"/>
    <w:rsid w:val="00C00537"/>
    <w:rsid w:val="00C03DD4"/>
    <w:rsid w:val="00C04D9C"/>
    <w:rsid w:val="00C06436"/>
    <w:rsid w:val="00C0645E"/>
    <w:rsid w:val="00C1099F"/>
    <w:rsid w:val="00C11B79"/>
    <w:rsid w:val="00C130BA"/>
    <w:rsid w:val="00C1316B"/>
    <w:rsid w:val="00C1524B"/>
    <w:rsid w:val="00C22AC8"/>
    <w:rsid w:val="00C31561"/>
    <w:rsid w:val="00C3182E"/>
    <w:rsid w:val="00C337BD"/>
    <w:rsid w:val="00C33D70"/>
    <w:rsid w:val="00C3521F"/>
    <w:rsid w:val="00C37208"/>
    <w:rsid w:val="00C41936"/>
    <w:rsid w:val="00C41F9E"/>
    <w:rsid w:val="00C43BF4"/>
    <w:rsid w:val="00C44F78"/>
    <w:rsid w:val="00C45FF6"/>
    <w:rsid w:val="00C51D45"/>
    <w:rsid w:val="00C556BE"/>
    <w:rsid w:val="00C5747F"/>
    <w:rsid w:val="00C64BCB"/>
    <w:rsid w:val="00C64D5A"/>
    <w:rsid w:val="00C71DCA"/>
    <w:rsid w:val="00C722A1"/>
    <w:rsid w:val="00C75B52"/>
    <w:rsid w:val="00C77466"/>
    <w:rsid w:val="00C809D5"/>
    <w:rsid w:val="00C8184C"/>
    <w:rsid w:val="00C91517"/>
    <w:rsid w:val="00CB01DC"/>
    <w:rsid w:val="00CB5E85"/>
    <w:rsid w:val="00CB786A"/>
    <w:rsid w:val="00CD06F9"/>
    <w:rsid w:val="00CD49EA"/>
    <w:rsid w:val="00CD5CA5"/>
    <w:rsid w:val="00CD60F7"/>
    <w:rsid w:val="00CD7924"/>
    <w:rsid w:val="00CE399A"/>
    <w:rsid w:val="00CE4727"/>
    <w:rsid w:val="00CE59DF"/>
    <w:rsid w:val="00CE5ABE"/>
    <w:rsid w:val="00CE6878"/>
    <w:rsid w:val="00CE7197"/>
    <w:rsid w:val="00CF08B0"/>
    <w:rsid w:val="00CF1057"/>
    <w:rsid w:val="00CF155C"/>
    <w:rsid w:val="00CF2AD3"/>
    <w:rsid w:val="00CF2E9A"/>
    <w:rsid w:val="00CF5E00"/>
    <w:rsid w:val="00CF6366"/>
    <w:rsid w:val="00CF7806"/>
    <w:rsid w:val="00D02B58"/>
    <w:rsid w:val="00D038F8"/>
    <w:rsid w:val="00D05571"/>
    <w:rsid w:val="00D05617"/>
    <w:rsid w:val="00D0567C"/>
    <w:rsid w:val="00D10D1D"/>
    <w:rsid w:val="00D113A7"/>
    <w:rsid w:val="00D12F4A"/>
    <w:rsid w:val="00D13F35"/>
    <w:rsid w:val="00D23A6D"/>
    <w:rsid w:val="00D305BA"/>
    <w:rsid w:val="00D30DA3"/>
    <w:rsid w:val="00D31242"/>
    <w:rsid w:val="00D32AD3"/>
    <w:rsid w:val="00D35795"/>
    <w:rsid w:val="00D359B7"/>
    <w:rsid w:val="00D35AF7"/>
    <w:rsid w:val="00D4281E"/>
    <w:rsid w:val="00D42F1C"/>
    <w:rsid w:val="00D44299"/>
    <w:rsid w:val="00D517B2"/>
    <w:rsid w:val="00D647A0"/>
    <w:rsid w:val="00D71275"/>
    <w:rsid w:val="00D742FB"/>
    <w:rsid w:val="00D753F3"/>
    <w:rsid w:val="00D83BCF"/>
    <w:rsid w:val="00D85CE3"/>
    <w:rsid w:val="00D85F91"/>
    <w:rsid w:val="00D9137D"/>
    <w:rsid w:val="00DA482E"/>
    <w:rsid w:val="00DA4838"/>
    <w:rsid w:val="00DA77BA"/>
    <w:rsid w:val="00DB0AAD"/>
    <w:rsid w:val="00DB0E15"/>
    <w:rsid w:val="00DB4E46"/>
    <w:rsid w:val="00DB6534"/>
    <w:rsid w:val="00DB7E72"/>
    <w:rsid w:val="00DC21EA"/>
    <w:rsid w:val="00DC502A"/>
    <w:rsid w:val="00DC6866"/>
    <w:rsid w:val="00DD20F8"/>
    <w:rsid w:val="00DE2E05"/>
    <w:rsid w:val="00DE47E9"/>
    <w:rsid w:val="00DF2B52"/>
    <w:rsid w:val="00E0047B"/>
    <w:rsid w:val="00E05DBF"/>
    <w:rsid w:val="00E13412"/>
    <w:rsid w:val="00E15EAF"/>
    <w:rsid w:val="00E16211"/>
    <w:rsid w:val="00E2192F"/>
    <w:rsid w:val="00E22BF1"/>
    <w:rsid w:val="00E32F6E"/>
    <w:rsid w:val="00E411E7"/>
    <w:rsid w:val="00E44724"/>
    <w:rsid w:val="00E45E96"/>
    <w:rsid w:val="00E501D5"/>
    <w:rsid w:val="00E51524"/>
    <w:rsid w:val="00E544F8"/>
    <w:rsid w:val="00E56B02"/>
    <w:rsid w:val="00E5714C"/>
    <w:rsid w:val="00E577D8"/>
    <w:rsid w:val="00E6064A"/>
    <w:rsid w:val="00E65259"/>
    <w:rsid w:val="00E6578E"/>
    <w:rsid w:val="00E71FDD"/>
    <w:rsid w:val="00E72029"/>
    <w:rsid w:val="00E8301F"/>
    <w:rsid w:val="00E9551B"/>
    <w:rsid w:val="00EA054E"/>
    <w:rsid w:val="00EA3BB4"/>
    <w:rsid w:val="00EB1821"/>
    <w:rsid w:val="00EC1C2A"/>
    <w:rsid w:val="00EC2D05"/>
    <w:rsid w:val="00EC5F41"/>
    <w:rsid w:val="00ED059D"/>
    <w:rsid w:val="00EE099E"/>
    <w:rsid w:val="00EE40E1"/>
    <w:rsid w:val="00EE6CC7"/>
    <w:rsid w:val="00EE765B"/>
    <w:rsid w:val="00EE7CFD"/>
    <w:rsid w:val="00EF05F8"/>
    <w:rsid w:val="00EF1585"/>
    <w:rsid w:val="00EF2E7C"/>
    <w:rsid w:val="00EF7FC7"/>
    <w:rsid w:val="00F01F38"/>
    <w:rsid w:val="00F05500"/>
    <w:rsid w:val="00F113B3"/>
    <w:rsid w:val="00F1354F"/>
    <w:rsid w:val="00F159A0"/>
    <w:rsid w:val="00F1655D"/>
    <w:rsid w:val="00F20AEA"/>
    <w:rsid w:val="00F24893"/>
    <w:rsid w:val="00F26C01"/>
    <w:rsid w:val="00F30DA2"/>
    <w:rsid w:val="00F31CD9"/>
    <w:rsid w:val="00F31DCF"/>
    <w:rsid w:val="00F337CC"/>
    <w:rsid w:val="00F42CA7"/>
    <w:rsid w:val="00F441E2"/>
    <w:rsid w:val="00F55DAB"/>
    <w:rsid w:val="00F57EC7"/>
    <w:rsid w:val="00F6135A"/>
    <w:rsid w:val="00F65BB3"/>
    <w:rsid w:val="00F66574"/>
    <w:rsid w:val="00F7054D"/>
    <w:rsid w:val="00F712A0"/>
    <w:rsid w:val="00F7189A"/>
    <w:rsid w:val="00F76919"/>
    <w:rsid w:val="00F80D4E"/>
    <w:rsid w:val="00F810BD"/>
    <w:rsid w:val="00F8371B"/>
    <w:rsid w:val="00F907F0"/>
    <w:rsid w:val="00F93C0E"/>
    <w:rsid w:val="00F97930"/>
    <w:rsid w:val="00FB23E3"/>
    <w:rsid w:val="00FB2A3A"/>
    <w:rsid w:val="00FB4073"/>
    <w:rsid w:val="00FB422A"/>
    <w:rsid w:val="00FC3D41"/>
    <w:rsid w:val="00FC46A6"/>
    <w:rsid w:val="00FC6499"/>
    <w:rsid w:val="00FD0F6A"/>
    <w:rsid w:val="00FD7900"/>
    <w:rsid w:val="00FE131B"/>
    <w:rsid w:val="00FE410C"/>
    <w:rsid w:val="00FF167E"/>
    <w:rsid w:val="00FF1F0E"/>
    <w:rsid w:val="00FF2141"/>
    <w:rsid w:val="00FF2337"/>
    <w:rsid w:val="00FF4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06F08"/>
  <w15:docId w15:val="{3A1BEFDC-1E2B-4638-98DF-D024111AE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f5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0">
    <w:basedOn w:val="TableNormalf5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character" w:styleId="Hipervnculo">
    <w:name w:val="Hyperlink"/>
    <w:basedOn w:val="Fuentedeprrafopredeter"/>
    <w:uiPriority w:val="99"/>
    <w:unhideWhenUsed/>
    <w:rsid w:val="00FE7DB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E7DB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D48F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paragraph" w:styleId="Textocomentario">
    <w:name w:val="annotation text"/>
    <w:basedOn w:val="Normal"/>
    <w:link w:val="TextocomentarioCar"/>
    <w:uiPriority w:val="99"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uentedeprrafopredeter"/>
    <w:rsid w:val="00A35D58"/>
  </w:style>
  <w:style w:type="table" w:styleId="Tablaconcuadrcula">
    <w:name w:val="Table Grid"/>
    <w:basedOn w:val="Tablanormal"/>
    <w:uiPriority w:val="39"/>
    <w:rsid w:val="00A35D58"/>
    <w:rPr>
      <w:rFonts w:asciiTheme="minorHAnsi" w:eastAsiaTheme="minorHAnsi" w:hAnsiTheme="minorHAnsi" w:cstheme="minorBidi"/>
      <w:kern w:val="2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f2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f2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40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4008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4C3974"/>
    <w:pPr>
      <w:ind w:left="720"/>
      <w:contextualSpacing/>
    </w:pPr>
  </w:style>
  <w:style w:type="character" w:styleId="Referenciaintensa">
    <w:name w:val="Intense Reference"/>
    <w:basedOn w:val="Fuentedeprrafopredeter"/>
    <w:uiPriority w:val="32"/>
    <w:qFormat/>
    <w:rsid w:val="00A775CB"/>
    <w:rPr>
      <w:b/>
      <w:bCs/>
      <w:smallCaps/>
      <w:color w:val="365F91" w:themeColor="accent1" w:themeShade="BF"/>
      <w:spacing w:val="5"/>
    </w:rPr>
  </w:style>
  <w:style w:type="table" w:customStyle="1" w:styleId="a3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39D9CD"/>
          <w:left w:val="single" w:sz="4" w:space="0" w:color="39D9CD"/>
          <w:bottom w:val="single" w:sz="4" w:space="0" w:color="39D9CD"/>
          <w:right w:val="single" w:sz="4" w:space="0" w:color="39D9CD"/>
          <w:insideH w:val="nil"/>
          <w:insideV w:val="nil"/>
        </w:tcBorders>
        <w:shd w:val="clear" w:color="auto" w:fill="39D9CD"/>
      </w:tcPr>
    </w:tblStylePr>
    <w:tblStylePr w:type="lastRow">
      <w:rPr>
        <w:b/>
      </w:rPr>
      <w:tblPr/>
      <w:tcPr>
        <w:tcBorders>
          <w:top w:val="single" w:sz="4" w:space="0" w:color="39D9C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7F7F4"/>
      </w:tcPr>
    </w:tblStylePr>
    <w:tblStylePr w:type="band1Horz">
      <w:tblPr/>
      <w:tcPr>
        <w:shd w:val="clear" w:color="auto" w:fill="D7F7F4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9B09EE"/>
    <w:rPr>
      <w:color w:val="800080" w:themeColor="followedHyperlink"/>
      <w:u w:val="single"/>
    </w:rPr>
  </w:style>
  <w:style w:type="table" w:styleId="Tablaconcuadrcula5oscura-nfasis1">
    <w:name w:val="Grid Table 5 Dark Accent 1"/>
    <w:basedOn w:val="Tablanormal"/>
    <w:uiPriority w:val="50"/>
    <w:rsid w:val="00B7768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2827A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14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fotocasa.es" TargetMode="External"/><Relationship Id="rId18" Type="http://schemas.openxmlformats.org/officeDocument/2006/relationships/hyperlink" Target="https://www.habitaclia.com/" TargetMode="Externa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yperlink" Target="https://get.witei.com/en/" TargetMode="Externa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hyperlink" Target="https://www.fotocasa.es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prensa.fotocasa.es" TargetMode="External"/><Relationship Id="rId20" Type="http://schemas.openxmlformats.org/officeDocument/2006/relationships/hyperlink" Target="https://datavenues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atavenues.com/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research.fotocasa.es" TargetMode="External"/><Relationship Id="rId23" Type="http://schemas.openxmlformats.org/officeDocument/2006/relationships/hyperlink" Target="mailto:comunicacion@fotocasa.es" TargetMode="External"/><Relationship Id="rId10" Type="http://schemas.openxmlformats.org/officeDocument/2006/relationships/hyperlink" Target="https://www.fotocasa.es" TargetMode="External"/><Relationship Id="rId19" Type="http://schemas.openxmlformats.org/officeDocument/2006/relationships/hyperlink" Target="https://profesionales.fotocasa.es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fotocasa.es/indice/" TargetMode="External"/><Relationship Id="rId22" Type="http://schemas.openxmlformats.org/officeDocument/2006/relationships/hyperlink" Target="https://www.inmoweb.es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5f733b000be7bd91/Documents/02.%20Projectes/2026/260610_&#205;ndex%20Negociaci&#243;/results_city_march_2026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negotiation_index_march_2026!$B$1</c:f>
              <c:strCache>
                <c:ptCount val="1"/>
                <c:pt idx="0">
                  <c:v>negotiation_index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negotiation_index_march_2026!$A$2:$A$52</c:f>
              <c:strCache>
                <c:ptCount val="51"/>
                <c:pt idx="0">
                  <c:v>Palma</c:v>
                </c:pt>
                <c:pt idx="1">
                  <c:v>Alicante </c:v>
                </c:pt>
                <c:pt idx="2">
                  <c:v>Valencia </c:v>
                </c:pt>
                <c:pt idx="3">
                  <c:v>Las Palmas</c:v>
                </c:pt>
                <c:pt idx="4">
                  <c:v>Castellón</c:v>
                </c:pt>
                <c:pt idx="5">
                  <c:v>Palencia </c:v>
                </c:pt>
                <c:pt idx="6">
                  <c:v>Málaga </c:v>
                </c:pt>
                <c:pt idx="7">
                  <c:v>Granada </c:v>
                </c:pt>
                <c:pt idx="8">
                  <c:v>Ciudad Real </c:v>
                </c:pt>
                <c:pt idx="9">
                  <c:v>Vitoria </c:v>
                </c:pt>
                <c:pt idx="10">
                  <c:v>Tarragona </c:v>
                </c:pt>
                <c:pt idx="11">
                  <c:v>Murcia </c:v>
                </c:pt>
                <c:pt idx="12">
                  <c:v>Jaén </c:v>
                </c:pt>
                <c:pt idx="13">
                  <c:v>Cuenca </c:v>
                </c:pt>
                <c:pt idx="14">
                  <c:v>Badajoz </c:v>
                </c:pt>
                <c:pt idx="15">
                  <c:v>Segovia </c:v>
                </c:pt>
                <c:pt idx="16">
                  <c:v>Salamanca </c:v>
                </c:pt>
                <c:pt idx="17">
                  <c:v>Lleida</c:v>
                </c:pt>
                <c:pt idx="18">
                  <c:v>León </c:v>
                </c:pt>
                <c:pt idx="19">
                  <c:v>Córdoba </c:v>
                </c:pt>
                <c:pt idx="20">
                  <c:v>Vigo </c:v>
                </c:pt>
                <c:pt idx="21">
                  <c:v>Toledo </c:v>
                </c:pt>
                <c:pt idx="22">
                  <c:v>Sevilla </c:v>
                </c:pt>
                <c:pt idx="23">
                  <c:v>Santander </c:v>
                </c:pt>
                <c:pt idx="24">
                  <c:v>Santa Cruz</c:v>
                </c:pt>
                <c:pt idx="25">
                  <c:v>Pontevedra </c:v>
                </c:pt>
                <c:pt idx="26">
                  <c:v>Oviedo </c:v>
                </c:pt>
                <c:pt idx="27">
                  <c:v>Madrid </c:v>
                </c:pt>
                <c:pt idx="28">
                  <c:v>A Coruña </c:v>
                </c:pt>
                <c:pt idx="29">
                  <c:v>Huesca </c:v>
                </c:pt>
                <c:pt idx="30">
                  <c:v>Guadalajara </c:v>
                </c:pt>
                <c:pt idx="31">
                  <c:v>Girona </c:v>
                </c:pt>
                <c:pt idx="32">
                  <c:v>Cáceres </c:v>
                </c:pt>
                <c:pt idx="33">
                  <c:v>Almería </c:v>
                </c:pt>
                <c:pt idx="34">
                  <c:v>Zaragoza </c:v>
                </c:pt>
                <c:pt idx="35">
                  <c:v>Valladolid </c:v>
                </c:pt>
                <c:pt idx="36">
                  <c:v>Pamplona </c:v>
                </c:pt>
                <c:pt idx="37">
                  <c:v>Logroño </c:v>
                </c:pt>
                <c:pt idx="38">
                  <c:v>Barcelona </c:v>
                </c:pt>
                <c:pt idx="39">
                  <c:v>Teruel </c:v>
                </c:pt>
                <c:pt idx="40">
                  <c:v>Ourense </c:v>
                </c:pt>
                <c:pt idx="41">
                  <c:v>Lugo </c:v>
                </c:pt>
                <c:pt idx="42">
                  <c:v>Burgos </c:v>
                </c:pt>
                <c:pt idx="43">
                  <c:v>Bilbao </c:v>
                </c:pt>
                <c:pt idx="44">
                  <c:v>Ávila </c:v>
                </c:pt>
                <c:pt idx="45">
                  <c:v>Albacete </c:v>
                </c:pt>
                <c:pt idx="46">
                  <c:v>Soria </c:v>
                </c:pt>
                <c:pt idx="47">
                  <c:v>Huelva </c:v>
                </c:pt>
                <c:pt idx="48">
                  <c:v>Cádiz </c:v>
                </c:pt>
                <c:pt idx="49">
                  <c:v>Zamora </c:v>
                </c:pt>
                <c:pt idx="50">
                  <c:v>San Sebastián</c:v>
                </c:pt>
              </c:strCache>
            </c:strRef>
          </c:cat>
          <c:val>
            <c:numRef>
              <c:f>negotiation_index_march_2026!$B$2:$B$52</c:f>
              <c:numCache>
                <c:formatCode>0%</c:formatCode>
                <c:ptCount val="51"/>
                <c:pt idx="0">
                  <c:v>0.16</c:v>
                </c:pt>
                <c:pt idx="1">
                  <c:v>0.13</c:v>
                </c:pt>
                <c:pt idx="2">
                  <c:v>0.12</c:v>
                </c:pt>
                <c:pt idx="3">
                  <c:v>0.11</c:v>
                </c:pt>
                <c:pt idx="4">
                  <c:v>0.11</c:v>
                </c:pt>
                <c:pt idx="5">
                  <c:v>0.1</c:v>
                </c:pt>
                <c:pt idx="6">
                  <c:v>0.09</c:v>
                </c:pt>
                <c:pt idx="7">
                  <c:v>0.09</c:v>
                </c:pt>
                <c:pt idx="8">
                  <c:v>0.09</c:v>
                </c:pt>
                <c:pt idx="9">
                  <c:v>0.08</c:v>
                </c:pt>
                <c:pt idx="10">
                  <c:v>0.08</c:v>
                </c:pt>
                <c:pt idx="11">
                  <c:v>0.08</c:v>
                </c:pt>
                <c:pt idx="12">
                  <c:v>0.08</c:v>
                </c:pt>
                <c:pt idx="13">
                  <c:v>0.08</c:v>
                </c:pt>
                <c:pt idx="14">
                  <c:v>0.08</c:v>
                </c:pt>
                <c:pt idx="15">
                  <c:v>7.0000000000000007E-2</c:v>
                </c:pt>
                <c:pt idx="16">
                  <c:v>7.0000000000000007E-2</c:v>
                </c:pt>
                <c:pt idx="17">
                  <c:v>7.0000000000000007E-2</c:v>
                </c:pt>
                <c:pt idx="18">
                  <c:v>7.0000000000000007E-2</c:v>
                </c:pt>
                <c:pt idx="19">
                  <c:v>7.0000000000000007E-2</c:v>
                </c:pt>
                <c:pt idx="20">
                  <c:v>0.06</c:v>
                </c:pt>
                <c:pt idx="21">
                  <c:v>0.06</c:v>
                </c:pt>
                <c:pt idx="22">
                  <c:v>0.06</c:v>
                </c:pt>
                <c:pt idx="23">
                  <c:v>0.06</c:v>
                </c:pt>
                <c:pt idx="24">
                  <c:v>0.06</c:v>
                </c:pt>
                <c:pt idx="25">
                  <c:v>0.06</c:v>
                </c:pt>
                <c:pt idx="26">
                  <c:v>0.06</c:v>
                </c:pt>
                <c:pt idx="27">
                  <c:v>0.06</c:v>
                </c:pt>
                <c:pt idx="28">
                  <c:v>0.06</c:v>
                </c:pt>
                <c:pt idx="29">
                  <c:v>0.06</c:v>
                </c:pt>
                <c:pt idx="30">
                  <c:v>0.06</c:v>
                </c:pt>
                <c:pt idx="31">
                  <c:v>0.06</c:v>
                </c:pt>
                <c:pt idx="32">
                  <c:v>0.06</c:v>
                </c:pt>
                <c:pt idx="33">
                  <c:v>0.06</c:v>
                </c:pt>
                <c:pt idx="34">
                  <c:v>0.05</c:v>
                </c:pt>
                <c:pt idx="35">
                  <c:v>0.05</c:v>
                </c:pt>
                <c:pt idx="36">
                  <c:v>0.05</c:v>
                </c:pt>
                <c:pt idx="37">
                  <c:v>0.05</c:v>
                </c:pt>
                <c:pt idx="38">
                  <c:v>0.05</c:v>
                </c:pt>
                <c:pt idx="39">
                  <c:v>0.04</c:v>
                </c:pt>
                <c:pt idx="40">
                  <c:v>0.04</c:v>
                </c:pt>
                <c:pt idx="41">
                  <c:v>0.04</c:v>
                </c:pt>
                <c:pt idx="42">
                  <c:v>0.04</c:v>
                </c:pt>
                <c:pt idx="43">
                  <c:v>0.04</c:v>
                </c:pt>
                <c:pt idx="44">
                  <c:v>0.04</c:v>
                </c:pt>
                <c:pt idx="45">
                  <c:v>0.04</c:v>
                </c:pt>
                <c:pt idx="46">
                  <c:v>0.03</c:v>
                </c:pt>
                <c:pt idx="47">
                  <c:v>0.03</c:v>
                </c:pt>
                <c:pt idx="48">
                  <c:v>0.03</c:v>
                </c:pt>
                <c:pt idx="49">
                  <c:v>0.02</c:v>
                </c:pt>
                <c:pt idx="50">
                  <c:v>0.01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47-489D-84B9-6AF228278A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53135024"/>
        <c:axId val="1853152304"/>
      </c:barChart>
      <c:catAx>
        <c:axId val="1853135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ca-ES"/>
          </a:p>
        </c:txPr>
        <c:crossAx val="1853152304"/>
        <c:crosses val="autoZero"/>
        <c:auto val="1"/>
        <c:lblAlgn val="ctr"/>
        <c:lblOffset val="100"/>
        <c:noMultiLvlLbl val="0"/>
      </c:catAx>
      <c:valAx>
        <c:axId val="1853152304"/>
        <c:scaling>
          <c:orientation val="minMax"/>
          <c:max val="0.1600000000000000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ca-ES"/>
          </a:p>
        </c:txPr>
        <c:crossAx val="18531350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a-E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/oUA0qfZ+aXkD+u2b+Hk1pMCMw==">CgMxLjAyCWguMnM4ZXlvMTgAciExY0o1VnVEVzhUeVp3eUJFTDMxU08yZHdicU9pYWJVal8=</go:docsCustomData>
</go:gDocsCustomXmlDataStorage>
</file>

<file path=customXml/itemProps1.xml><?xml version="1.0" encoding="utf-8"?>
<ds:datastoreItem xmlns:ds="http://schemas.openxmlformats.org/officeDocument/2006/customXml" ds:itemID="{C9FFA135-D921-48EF-9FBF-99922F0D716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1646</TotalTime>
  <Pages>1</Pages>
  <Words>1067</Words>
  <Characters>5874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Anais Garcia Lopez</cp:lastModifiedBy>
  <cp:revision>610</cp:revision>
  <cp:lastPrinted>2024-12-10T10:08:00Z</cp:lastPrinted>
  <dcterms:created xsi:type="dcterms:W3CDTF">2024-02-06T13:46:00Z</dcterms:created>
  <dcterms:modified xsi:type="dcterms:W3CDTF">2026-06-15T21:05:00Z</dcterms:modified>
</cp:coreProperties>
</file>