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78475" w14:textId="77777777" w:rsidR="006450E1" w:rsidRDefault="00000000">
      <w:r>
        <w:rPr>
          <w:noProof/>
        </w:rPr>
        <w:drawing>
          <wp:anchor distT="0" distB="0" distL="114300" distR="114300" simplePos="0" relativeHeight="251658240" behindDoc="0" locked="0" layoutInCell="1" hidden="0" allowOverlap="1" wp14:anchorId="402047BE" wp14:editId="316D21AF">
            <wp:simplePos x="0" y="0"/>
            <wp:positionH relativeFrom="column">
              <wp:posOffset>-1080116</wp:posOffset>
            </wp:positionH>
            <wp:positionV relativeFrom="paragraph">
              <wp:posOffset>-654665</wp:posOffset>
            </wp:positionV>
            <wp:extent cx="7581265"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7614628" w14:textId="77777777" w:rsidR="006450E1" w:rsidRDefault="006450E1">
      <w:pPr>
        <w:jc w:val="right"/>
        <w:rPr>
          <w:rFonts w:ascii="National" w:eastAsia="National" w:hAnsi="National" w:cs="National"/>
          <w:color w:val="303AB2"/>
          <w:sz w:val="36"/>
          <w:szCs w:val="36"/>
        </w:rPr>
      </w:pPr>
    </w:p>
    <w:p w14:paraId="19CD5B94" w14:textId="77777777" w:rsidR="006450E1" w:rsidRDefault="006450E1">
      <w:pPr>
        <w:rPr>
          <w:rFonts w:ascii="National" w:eastAsia="National" w:hAnsi="National" w:cs="National"/>
          <w:color w:val="303AB2"/>
          <w:sz w:val="18"/>
          <w:szCs w:val="18"/>
        </w:rPr>
      </w:pPr>
    </w:p>
    <w:p w14:paraId="763EF795" w14:textId="77777777" w:rsidR="006450E1" w:rsidRDefault="00000000">
      <w:pPr>
        <w:pBdr>
          <w:top w:val="nil"/>
          <w:left w:val="nil"/>
          <w:bottom w:val="nil"/>
          <w:right w:val="nil"/>
          <w:between w:val="nil"/>
        </w:pBdr>
        <w:spacing w:line="276" w:lineRule="auto"/>
        <w:ind w:left="1080"/>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RADIOGRAFÍA DEL MERCADO DE LA VIVIENDA</w:t>
      </w:r>
    </w:p>
    <w:p w14:paraId="68ACFF85" w14:textId="77777777" w:rsidR="006450E1" w:rsidRDefault="00000000">
      <w:pPr>
        <w:pBdr>
          <w:top w:val="nil"/>
          <w:left w:val="nil"/>
          <w:bottom w:val="nil"/>
          <w:right w:val="nil"/>
          <w:between w:val="nil"/>
        </w:pBdr>
        <w:spacing w:line="276" w:lineRule="auto"/>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Baleares lidera el mercado de la compraventa en España mientras Madrid encabeza la mayor actividad en el alquiler</w:t>
      </w:r>
    </w:p>
    <w:p w14:paraId="4FD37CD6" w14:textId="77777777" w:rsidR="006450E1" w:rsidRDefault="006450E1">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7F6910AE" w14:textId="77777777" w:rsidR="006450E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Baleares lidera la participación en la compraventa de vivienda con un 22%, mientras Madrid encabeza la actividad en el alquiler con un 17%</w:t>
      </w:r>
    </w:p>
    <w:p w14:paraId="7CB1D579" w14:textId="77777777" w:rsidR="006450E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20% de los baleares ha comprado o intentado comprar vivienda en el último año, pero con la menor tasa de oferta del país</w:t>
      </w:r>
    </w:p>
    <w:p w14:paraId="4D57834F" w14:textId="77777777" w:rsidR="006450E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Comunidad Valenciana registra la mayor proporción de vendedores de vivienda</w:t>
      </w:r>
    </w:p>
    <w:p w14:paraId="31554D62" w14:textId="77777777" w:rsidR="006450E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lidera la actividad en el mercado del alquiler gracias a una demanda que alcanza al 14% de la población</w:t>
      </w:r>
    </w:p>
    <w:p w14:paraId="308680B8" w14:textId="77777777" w:rsidR="006450E1" w:rsidRDefault="006450E1">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3304DDB3" w14:textId="77777777" w:rsidR="006450E1"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4 de junio de 2026</w:t>
      </w:r>
      <w:r>
        <w:rPr>
          <w:rFonts w:ascii="Open Sans Light" w:eastAsia="Open Sans Light" w:hAnsi="Open Sans Light" w:cs="Open Sans Light"/>
          <w:b/>
          <w:bCs/>
          <w:color w:val="303AB2"/>
        </w:rPr>
        <w:tab/>
      </w:r>
    </w:p>
    <w:p w14:paraId="5CB9E11C" w14:textId="77777777" w:rsidR="006450E1" w:rsidRDefault="006450E1">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61FDDB24" w14:textId="77777777" w:rsidR="006450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participación de los particulares en los mercados de compraventa y alquiler de vivienda presenta importantes diferencias territoriales en España. Actualmente, Baleares es la comunidad autónoma con una mayor actividad en el mercado de la vivienda en propiedad, mientras que Madrid lidera la actividad en el segmento del alquiler. En concreto, un 18% de los mayores de 18 años en España ha realizado alguna acción de oferta o demanda en el mercado de compraventa durante los últimos doce meses. Por encima de esta media nacional se sitúan Baleares, con un 22%, Canarias, con un 20%, y Madrid, con un 19%. Cataluña registra exactamente el mismo porcentaje que el conjunto nacional, un 18%, mientras que Andalucía y la Comunidad Valenciana se sitúan ligeramente por debajo, ambas con un 17%, </w:t>
      </w:r>
      <w:r>
        <w:rPr>
          <w:rFonts w:ascii="Open Sans" w:eastAsia="Open Sans" w:hAnsi="Open Sans" w:cs="Open Sans"/>
          <w:b/>
          <w:bCs/>
        </w:rPr>
        <w:t xml:space="preserve">según los datos extraídos a partir de la última encuesta de </w:t>
      </w:r>
      <w:hyperlink r:id="rId9">
        <w:r>
          <w:rPr>
            <w:rFonts w:ascii="Open Sans" w:eastAsia="Open Sans" w:hAnsi="Open Sans" w:cs="Open Sans"/>
            <w:b/>
            <w:bCs/>
            <w:color w:val="0000FF"/>
            <w:u w:val="single"/>
          </w:rPr>
          <w:t>Fotocasa Research</w:t>
        </w:r>
      </w:hyperlink>
      <w:r>
        <w:rPr>
          <w:rFonts w:ascii="Open Sans" w:eastAsia="Open Sans" w:hAnsi="Open Sans" w:cs="Open Sans"/>
        </w:rPr>
        <w:t>.</w:t>
      </w:r>
    </w:p>
    <w:p w14:paraId="62CCEA77" w14:textId="77777777" w:rsidR="006450E1" w:rsidRDefault="006450E1">
      <w:pPr>
        <w:pBdr>
          <w:top w:val="nil"/>
          <w:left w:val="nil"/>
          <w:bottom w:val="nil"/>
          <w:right w:val="nil"/>
          <w:between w:val="nil"/>
        </w:pBdr>
        <w:spacing w:line="276" w:lineRule="auto"/>
        <w:jc w:val="both"/>
        <w:rPr>
          <w:rFonts w:ascii="Open Sans" w:eastAsia="Open Sans" w:hAnsi="Open Sans" w:cs="Open Sans"/>
        </w:rPr>
      </w:pPr>
    </w:p>
    <w:p w14:paraId="6A4BB0C4" w14:textId="77777777" w:rsidR="006450E1"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"Los datos muestran que la actividad responde a dinámicas muy diferentes según el territorio. Baleares se ha convertido en el principal foco de actividad en la compraventa porque concentra una de las mayores presiones de demanda, </w:t>
      </w:r>
      <w:r>
        <w:rPr>
          <w:rFonts w:ascii="Open Sans" w:eastAsia="Open Sans" w:hAnsi="Open Sans" w:cs="Open Sans"/>
        </w:rPr>
        <w:lastRenderedPageBreak/>
        <w:t xml:space="preserve">impulsada tanto por el atractivo residencial de las islas como por una oferta muy limitada. Por otro lado, Madrid lidera el mercado del alquiler porque es uno de los principales polos económicos, universitarios y laborales de España, lo que atrae de forma constante a nuevos residentes que optan por el arrendamiento como primera solución habitacional. Sin embargo, todos los territorios reflejan cómo la falta de oferta disponible frente a una demanda creciente es el principal desafío del mercado", </w:t>
      </w:r>
      <w:r>
        <w:rPr>
          <w:rFonts w:ascii="Open Sans" w:eastAsia="Open Sans" w:hAnsi="Open Sans" w:cs="Open Sans"/>
          <w:b/>
          <w:bCs/>
        </w:rPr>
        <w:t xml:space="preserve">explica María Matos, directora de Estudios y portavoz de </w:t>
      </w:r>
      <w:hyperlink r:id="rId10">
        <w:r>
          <w:rPr>
            <w:rFonts w:ascii="Open Sans" w:eastAsia="Open Sans" w:hAnsi="Open Sans" w:cs="Open Sans"/>
            <w:b/>
            <w:bCs/>
            <w:color w:val="0000FF"/>
            <w:u w:val="single"/>
          </w:rPr>
          <w:t>Fotocasa</w:t>
        </w:r>
      </w:hyperlink>
      <w:r>
        <w:rPr>
          <w:rFonts w:ascii="Open Sans" w:eastAsia="Open Sans" w:hAnsi="Open Sans" w:cs="Open Sans"/>
          <w:b/>
          <w:bCs/>
        </w:rPr>
        <w:t>.</w:t>
      </w:r>
    </w:p>
    <w:p w14:paraId="74C951BA" w14:textId="77777777" w:rsidR="006450E1" w:rsidRDefault="006450E1">
      <w:pPr>
        <w:pBdr>
          <w:top w:val="nil"/>
          <w:left w:val="nil"/>
          <w:bottom w:val="nil"/>
          <w:right w:val="nil"/>
          <w:between w:val="nil"/>
        </w:pBdr>
        <w:spacing w:line="276" w:lineRule="auto"/>
        <w:jc w:val="both"/>
        <w:rPr>
          <w:rFonts w:ascii="Open Sans" w:eastAsia="Open Sans" w:hAnsi="Open Sans" w:cs="Open Sans"/>
        </w:rPr>
      </w:pPr>
    </w:p>
    <w:p w14:paraId="6A513671" w14:textId="77777777" w:rsidR="006450E1"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Baleares concentra la mayor demanda de compra y la menor oferta</w:t>
      </w:r>
    </w:p>
    <w:p w14:paraId="48A28037" w14:textId="77777777" w:rsidR="006450E1" w:rsidRDefault="006450E1">
      <w:pPr>
        <w:pBdr>
          <w:top w:val="nil"/>
          <w:left w:val="nil"/>
          <w:bottom w:val="nil"/>
          <w:right w:val="nil"/>
          <w:between w:val="nil"/>
        </w:pBdr>
        <w:spacing w:line="276" w:lineRule="auto"/>
        <w:jc w:val="both"/>
        <w:rPr>
          <w:rFonts w:ascii="Open Sans" w:eastAsia="Open Sans" w:hAnsi="Open Sans" w:cs="Open Sans"/>
        </w:rPr>
      </w:pPr>
    </w:p>
    <w:p w14:paraId="1D1D9ECA" w14:textId="77777777" w:rsidR="006450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análisis detallado de la actividad de particulares en el mercado de compraventa revela importantes desequilibrios entre oferta y demanda en algunas comunidades autónomas. </w:t>
      </w:r>
      <w:r>
        <w:rPr>
          <w:rFonts w:ascii="Open Sans" w:eastAsia="Open Sans" w:hAnsi="Open Sans" w:cs="Open Sans"/>
          <w:b/>
          <w:bCs/>
        </w:rPr>
        <w:t>El caso más significativo es el de Baleares: un 20% de los mayores de 18 años ha comprado o intentado comprar una vivienda durante el último año, lo que convierte al archipiélago en el territorio con la mayor presión de demanda de España</w:t>
      </w:r>
      <w:r>
        <w:rPr>
          <w:rFonts w:ascii="Open Sans" w:eastAsia="Open Sans" w:hAnsi="Open Sans" w:cs="Open Sans"/>
        </w:rPr>
        <w:t>. Esta cifra supera en tres puntos a Canarias, Madrid y Cataluña, y se sitúa cinco puntos por encima del promedio nacional, que alcanza el 15%. Por su lado, Andalucía (15%) y la Comunidad Valenciana (14%) se encuentran cercanas a la media española.</w:t>
      </w:r>
    </w:p>
    <w:p w14:paraId="146178F0" w14:textId="77777777" w:rsidR="006450E1" w:rsidRDefault="006450E1">
      <w:pPr>
        <w:pBdr>
          <w:top w:val="nil"/>
          <w:left w:val="nil"/>
          <w:bottom w:val="nil"/>
          <w:right w:val="nil"/>
          <w:between w:val="nil"/>
        </w:pBdr>
        <w:spacing w:line="276" w:lineRule="auto"/>
        <w:jc w:val="both"/>
        <w:rPr>
          <w:rFonts w:ascii="Open Sans" w:eastAsia="Open Sans" w:hAnsi="Open Sans" w:cs="Open Sans"/>
        </w:rPr>
      </w:pPr>
    </w:p>
    <w:p w14:paraId="7A694296" w14:textId="77777777" w:rsidR="006450E1" w:rsidRDefault="00000000">
      <w:pPr>
        <w:rPr>
          <w:b/>
          <w:bCs/>
          <w:smallCaps/>
          <w:color w:val="323FAB"/>
        </w:rPr>
      </w:pPr>
      <w:r>
        <w:rPr>
          <w:b/>
          <w:bCs/>
          <w:smallCaps/>
          <w:color w:val="323FAB"/>
        </w:rPr>
        <w:t xml:space="preserve">G1. Participantes en el mercado de compraventa por CCAA </w:t>
      </w:r>
    </w:p>
    <w:p w14:paraId="332C658F" w14:textId="77777777" w:rsidR="006450E1" w:rsidRDefault="00000000">
      <w:pPr>
        <w:rPr>
          <w:b/>
          <w:bCs/>
          <w:smallCaps/>
          <w:color w:val="323FAB"/>
        </w:rPr>
      </w:pPr>
      <w:r>
        <w:rPr>
          <w:b/>
          <w:bCs/>
          <w:smallCaps/>
          <w:color w:val="323FAB"/>
        </w:rPr>
        <w:t>(% sobre la población mayor de 18 años de cada CCAA)</w:t>
      </w:r>
    </w:p>
    <w:p w14:paraId="4940FC89" w14:textId="77777777" w:rsidR="006450E1" w:rsidRDefault="006450E1">
      <w:pPr>
        <w:rPr>
          <w:b/>
          <w:bCs/>
          <w:smallCaps/>
          <w:color w:val="323FAB"/>
        </w:rPr>
      </w:pPr>
    </w:p>
    <w:p w14:paraId="5D24E896" w14:textId="77777777" w:rsidR="006450E1" w:rsidRDefault="00000000">
      <w:pPr>
        <w:jc w:val="center"/>
        <w:rPr>
          <w:smallCaps/>
          <w:color w:val="323FAB"/>
          <w:highlight w:val="white"/>
        </w:rPr>
      </w:pPr>
      <w:r>
        <w:rPr>
          <w:smallCaps/>
          <w:noProof/>
          <w:color w:val="323FAB"/>
          <w:highlight w:val="white"/>
        </w:rPr>
        <w:drawing>
          <wp:inline distT="0" distB="0" distL="0" distR="0" wp14:anchorId="42B2125D" wp14:editId="447740D1">
            <wp:extent cx="5511012" cy="3067732"/>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511012" cy="3067732"/>
                    </a:xfrm>
                    <a:prstGeom prst="rect">
                      <a:avLst/>
                    </a:prstGeom>
                    <a:ln/>
                  </pic:spPr>
                </pic:pic>
              </a:graphicData>
            </a:graphic>
          </wp:inline>
        </w:drawing>
      </w:r>
    </w:p>
    <w:p w14:paraId="6BFBB402" w14:textId="77777777" w:rsidR="006450E1" w:rsidRDefault="006450E1">
      <w:pPr>
        <w:pBdr>
          <w:top w:val="nil"/>
          <w:left w:val="nil"/>
          <w:bottom w:val="nil"/>
          <w:right w:val="nil"/>
          <w:between w:val="nil"/>
        </w:pBdr>
        <w:spacing w:line="276" w:lineRule="auto"/>
        <w:jc w:val="both"/>
        <w:rPr>
          <w:rFonts w:ascii="Open Sans" w:eastAsia="Open Sans" w:hAnsi="Open Sans" w:cs="Open Sans"/>
        </w:rPr>
      </w:pPr>
    </w:p>
    <w:p w14:paraId="4C22C236" w14:textId="77777777" w:rsidR="006450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Sin embargo, esta elevada demanda no encuentra un reflejo equivalente en la oferta. </w:t>
      </w:r>
      <w:r>
        <w:rPr>
          <w:rFonts w:ascii="Open Sans" w:eastAsia="Open Sans" w:hAnsi="Open Sans" w:cs="Open Sans"/>
          <w:b/>
          <w:bCs/>
        </w:rPr>
        <w:t>Solo un 2% de los particulares baleares ha vendido o intentado vender una vivienda en los últimos doce meses</w:t>
      </w:r>
      <w:r>
        <w:rPr>
          <w:rFonts w:ascii="Open Sans" w:eastAsia="Open Sans" w:hAnsi="Open Sans" w:cs="Open Sans"/>
        </w:rPr>
        <w:t>, el porcentaje más bajo de los territorios analizados. Esta combinación de una demanda especialmente intensa y una oferta muy reducida pone de manifiesto el fuerte desequilibrio existente en el mercado residencial balear.</w:t>
      </w:r>
    </w:p>
    <w:p w14:paraId="6C817113" w14:textId="77777777" w:rsidR="006450E1" w:rsidRDefault="006450E1">
      <w:pPr>
        <w:pBdr>
          <w:top w:val="nil"/>
          <w:left w:val="nil"/>
          <w:bottom w:val="nil"/>
          <w:right w:val="nil"/>
          <w:between w:val="nil"/>
        </w:pBdr>
        <w:spacing w:line="276" w:lineRule="auto"/>
        <w:jc w:val="both"/>
        <w:rPr>
          <w:rFonts w:ascii="Open Sans" w:eastAsia="Open Sans" w:hAnsi="Open Sans" w:cs="Open Sans"/>
        </w:rPr>
      </w:pPr>
    </w:p>
    <w:p w14:paraId="3CDBCF7A" w14:textId="77777777" w:rsidR="006450E1"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La Comunidad Valenciana destaca por la mayor tasa de vendedores</w:t>
      </w:r>
    </w:p>
    <w:p w14:paraId="57B3529C" w14:textId="77777777" w:rsidR="006450E1" w:rsidRDefault="006450E1">
      <w:pPr>
        <w:pBdr>
          <w:top w:val="nil"/>
          <w:left w:val="nil"/>
          <w:bottom w:val="nil"/>
          <w:right w:val="nil"/>
          <w:between w:val="nil"/>
        </w:pBdr>
        <w:spacing w:line="276" w:lineRule="auto"/>
        <w:jc w:val="both"/>
        <w:rPr>
          <w:rFonts w:ascii="Open Sans" w:eastAsia="Open Sans" w:hAnsi="Open Sans" w:cs="Open Sans"/>
        </w:rPr>
      </w:pPr>
    </w:p>
    <w:p w14:paraId="15751BF7" w14:textId="77777777" w:rsidR="006450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el extremo opuesto se encuentra la Comunidad Valenciana. Aunque únicamente un 14% de los mayores de 18 años ha comprado o intentado comprar una vivienda durante el último año, el territorio registra la mayor proporción de ofertantes del conjunto analizado. Así, </w:t>
      </w:r>
      <w:r>
        <w:rPr>
          <w:rFonts w:ascii="Open Sans" w:eastAsia="Open Sans" w:hAnsi="Open Sans" w:cs="Open Sans"/>
          <w:b/>
          <w:bCs/>
        </w:rPr>
        <w:t>un 5% de los particulares valencianos ha vendido o intentado vender un inmueble, la tasa más elevada entre las comunidades estudiadas</w:t>
      </w:r>
      <w:r>
        <w:rPr>
          <w:rFonts w:ascii="Open Sans" w:eastAsia="Open Sans" w:hAnsi="Open Sans" w:cs="Open Sans"/>
        </w:rPr>
        <w:t>. Este dato contrasta con su nivel relativamente moderado de demanda y configura un escenario muy diferente al observado en Baleares. Mientras que en el archipiélago la actividad está claramente impulsada por compradores potenciales, en la Comunidad Valenciana el peso de los vendedores resulta más relevante dentro del conjunto de participantes en el mercado.</w:t>
      </w:r>
    </w:p>
    <w:p w14:paraId="48BE9EC8" w14:textId="77777777" w:rsidR="006450E1" w:rsidRDefault="006450E1">
      <w:pPr>
        <w:pBdr>
          <w:top w:val="nil"/>
          <w:left w:val="nil"/>
          <w:bottom w:val="nil"/>
          <w:right w:val="nil"/>
          <w:between w:val="nil"/>
        </w:pBdr>
        <w:spacing w:line="276" w:lineRule="auto"/>
        <w:jc w:val="both"/>
        <w:rPr>
          <w:rFonts w:ascii="Open Sans" w:eastAsia="Open Sans" w:hAnsi="Open Sans" w:cs="Open Sans"/>
        </w:rPr>
      </w:pPr>
    </w:p>
    <w:p w14:paraId="53DE4682" w14:textId="77777777" w:rsidR="006450E1"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Madrid lidera el segmento del alquiler</w:t>
      </w:r>
    </w:p>
    <w:p w14:paraId="1143B9A1" w14:textId="77777777" w:rsidR="006450E1" w:rsidRDefault="006450E1">
      <w:pPr>
        <w:pBdr>
          <w:top w:val="nil"/>
          <w:left w:val="nil"/>
          <w:bottom w:val="nil"/>
          <w:right w:val="nil"/>
          <w:between w:val="nil"/>
        </w:pBdr>
        <w:spacing w:line="276" w:lineRule="auto"/>
        <w:jc w:val="both"/>
        <w:rPr>
          <w:rFonts w:ascii="Open Sans" w:eastAsia="Open Sans" w:hAnsi="Open Sans" w:cs="Open Sans"/>
        </w:rPr>
      </w:pPr>
    </w:p>
    <w:p w14:paraId="6E350524" w14:textId="77777777" w:rsidR="006450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el mercado del alquiler las diferencias territoriales son menos acusadas. </w:t>
      </w:r>
      <w:r>
        <w:rPr>
          <w:rFonts w:ascii="Open Sans" w:eastAsia="Open Sans" w:hAnsi="Open Sans" w:cs="Open Sans"/>
          <w:b/>
          <w:bCs/>
        </w:rPr>
        <w:t>La media nacional de participación se sitúa en el 14% y cinco de las seis comunidades analizadas alcanzan el 15% de actividad</w:t>
      </w:r>
      <w:r>
        <w:rPr>
          <w:rFonts w:ascii="Open Sans" w:eastAsia="Open Sans" w:hAnsi="Open Sans" w:cs="Open Sans"/>
        </w:rPr>
        <w:t xml:space="preserve">: Andalucía, Cataluña, Comunidad Valenciana, Canarias y Baleares. En estos cuatro primeros territorios se observa un comportamiento muy similar, con un 3% de ofertantes y entre un 12% y un 13% de demandantes de vivienda en alquiler. Baleares vuelve a destacar, aunque en este caso por presentar un patrón completamente distinto al observado en la compraventa. </w:t>
      </w:r>
    </w:p>
    <w:p w14:paraId="03132401" w14:textId="77777777" w:rsidR="006450E1" w:rsidRDefault="006450E1">
      <w:pPr>
        <w:pBdr>
          <w:top w:val="nil"/>
          <w:left w:val="nil"/>
          <w:bottom w:val="nil"/>
          <w:right w:val="nil"/>
          <w:between w:val="nil"/>
        </w:pBdr>
        <w:spacing w:line="276" w:lineRule="auto"/>
        <w:jc w:val="both"/>
        <w:rPr>
          <w:rFonts w:ascii="Open Sans" w:eastAsia="Open Sans" w:hAnsi="Open Sans" w:cs="Open Sans"/>
        </w:rPr>
      </w:pPr>
    </w:p>
    <w:p w14:paraId="1058D976" w14:textId="77777777" w:rsidR="006450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en el mercado de vivienda en propiedad sobresale por su elevada demanda y su reducida oferta, en el alquiler sucede justo lo contrario. </w:t>
      </w:r>
      <w:r>
        <w:rPr>
          <w:rFonts w:ascii="Open Sans" w:eastAsia="Open Sans" w:hAnsi="Open Sans" w:cs="Open Sans"/>
          <w:b/>
          <w:bCs/>
        </w:rPr>
        <w:t>Solo un 11% de los particulares baleares ha alquilado o intentado alquilar una vivienda como inquilino durante el último año</w:t>
      </w:r>
      <w:r>
        <w:rPr>
          <w:rFonts w:ascii="Open Sans" w:eastAsia="Open Sans" w:hAnsi="Open Sans" w:cs="Open Sans"/>
        </w:rPr>
        <w:t xml:space="preserve">, un porcentaje inferior al promedio nacional del 12% y muy alejado del 14% que registra Madrid. Sin embargo, Baleares presenta </w:t>
      </w:r>
      <w:r>
        <w:rPr>
          <w:rFonts w:ascii="Open Sans" w:eastAsia="Open Sans" w:hAnsi="Open Sans" w:cs="Open Sans"/>
        </w:rPr>
        <w:lastRenderedPageBreak/>
        <w:t>la mayor tasa de ofertantes de vivienda en alquiler, con un 4% de propietarios que han puesto o intentado poner un inmueble en arrendamiento.</w:t>
      </w:r>
    </w:p>
    <w:p w14:paraId="3B9B45F5" w14:textId="77777777" w:rsidR="006450E1" w:rsidRDefault="006450E1">
      <w:pPr>
        <w:pBdr>
          <w:top w:val="nil"/>
          <w:left w:val="nil"/>
          <w:bottom w:val="nil"/>
          <w:right w:val="nil"/>
          <w:between w:val="nil"/>
        </w:pBdr>
        <w:spacing w:line="276" w:lineRule="auto"/>
        <w:jc w:val="both"/>
        <w:rPr>
          <w:rFonts w:ascii="Open Sans" w:eastAsia="Open Sans" w:hAnsi="Open Sans" w:cs="Open Sans"/>
        </w:rPr>
      </w:pPr>
    </w:p>
    <w:p w14:paraId="4ED79A6D" w14:textId="77777777" w:rsidR="006450E1" w:rsidRDefault="00000000">
      <w:pPr>
        <w:rPr>
          <w:b/>
          <w:bCs/>
          <w:smallCaps/>
          <w:color w:val="323FAB"/>
        </w:rPr>
      </w:pPr>
      <w:r>
        <w:rPr>
          <w:b/>
          <w:bCs/>
          <w:smallCaps/>
          <w:color w:val="323FAB"/>
        </w:rPr>
        <w:t xml:space="preserve">G2. Participantes en el mercado de alquiler por CCAA </w:t>
      </w:r>
      <w:r>
        <w:rPr>
          <w:b/>
          <w:bCs/>
          <w:smallCaps/>
          <w:color w:val="323FAB"/>
        </w:rPr>
        <w:br/>
        <w:t>(% sobre la población mayor de 18 años de cada CCAA)</w:t>
      </w:r>
    </w:p>
    <w:p w14:paraId="404C19F2" w14:textId="77777777" w:rsidR="006450E1" w:rsidRDefault="006450E1">
      <w:pPr>
        <w:rPr>
          <w:b/>
          <w:bCs/>
          <w:smallCaps/>
          <w:color w:val="323FAB"/>
        </w:rPr>
      </w:pPr>
    </w:p>
    <w:p w14:paraId="428C244B" w14:textId="77777777" w:rsidR="006450E1"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2DFE7342" wp14:editId="159882F2">
            <wp:extent cx="5739207" cy="319475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39207" cy="3194758"/>
                    </a:xfrm>
                    <a:prstGeom prst="rect">
                      <a:avLst/>
                    </a:prstGeom>
                    <a:ln/>
                  </pic:spPr>
                </pic:pic>
              </a:graphicData>
            </a:graphic>
          </wp:inline>
        </w:drawing>
      </w:r>
    </w:p>
    <w:p w14:paraId="155920BF" w14:textId="77777777" w:rsidR="006450E1" w:rsidRDefault="006450E1">
      <w:pPr>
        <w:pBdr>
          <w:top w:val="nil"/>
          <w:left w:val="nil"/>
          <w:bottom w:val="nil"/>
          <w:right w:val="nil"/>
          <w:between w:val="nil"/>
        </w:pBdr>
        <w:spacing w:line="276" w:lineRule="auto"/>
        <w:jc w:val="both"/>
        <w:rPr>
          <w:rFonts w:ascii="Open Sans" w:eastAsia="Open Sans" w:hAnsi="Open Sans" w:cs="Open Sans"/>
        </w:rPr>
      </w:pPr>
    </w:p>
    <w:p w14:paraId="174A0E84" w14:textId="77777777" w:rsidR="006450E1" w:rsidRDefault="006450E1">
      <w:pPr>
        <w:pBdr>
          <w:top w:val="nil"/>
          <w:left w:val="nil"/>
          <w:bottom w:val="nil"/>
          <w:right w:val="nil"/>
          <w:between w:val="nil"/>
        </w:pBdr>
        <w:spacing w:line="276" w:lineRule="auto"/>
        <w:jc w:val="both"/>
        <w:rPr>
          <w:rFonts w:ascii="Open Sans" w:eastAsia="Open Sans" w:hAnsi="Open Sans" w:cs="Open Sans"/>
        </w:rPr>
      </w:pPr>
    </w:p>
    <w:p w14:paraId="0F1B8A3D" w14:textId="77777777" w:rsidR="006450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su parte, Madrid se posiciona como la comunidad autónoma con una mayor participación global en el mercado del alquiler. Un 17% de los mayores de 18 años ha realizado alguna acción relacionada con el arrendamiento de vivienda durante los últimos doce meses. </w:t>
      </w:r>
      <w:r>
        <w:rPr>
          <w:rFonts w:ascii="Open Sans" w:eastAsia="Open Sans" w:hAnsi="Open Sans" w:cs="Open Sans"/>
          <w:b/>
          <w:bCs/>
        </w:rPr>
        <w:t>Este liderazgo se sustenta principalmente en la demanda. Un 14% de los madrileños ha alquilado o intentado alquilar una vivienda como inquilino</w:t>
      </w:r>
      <w:r>
        <w:rPr>
          <w:rFonts w:ascii="Open Sans" w:eastAsia="Open Sans" w:hAnsi="Open Sans" w:cs="Open Sans"/>
        </w:rPr>
        <w:t>, el porcentaje más elevado entre los territorios analizados, mientras que un 3% ha puesto en alquiler algún inmueble de su propiedad. Los datos reflejan así dos realidades claramente diferenciadas. Mientras Madrid concentra la mayor actividad y demanda en el mercado del alquiler, Baleares muestra un comportamiento singular en ambos segmentos residenciales: una fuerte presión compradora en el mercado de compraventa y una elevada presencia de ofertantes en el mercado del alquiler.</w:t>
      </w:r>
    </w:p>
    <w:p w14:paraId="2E93070D" w14:textId="77777777" w:rsidR="006450E1" w:rsidRDefault="006450E1">
      <w:pPr>
        <w:pBdr>
          <w:top w:val="nil"/>
          <w:left w:val="nil"/>
          <w:bottom w:val="nil"/>
          <w:right w:val="nil"/>
          <w:between w:val="nil"/>
        </w:pBdr>
        <w:spacing w:line="276" w:lineRule="auto"/>
        <w:jc w:val="both"/>
        <w:rPr>
          <w:rFonts w:ascii="Open Sans" w:eastAsia="Open Sans" w:hAnsi="Open Sans" w:cs="Open Sans"/>
        </w:rPr>
      </w:pPr>
    </w:p>
    <w:p w14:paraId="59823CBC" w14:textId="77777777" w:rsidR="006450E1" w:rsidRDefault="006450E1">
      <w:pPr>
        <w:pBdr>
          <w:top w:val="nil"/>
          <w:left w:val="nil"/>
          <w:bottom w:val="nil"/>
          <w:right w:val="nil"/>
          <w:between w:val="nil"/>
        </w:pBdr>
        <w:spacing w:line="276" w:lineRule="auto"/>
        <w:jc w:val="both"/>
        <w:rPr>
          <w:rFonts w:ascii="Open Sans" w:eastAsia="Open Sans" w:hAnsi="Open Sans" w:cs="Open Sans"/>
        </w:rPr>
      </w:pPr>
    </w:p>
    <w:p w14:paraId="7460EF48" w14:textId="77777777" w:rsidR="006450E1" w:rsidRDefault="006450E1">
      <w:pPr>
        <w:pBdr>
          <w:top w:val="nil"/>
          <w:left w:val="nil"/>
          <w:bottom w:val="nil"/>
          <w:right w:val="nil"/>
          <w:between w:val="nil"/>
        </w:pBdr>
        <w:spacing w:line="276" w:lineRule="auto"/>
        <w:jc w:val="both"/>
        <w:rPr>
          <w:rFonts w:ascii="Open Sans" w:eastAsia="Open Sans" w:hAnsi="Open Sans" w:cs="Open Sans"/>
        </w:rPr>
      </w:pPr>
    </w:p>
    <w:p w14:paraId="45C88814" w14:textId="77777777" w:rsidR="006450E1" w:rsidRDefault="006450E1">
      <w:pPr>
        <w:pBdr>
          <w:top w:val="nil"/>
          <w:left w:val="nil"/>
          <w:bottom w:val="nil"/>
          <w:right w:val="nil"/>
          <w:between w:val="nil"/>
        </w:pBdr>
        <w:spacing w:line="276" w:lineRule="auto"/>
        <w:jc w:val="both"/>
        <w:rPr>
          <w:rFonts w:ascii="Open Sans" w:eastAsia="Open Sans" w:hAnsi="Open Sans" w:cs="Open Sans"/>
        </w:rPr>
      </w:pPr>
    </w:p>
    <w:p w14:paraId="391948E6" w14:textId="77777777" w:rsidR="006450E1"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w:t>
      </w:r>
    </w:p>
    <w:p w14:paraId="1A0E6D08" w14:textId="77777777" w:rsidR="006450E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36799EB4" w14:textId="77777777" w:rsidR="006450E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3">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4">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72CA2E36" w14:textId="77777777" w:rsidR="006450E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5">
        <w:r>
          <w:rPr>
            <w:rFonts w:ascii="Open Sans" w:eastAsia="Open Sans" w:hAnsi="Open Sans" w:cs="Open Sans"/>
            <w:b/>
            <w:bCs/>
            <w:color w:val="0000FF"/>
            <w:sz w:val="22"/>
            <w:szCs w:val="22"/>
            <w:u w:val="single"/>
          </w:rPr>
          <w:t>Sala de Prensa</w:t>
        </w:r>
      </w:hyperlink>
    </w:p>
    <w:p w14:paraId="515BD11E" w14:textId="77777777" w:rsidR="006450E1" w:rsidRDefault="006450E1">
      <w:pPr>
        <w:spacing w:line="276" w:lineRule="auto"/>
        <w:rPr>
          <w:rFonts w:ascii="Open Sans Light" w:eastAsia="Open Sans Light" w:hAnsi="Open Sans Light" w:cs="Open Sans Light"/>
          <w:b/>
          <w:bCs/>
          <w:color w:val="303AB2"/>
        </w:rPr>
      </w:pPr>
    </w:p>
    <w:p w14:paraId="4A723D58" w14:textId="77777777" w:rsidR="006450E1"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1BA843D2" w14:textId="77777777" w:rsidR="006450E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213E8384" w14:textId="77777777" w:rsidR="006450E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6">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7">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8">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9">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0">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1">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76482994" w14:textId="77777777" w:rsidR="006450E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49700FAC" w14:textId="77777777" w:rsidR="006450E1" w:rsidRDefault="00000000">
      <w:pPr>
        <w:spacing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6B160B87" w14:textId="77777777" w:rsidR="006450E1" w:rsidRDefault="006450E1">
      <w:pPr>
        <w:spacing w:line="276" w:lineRule="auto"/>
        <w:jc w:val="both"/>
        <w:rPr>
          <w:rFonts w:ascii="Open Sans" w:eastAsia="Open Sans" w:hAnsi="Open Sans" w:cs="Open Sans"/>
          <w:sz w:val="22"/>
          <w:szCs w:val="22"/>
        </w:rPr>
      </w:pPr>
    </w:p>
    <w:p w14:paraId="47C53646" w14:textId="77777777" w:rsidR="006450E1"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73BFFB8F" w14:textId="77777777" w:rsidR="006450E1" w:rsidRDefault="006450E1">
      <w:pPr>
        <w:pBdr>
          <w:top w:val="nil"/>
          <w:left w:val="nil"/>
          <w:bottom w:val="nil"/>
          <w:right w:val="nil"/>
          <w:between w:val="nil"/>
        </w:pBdr>
        <w:spacing w:line="276" w:lineRule="auto"/>
        <w:jc w:val="both"/>
        <w:rPr>
          <w:rFonts w:ascii="Open Sans" w:eastAsia="Open Sans" w:hAnsi="Open Sans" w:cs="Open Sans"/>
          <w:sz w:val="22"/>
          <w:szCs w:val="22"/>
        </w:rPr>
      </w:pPr>
    </w:p>
    <w:p w14:paraId="27229EE0" w14:textId="77777777" w:rsidR="006450E1"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2">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7635D003" w14:textId="77777777" w:rsidR="006450E1" w:rsidRDefault="006450E1">
      <w:pPr>
        <w:pBdr>
          <w:top w:val="nil"/>
          <w:left w:val="nil"/>
          <w:bottom w:val="nil"/>
          <w:right w:val="nil"/>
          <w:between w:val="nil"/>
        </w:pBdr>
        <w:spacing w:line="276" w:lineRule="auto"/>
        <w:jc w:val="both"/>
        <w:rPr>
          <w:rFonts w:ascii="Open Sans" w:eastAsia="Open Sans" w:hAnsi="Open Sans" w:cs="Open Sans"/>
          <w:sz w:val="22"/>
          <w:szCs w:val="22"/>
        </w:rPr>
      </w:pPr>
    </w:p>
    <w:p w14:paraId="0979FEBA" w14:textId="77777777" w:rsidR="006450E1"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282DCDF5" w14:textId="77777777" w:rsidR="006450E1" w:rsidRDefault="006450E1">
      <w:pPr>
        <w:spacing w:line="276" w:lineRule="auto"/>
        <w:rPr>
          <w:rFonts w:ascii="Open Sans" w:eastAsia="Open Sans" w:hAnsi="Open Sans" w:cs="Open Sans"/>
        </w:rPr>
      </w:pPr>
    </w:p>
    <w:p w14:paraId="0043062D" w14:textId="77777777" w:rsidR="006450E1" w:rsidRDefault="006450E1">
      <w:pPr>
        <w:spacing w:line="276" w:lineRule="auto"/>
        <w:rPr>
          <w:rFonts w:ascii="Open Sans Light" w:eastAsia="Open Sans Light" w:hAnsi="Open Sans Light" w:cs="Open Sans Light"/>
          <w:b/>
          <w:bCs/>
          <w:color w:val="303AB2"/>
          <w:sz w:val="22"/>
          <w:szCs w:val="22"/>
        </w:rPr>
      </w:pPr>
    </w:p>
    <w:p w14:paraId="26509B7B" w14:textId="77777777" w:rsidR="006450E1"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7D697AD3" w14:textId="77777777" w:rsidR="006450E1"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5299E145" w14:textId="77777777" w:rsidR="006450E1" w:rsidRDefault="00000000">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7463EE34" w14:textId="77777777" w:rsidR="006450E1"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8B62E70" w14:textId="77777777" w:rsidR="006450E1" w:rsidRDefault="006450E1">
      <w:pPr>
        <w:spacing w:line="276" w:lineRule="auto"/>
        <w:jc w:val="right"/>
        <w:rPr>
          <w:rFonts w:ascii="Open Sans" w:eastAsia="Open Sans" w:hAnsi="Open Sans" w:cs="Open Sans"/>
          <w:color w:val="000000"/>
          <w:sz w:val="22"/>
          <w:szCs w:val="22"/>
        </w:rPr>
      </w:pPr>
    </w:p>
    <w:sectPr w:rsidR="006450E1">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2FCBD" w14:textId="77777777" w:rsidR="00103B38" w:rsidRDefault="00103B38">
      <w:r>
        <w:separator/>
      </w:r>
    </w:p>
  </w:endnote>
  <w:endnote w:type="continuationSeparator" w:id="0">
    <w:p w14:paraId="1D146A56" w14:textId="77777777" w:rsidR="00103B38" w:rsidRDefault="00103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A9974AB-63AB-4EDC-A9EF-DAACEF52BEF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F6B2317-0C93-4C5B-9BB3-1B6C537D2DE4}"/>
    <w:embedBold r:id="rId3" w:fontKey="{344A738C-836E-4026-80D1-CA9EB9EEE16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1A42875-6627-4B8A-971E-E7051B1C8C3D}"/>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B38B57B1-BE25-4D08-9FA6-86F3FDE10D67}"/>
  </w:font>
  <w:font w:name="Open Sans">
    <w:charset w:val="00"/>
    <w:family w:val="swiss"/>
    <w:pitch w:val="variable"/>
    <w:sig w:usb0="E00002EF" w:usb1="4000205B" w:usb2="00000028" w:usb3="00000000" w:csb0="0000019F" w:csb1="00000000"/>
    <w:embedRegular r:id="rId6" w:fontKey="{90E0A490-293D-49B8-A59D-67705EF9B2B6}"/>
    <w:embedBold r:id="rId7" w:fontKey="{1EA6BB5A-1769-4204-8A5A-F71BA184A007}"/>
  </w:font>
  <w:font w:name="Cambria">
    <w:panose1 w:val="02040503050406030204"/>
    <w:charset w:val="00"/>
    <w:family w:val="roman"/>
    <w:pitch w:val="variable"/>
    <w:sig w:usb0="E00006FF" w:usb1="420024FF" w:usb2="02000000" w:usb3="00000000" w:csb0="0000019F" w:csb1="00000000"/>
    <w:embedRegular r:id="rId8" w:fontKey="{E3C54ADF-2B22-40AF-9B2C-1B9AC153CE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87667" w14:textId="77777777" w:rsidR="006450E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B1DAA69" wp14:editId="0C1F3140">
          <wp:simplePos x="0" y="0"/>
          <wp:positionH relativeFrom="column">
            <wp:posOffset>-1068040</wp:posOffset>
          </wp:positionH>
          <wp:positionV relativeFrom="paragraph">
            <wp:posOffset>174608</wp:posOffset>
          </wp:positionV>
          <wp:extent cx="7670550" cy="45131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61C74" w14:textId="77777777" w:rsidR="00103B38" w:rsidRDefault="00103B38">
      <w:r>
        <w:separator/>
      </w:r>
    </w:p>
  </w:footnote>
  <w:footnote w:type="continuationSeparator" w:id="0">
    <w:p w14:paraId="7BF38098" w14:textId="77777777" w:rsidR="00103B38" w:rsidRDefault="00103B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885CB8"/>
    <w:multiLevelType w:val="multilevel"/>
    <w:tmpl w:val="73A4D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90483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0E1"/>
    <w:rsid w:val="00103B38"/>
    <w:rsid w:val="002702B1"/>
    <w:rsid w:val="006450E1"/>
    <w:rsid w:val="006778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5D442"/>
  <w15:docId w15:val="{B4A204B1-77BB-4C64-81FD-83144789D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profesionales.fotocasa.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nmoweb.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habitacli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get.witei.com/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10" Type="http://schemas.openxmlformats.org/officeDocument/2006/relationships/hyperlink" Target="https://www.fotocasa.es" TargetMode="External"/><Relationship Id="rId19" Type="http://schemas.openxmlformats.org/officeDocument/2006/relationships/hyperlink" Target="https://datavenues.com/"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research.fotocasa.es" TargetMode="External"/><Relationship Id="rId22" Type="http://schemas.openxmlformats.org/officeDocument/2006/relationships/hyperlink" Target="https://www.immobilienscout24.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Wc1fJJCRc74/Oir/gj5Q1bWl0Q==">CgMxLjA4AHIhMXMwUjdTREpHZWlPUUh4WHA2MnNsUkdsT0RWMnFoSkRG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1488</Words>
  <Characters>8188</Characters>
  <Application>Microsoft Office Word</Application>
  <DocSecurity>0</DocSecurity>
  <Lines>68</Lines>
  <Paragraphs>19</Paragraphs>
  <ScaleCrop>false</ScaleCrop>
  <Company/>
  <LinksUpToDate>false</LinksUpToDate>
  <CharactersWithSpaces>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2</cp:revision>
  <dcterms:created xsi:type="dcterms:W3CDTF">2026-06-03T14:31:00Z</dcterms:created>
  <dcterms:modified xsi:type="dcterms:W3CDTF">2026-06-03T14:31:00Z</dcterms:modified>
</cp:coreProperties>
</file>