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-1080115</wp:posOffset>
            </wp:positionH>
            <wp:positionV relativeFrom="paragraph">
              <wp:posOffset>-654664</wp:posOffset>
            </wp:positionV>
            <wp:extent cx="7581265" cy="1019175"/>
            <wp:effectExtent b="0" l="0" r="0" t="0"/>
            <wp:wrapNone/>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7581265" cy="1019175"/>
                    </a:xfrm>
                    <a:prstGeom prst="rect"/>
                    <a:ln/>
                  </pic:spPr>
                </pic:pic>
              </a:graphicData>
            </a:graphic>
          </wp:anchor>
        </w:drawing>
      </w:r>
    </w:p>
    <w:p w:rsidR="00000000" w:rsidDel="00000000" w:rsidP="00000000" w:rsidRDefault="00000000" w:rsidRPr="00000000" w14:paraId="00000002">
      <w:pPr>
        <w:jc w:val="right"/>
        <w:rPr>
          <w:rFonts w:ascii="National" w:cs="National" w:eastAsia="National" w:hAnsi="National"/>
          <w:color w:val="303ab2"/>
          <w:sz w:val="36"/>
          <w:szCs w:val="36"/>
        </w:rPr>
      </w:pPr>
      <w:r w:rsidDel="00000000" w:rsidR="00000000" w:rsidRPr="00000000">
        <w:rPr>
          <w:rtl w:val="0"/>
        </w:rPr>
      </w:r>
    </w:p>
    <w:p w:rsidR="00000000" w:rsidDel="00000000" w:rsidP="00000000" w:rsidRDefault="00000000" w:rsidRPr="00000000" w14:paraId="00000003">
      <w:pPr>
        <w:rPr>
          <w:rFonts w:ascii="National" w:cs="National" w:eastAsia="National" w:hAnsi="National"/>
          <w:color w:val="303ab2"/>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ind w:left="1080" w:firstLine="0"/>
        <w:jc w:val="center"/>
        <w:rPr>
          <w:rFonts w:ascii="National" w:cs="National" w:eastAsia="National" w:hAnsi="National"/>
          <w:b w:val="1"/>
          <w:bCs w:val="1"/>
          <w:color w:val="1dbdc5"/>
          <w:sz w:val="34"/>
          <w:szCs w:val="34"/>
        </w:rPr>
      </w:pPr>
      <w:r w:rsidDel="00000000" w:rsidR="00000000" w:rsidRPr="00000000">
        <w:rPr>
          <w:rFonts w:ascii="National" w:cs="National" w:eastAsia="National" w:hAnsi="National"/>
          <w:b w:val="1"/>
          <w:bCs w:val="1"/>
          <w:color w:val="1dbdc5"/>
          <w:sz w:val="34"/>
          <w:szCs w:val="34"/>
          <w:rtl w:val="0"/>
        </w:rPr>
        <w:t xml:space="preserve">RADIOGRAFÍA DEL MERCADO DE LA VIVIENDA EN 2026</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center"/>
        <w:rPr>
          <w:rFonts w:ascii="Open Sans Light" w:cs="Open Sans Light" w:eastAsia="Open Sans Light" w:hAnsi="Open Sans Light"/>
          <w:b w:val="1"/>
          <w:bCs w:val="1"/>
          <w:color w:val="303ab2"/>
        </w:rPr>
      </w:pPr>
      <w:r w:rsidDel="00000000" w:rsidR="00000000" w:rsidRPr="00000000">
        <w:rPr>
          <w:rFonts w:ascii="National" w:cs="National" w:eastAsia="National" w:hAnsi="National"/>
          <w:b w:val="1"/>
          <w:bCs w:val="1"/>
          <w:color w:val="303ab2"/>
          <w:sz w:val="46"/>
          <w:szCs w:val="46"/>
          <w:rtl w:val="0"/>
        </w:rPr>
        <w:t xml:space="preserve">Ni inversores ni grandes tenedores: la inmensa mayoría de propietarios españoles solo posee una única vivienda</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ind w:left="720" w:firstLine="0"/>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El 83% de los propietarios posee una sola vivienda y el 97% la utiliza como residencia habitual</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Solo el 17% de los propietarios cuenta con dos o más inmuebles, que se destinan principalmente a la segunda residencia y al alquiler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El 72% de los propietarios que tienen tres o más viviendas destina alguna al arrendamiento</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720" w:firstLine="0"/>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Madrid, 26 de junio de 2026</w:t>
        <w:tab/>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La imagen predominante del propietario de vivienda en España dista mucho de la de los grandes patrimonios inmobiliarios. De hecho, la inmensa mayoría de quienes poseen algún inmueble cuenta únicamente con una vivienda y la usa como primera residencia. Concretamente, el 83% de los propietarios tiene una única vivienda y el 97% de ellos la utiliza como residencia habitual. Los datos evidencian que la propiedad inmobiliaria en España continúa estando fuertemente vinculada pequeños tenedores y al uso residencial. Entre quienes poseen una sola vivienda, apenas un 1%, respectivamente, la utiliza como segunda residencia, la tiene alquilada o la mantiene vacía, </w:t>
      </w:r>
      <w:r w:rsidDel="00000000" w:rsidR="00000000" w:rsidRPr="00000000">
        <w:rPr>
          <w:rFonts w:ascii="Open Sans" w:cs="Open Sans" w:eastAsia="Open Sans" w:hAnsi="Open Sans"/>
          <w:b w:val="1"/>
          <w:bCs w:val="1"/>
          <w:rtl w:val="0"/>
        </w:rPr>
        <w:t xml:space="preserve">según los datos del informe </w:t>
      </w:r>
      <w:hyperlink r:id="rId8">
        <w:r w:rsidDel="00000000" w:rsidR="00000000" w:rsidRPr="00000000">
          <w:rPr>
            <w:rFonts w:ascii="Open Sans" w:cs="Open Sans" w:eastAsia="Open Sans" w:hAnsi="Open Sans"/>
            <w:b w:val="1"/>
            <w:bCs w:val="1"/>
            <w:color w:val="0000ff"/>
            <w:u w:val="single"/>
            <w:rtl w:val="0"/>
          </w:rPr>
          <w:t xml:space="preserve">”Radiografía del mercado de la vivienda en 2026”</w:t>
        </w:r>
      </w:hyperlink>
      <w:r w:rsidDel="00000000" w:rsidR="00000000" w:rsidRPr="00000000">
        <w:rPr>
          <w:rFonts w:ascii="Open Sans" w:cs="Open Sans" w:eastAsia="Open Sans" w:hAnsi="Open Sans"/>
          <w:b w:val="1"/>
          <w:bCs w:val="1"/>
          <w:rtl w:val="0"/>
        </w:rPr>
        <w:t xml:space="preserve">, elaborado por </w:t>
      </w:r>
      <w:hyperlink r:id="rId9">
        <w:r w:rsidDel="00000000" w:rsidR="00000000" w:rsidRPr="00000000">
          <w:rPr>
            <w:rFonts w:ascii="Open Sans" w:cs="Open Sans" w:eastAsia="Open Sans" w:hAnsi="Open Sans"/>
            <w:b w:val="1"/>
            <w:bCs w:val="1"/>
            <w:color w:val="0000ff"/>
            <w:u w:val="single"/>
            <w:rtl w:val="0"/>
          </w:rPr>
          <w:t xml:space="preserve">Fotocasa Research</w:t>
        </w:r>
      </w:hyperlink>
      <w:r w:rsidDel="00000000" w:rsidR="00000000" w:rsidRPr="00000000">
        <w:rPr>
          <w:rFonts w:ascii="Open Sans" w:cs="Open Sans" w:eastAsia="Open Sans" w:hAnsi="Open Sans"/>
          <w:b w:val="1"/>
          <w:bCs w:val="1"/>
          <w:rtl w:val="0"/>
        </w:rPr>
        <w:t xml:space="preserv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Fonts w:ascii="Open Sans" w:cs="Open Sans" w:eastAsia="Open Sans" w:hAnsi="Open Sans"/>
          <w:rtl w:val="0"/>
        </w:rPr>
        <w:t xml:space="preserve">"Esta radiografía de la propiedad en España muestra una realidad muy distinta a la percepción generalizada del mercado. La inmensa mayoría de los propietarios posee una única vivienda y la utiliza como residencia habitual, lo que confirma que la propiedad sigue estando vinculada principalmente a una necesidad habitacional y no a una estrategia de inversión. Al mismo tiempo, observamos que la oferta de alquiler se concentra especialmente entre quienes tienen varias viviendas. De hecho, siete de cada diez propietarios con tres o más inmuebles destinan alguno de ellos al arrendamiento, poniendo de manifiesto el papel que desempeñan estos particulares en la generación de oferta residencial. Porque cuanto mayor es el número de inmuebles en propiedad, mayor es la probabilidad de que alguno de ellos se destine al arrendamiento", </w:t>
      </w:r>
      <w:r w:rsidDel="00000000" w:rsidR="00000000" w:rsidRPr="00000000">
        <w:rPr>
          <w:rFonts w:ascii="Open Sans" w:cs="Open Sans" w:eastAsia="Open Sans" w:hAnsi="Open Sans"/>
          <w:b w:val="1"/>
          <w:bCs w:val="1"/>
          <w:rtl w:val="0"/>
        </w:rPr>
        <w:t xml:space="preserve">explica María Matos, directora de Estudios y portavoz de </w:t>
      </w:r>
      <w:hyperlink r:id="rId10">
        <w:r w:rsidDel="00000000" w:rsidR="00000000" w:rsidRPr="00000000">
          <w:rPr>
            <w:rFonts w:ascii="Open Sans" w:cs="Open Sans" w:eastAsia="Open Sans" w:hAnsi="Open Sans"/>
            <w:b w:val="1"/>
            <w:bCs w:val="1"/>
            <w:color w:val="0000ff"/>
            <w:u w:val="single"/>
            <w:rtl w:val="0"/>
          </w:rPr>
          <w:t xml:space="preserve">Fotocasa</w:t>
        </w:r>
      </w:hyperlink>
      <w:r w:rsidDel="00000000" w:rsidR="00000000" w:rsidRPr="00000000">
        <w:rPr>
          <w:rFonts w:ascii="Open Sans" w:cs="Open Sans" w:eastAsia="Open Sans" w:hAnsi="Open Sans"/>
          <w:b w:val="1"/>
          <w:bCs w:val="1"/>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drawing>
          <wp:inline distB="0" distT="0" distL="0" distR="0">
            <wp:extent cx="5760720" cy="2835910"/>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760720" cy="283591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El propietario mayoritario posee una sola vivienda</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Del total de particulares que son propietarios de algún inmueble, más de ocho de cada diez disponen únicamente de una vivienda. Este grupo constituye con diferencia el perfil predominante dentro del mercado residencial español. Además, </w:t>
      </w:r>
      <w:r w:rsidDel="00000000" w:rsidR="00000000" w:rsidRPr="00000000">
        <w:rPr>
          <w:rFonts w:ascii="Open Sans" w:cs="Open Sans" w:eastAsia="Open Sans" w:hAnsi="Open Sans"/>
          <w:b w:val="1"/>
          <w:bCs w:val="1"/>
          <w:rtl w:val="0"/>
        </w:rPr>
        <w:t xml:space="preserve">el destino de estos inmuebles es claramente como primera vivienda</w:t>
      </w:r>
      <w:r w:rsidDel="00000000" w:rsidR="00000000" w:rsidRPr="00000000">
        <w:rPr>
          <w:rFonts w:ascii="Open Sans" w:cs="Open Sans" w:eastAsia="Open Sans" w:hAnsi="Open Sans"/>
          <w:rtl w:val="0"/>
        </w:rPr>
        <w:t xml:space="preserve">. El hecho de que el 97% de los propietarios con una sola vivienda la utilice como residencia habitual confirma que, para la gran mayoría, la propiedad inmobiliaria responde principalmente a una necesidad de acceso a la vivienda y no a una estrategia de inversión o generación de rentabilidad.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Frente a esta mayoría, únicamente un 17% de los propietarios cuenta con más de un inmueble</w:t>
      </w:r>
      <w:r w:rsidDel="00000000" w:rsidR="00000000" w:rsidRPr="00000000">
        <w:rPr>
          <w:rFonts w:ascii="Open Sans" w:cs="Open Sans" w:eastAsia="Open Sans" w:hAnsi="Open Sans"/>
          <w:rtl w:val="0"/>
        </w:rPr>
        <w:t xml:space="preserve">. En concreto, el 14% posee dos viviendas, mientras que apenas un 3% dispone de tres o más. A medida que aumenta el número de inmuebles en propiedad, también se diversifican sus usos. Entre quienes tienen dos viviendas, el 97% utiliza alguna de ellas como residencia habitual, un 57% la destina otra a segunda residencia y un 30% la alquila para uso residencial. Por otro lado, un 9% de los propietarios con dos viviendas mantiene alguno de sus inmuebles vacío.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Multipropiedad: segunda residencia y alquiler</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La tendencia a diversificar usos es aún más evidente entre quienes poseen tres o más viviendas. </w:t>
      </w:r>
      <w:r w:rsidDel="00000000" w:rsidR="00000000" w:rsidRPr="00000000">
        <w:rPr>
          <w:rFonts w:ascii="Open Sans" w:cs="Open Sans" w:eastAsia="Open Sans" w:hAnsi="Open Sans"/>
          <w:b w:val="1"/>
          <w:bCs w:val="1"/>
          <w:rtl w:val="0"/>
        </w:rPr>
        <w:t xml:space="preserve">En este segmento, el 95% utiliza alguna de ellas como residencia habitual, mientras que el 61% cuenta con alguna destinada a segunda residencia</w:t>
      </w:r>
      <w:r w:rsidDel="00000000" w:rsidR="00000000" w:rsidRPr="00000000">
        <w:rPr>
          <w:rFonts w:ascii="Open Sans" w:cs="Open Sans" w:eastAsia="Open Sans" w:hAnsi="Open Sans"/>
          <w:rtl w:val="0"/>
        </w:rPr>
        <w:t xml:space="preserve">. Igualmente, durante el primer semestre de 2026, el 72% de quienes poseen tres o más viviendas destina alguna de ellas al arrendamiento. Asimismo, el 26% de quienes tienen tres o más inmuebles mantiene alguna vivienda vacía, una proporción superior a la observada entre los propietarios con una o dos viviendas.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w:t>
      </w:r>
    </w:p>
    <w:p w:rsidR="00000000" w:rsidDel="00000000" w:rsidP="00000000" w:rsidRDefault="00000000" w:rsidRPr="00000000" w14:paraId="00000020">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Fotocasa es uno de los principales portales inmobiliarios de España, con una amplia oferta de viviendas de segunda mano, promociones de obra nueva y alquileres que pertenece a </w:t>
      </w: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1">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Mensualmente, elabora el </w:t>
      </w:r>
      <w:hyperlink r:id="rId12">
        <w:r w:rsidDel="00000000" w:rsidR="00000000" w:rsidRPr="00000000">
          <w:rPr>
            <w:rFonts w:ascii="Open Sans" w:cs="Open Sans" w:eastAsia="Open Sans" w:hAnsi="Open Sans"/>
            <w:b w:val="1"/>
            <w:bCs w:val="1"/>
            <w:color w:val="0000ff"/>
            <w:sz w:val="22"/>
            <w:szCs w:val="22"/>
            <w:u w:val="single"/>
            <w:rtl w:val="0"/>
          </w:rPr>
          <w:t xml:space="preserve">Índice inmobiliario Fotocasa</w:t>
        </w:r>
      </w:hyperlink>
      <w:r w:rsidDel="00000000" w:rsidR="00000000" w:rsidRPr="00000000">
        <w:rPr>
          <w:rFonts w:ascii="Open Sans" w:cs="Open Sans" w:eastAsia="Open Sans" w:hAnsi="Open Sans"/>
          <w:sz w:val="22"/>
          <w:szCs w:val="22"/>
          <w:rtl w:val="0"/>
        </w:rPr>
        <w:t xml:space="preserve">, un informe de referencia que analiza la evolución del precio medio de la vivienda en España, tanto en venta como en alquiler. Desde 2017, desarrolla además estudios sociológicos bajo el sello </w:t>
      </w:r>
      <w:hyperlink r:id="rId13">
        <w:r w:rsidDel="00000000" w:rsidR="00000000" w:rsidRPr="00000000">
          <w:rPr>
            <w:rFonts w:ascii="Open Sans" w:cs="Open Sans" w:eastAsia="Open Sans" w:hAnsi="Open Sans"/>
            <w:b w:val="1"/>
            <w:bCs w:val="1"/>
            <w:color w:val="0000ff"/>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con el objetivo de aportar conocimiento y análisis en profundidad sobre las tendencias del mercado y el comportamiento de los ciudadanos en relación con la vivienda.</w:t>
      </w:r>
    </w:p>
    <w:p w:rsidR="00000000" w:rsidDel="00000000" w:rsidP="00000000" w:rsidRDefault="00000000" w:rsidRPr="00000000" w14:paraId="00000022">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Toda la información y los últimos comunicados están disponibles en su </w:t>
      </w:r>
      <w:hyperlink r:id="rId14">
        <w:r w:rsidDel="00000000" w:rsidR="00000000" w:rsidRPr="00000000">
          <w:rPr>
            <w:rFonts w:ascii="Open Sans" w:cs="Open Sans" w:eastAsia="Open Sans" w:hAnsi="Open Sans"/>
            <w:b w:val="1"/>
            <w:bCs w:val="1"/>
            <w:color w:val="0000ff"/>
            <w:sz w:val="22"/>
            <w:szCs w:val="22"/>
            <w:u w:val="single"/>
            <w:rtl w:val="0"/>
          </w:rPr>
          <w:t xml:space="preserve">Sala de Prensa</w:t>
        </w:r>
      </w:hyperlink>
      <w:r w:rsidDel="00000000" w:rsidR="00000000" w:rsidRPr="00000000">
        <w:rPr>
          <w:rtl w:val="0"/>
        </w:rPr>
      </w:r>
    </w:p>
    <w:p w:rsidR="00000000" w:rsidDel="00000000" w:rsidP="00000000" w:rsidRDefault="00000000" w:rsidRPr="00000000" w14:paraId="00000023">
      <w:pPr>
        <w:spacing w:line="276" w:lineRule="auto"/>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24">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 Group</w:t>
      </w:r>
    </w:p>
    <w:p w:rsidR="00000000" w:rsidDel="00000000" w:rsidP="00000000" w:rsidRDefault="00000000" w:rsidRPr="00000000" w14:paraId="00000025">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es un referente del sector inmobiliario en España, </w:t>
      </w:r>
      <w:r w:rsidDel="00000000" w:rsidR="00000000" w:rsidRPr="00000000">
        <w:rPr>
          <w:rFonts w:ascii="Open Sans" w:cs="Open Sans" w:eastAsia="Open Sans" w:hAnsi="Open Sans"/>
          <w:b w:val="1"/>
          <w:bCs w:val="1"/>
          <w:sz w:val="22"/>
          <w:szCs w:val="22"/>
          <w:rtl w:val="0"/>
        </w:rPr>
        <w:t xml:space="preserve">con más de 25 años de experiencia</w:t>
      </w:r>
      <w:r w:rsidDel="00000000" w:rsidR="00000000" w:rsidRPr="00000000">
        <w:rPr>
          <w:rFonts w:ascii="Open Sans" w:cs="Open Sans" w:eastAsia="Open Sans" w:hAnsi="Open Sans"/>
          <w:sz w:val="22"/>
          <w:szCs w:val="22"/>
          <w:rtl w:val="0"/>
        </w:rPr>
        <w:t xml:space="preserve"> liderando la transformación del real estate a través de la innovación, los datos y la tecnología.</w:t>
      </w:r>
    </w:p>
    <w:p w:rsidR="00000000" w:rsidDel="00000000" w:rsidP="00000000" w:rsidRDefault="00000000" w:rsidRPr="00000000" w14:paraId="00000026">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Bajo su marca paraguas, Fotocasa Group impulsa y da visibilidad a un ecosistema de marcas líderes —</w:t>
      </w:r>
      <w:hyperlink r:id="rId15">
        <w:r w:rsidDel="00000000" w:rsidR="00000000" w:rsidRPr="00000000">
          <w:rPr>
            <w:rFonts w:ascii="Open Sans" w:cs="Open Sans" w:eastAsia="Open Sans" w:hAnsi="Open Sans"/>
            <w:b w:val="1"/>
            <w:bCs w:val="1"/>
            <w:color w:val="0000ff"/>
            <w:sz w:val="22"/>
            <w:szCs w:val="22"/>
            <w:u w:val="single"/>
            <w:rtl w:val="0"/>
          </w:rPr>
          <w:t xml:space="preserve">Fotocasa</w:t>
        </w:r>
      </w:hyperlink>
      <w:r w:rsidDel="00000000" w:rsidR="00000000" w:rsidRPr="00000000">
        <w:rPr>
          <w:rFonts w:ascii="Open Sans" w:cs="Open Sans" w:eastAsia="Open Sans" w:hAnsi="Open Sans"/>
          <w:sz w:val="22"/>
          <w:szCs w:val="22"/>
          <w:rtl w:val="0"/>
        </w:rPr>
        <w:t xml:space="preserve">, </w:t>
      </w:r>
      <w:hyperlink r:id="rId16">
        <w:r w:rsidDel="00000000" w:rsidR="00000000" w:rsidRPr="00000000">
          <w:rPr>
            <w:rFonts w:ascii="Open Sans" w:cs="Open Sans" w:eastAsia="Open Sans" w:hAnsi="Open Sans"/>
            <w:b w:val="1"/>
            <w:bCs w:val="1"/>
            <w:color w:val="0000ff"/>
            <w:sz w:val="22"/>
            <w:szCs w:val="22"/>
            <w:u w:val="single"/>
            <w:rtl w:val="0"/>
          </w:rPr>
          <w:t xml:space="preserve">habitaclia</w:t>
        </w:r>
      </w:hyperlink>
      <w:r w:rsidDel="00000000" w:rsidR="00000000" w:rsidRPr="00000000">
        <w:rPr>
          <w:rFonts w:ascii="Open Sans" w:cs="Open Sans" w:eastAsia="Open Sans" w:hAnsi="Open Sans"/>
          <w:sz w:val="22"/>
          <w:szCs w:val="22"/>
          <w:rtl w:val="0"/>
        </w:rPr>
        <w:t xml:space="preserve">, </w:t>
      </w:r>
      <w:hyperlink r:id="rId17">
        <w:r w:rsidDel="00000000" w:rsidR="00000000" w:rsidRPr="00000000">
          <w:rPr>
            <w:rFonts w:ascii="Open Sans" w:cs="Open Sans" w:eastAsia="Open Sans" w:hAnsi="Open Sans"/>
            <w:b w:val="1"/>
            <w:bCs w:val="1"/>
            <w:color w:val="0000ff"/>
            <w:sz w:val="22"/>
            <w:szCs w:val="22"/>
            <w:u w:val="single"/>
            <w:rtl w:val="0"/>
          </w:rPr>
          <w:t xml:space="preserve">Fotocasa Pro</w:t>
        </w:r>
      </w:hyperlink>
      <w:r w:rsidDel="00000000" w:rsidR="00000000" w:rsidRPr="00000000">
        <w:rPr>
          <w:rFonts w:ascii="Open Sans" w:cs="Open Sans" w:eastAsia="Open Sans" w:hAnsi="Open Sans"/>
          <w:sz w:val="22"/>
          <w:szCs w:val="22"/>
          <w:rtl w:val="0"/>
        </w:rPr>
        <w:t xml:space="preserve">, </w:t>
      </w:r>
      <w:hyperlink r:id="rId18">
        <w:r w:rsidDel="00000000" w:rsidR="00000000" w:rsidRPr="00000000">
          <w:rPr>
            <w:rFonts w:ascii="Open Sans" w:cs="Open Sans" w:eastAsia="Open Sans" w:hAnsi="Open Sans"/>
            <w:b w:val="1"/>
            <w:bCs w:val="1"/>
            <w:color w:val="0000ff"/>
            <w:sz w:val="22"/>
            <w:szCs w:val="22"/>
            <w:u w:val="single"/>
            <w:rtl w:val="0"/>
          </w:rPr>
          <w:t xml:space="preserve">Datavenues</w:t>
        </w:r>
      </w:hyperlink>
      <w:r w:rsidDel="00000000" w:rsidR="00000000" w:rsidRPr="00000000">
        <w:rPr>
          <w:rFonts w:ascii="Open Sans" w:cs="Open Sans" w:eastAsia="Open Sans" w:hAnsi="Open Sans"/>
          <w:sz w:val="22"/>
          <w:szCs w:val="22"/>
          <w:rtl w:val="0"/>
        </w:rPr>
        <w:t xml:space="preserve">, </w:t>
      </w:r>
      <w:hyperlink r:id="rId19">
        <w:r w:rsidDel="00000000" w:rsidR="00000000" w:rsidRPr="00000000">
          <w:rPr>
            <w:rFonts w:ascii="Open Sans" w:cs="Open Sans" w:eastAsia="Open Sans" w:hAnsi="Open Sans"/>
            <w:b w:val="1"/>
            <w:bCs w:val="1"/>
            <w:color w:val="0000ff"/>
            <w:sz w:val="22"/>
            <w:szCs w:val="22"/>
            <w:u w:val="single"/>
            <w:rtl w:val="0"/>
          </w:rPr>
          <w:t xml:space="preserve">Witei</w:t>
        </w:r>
      </w:hyperlink>
      <w:r w:rsidDel="00000000" w:rsidR="00000000" w:rsidRPr="00000000">
        <w:rPr>
          <w:rFonts w:ascii="Open Sans" w:cs="Open Sans" w:eastAsia="Open Sans" w:hAnsi="Open Sans"/>
          <w:sz w:val="22"/>
          <w:szCs w:val="22"/>
          <w:rtl w:val="0"/>
        </w:rPr>
        <w:t xml:space="preserve"> e </w:t>
      </w:r>
      <w:hyperlink r:id="rId20">
        <w:r w:rsidDel="00000000" w:rsidR="00000000" w:rsidRPr="00000000">
          <w:rPr>
            <w:rFonts w:ascii="Open Sans" w:cs="Open Sans" w:eastAsia="Open Sans" w:hAnsi="Open Sans"/>
            <w:b w:val="1"/>
            <w:bCs w:val="1"/>
            <w:color w:val="0000ff"/>
            <w:sz w:val="22"/>
            <w:szCs w:val="22"/>
            <w:rtl w:val="0"/>
          </w:rPr>
          <w:t xml:space="preserve">Inmoweb</w:t>
        </w:r>
      </w:hyperlink>
      <w:r w:rsidDel="00000000" w:rsidR="00000000" w:rsidRPr="00000000">
        <w:rPr>
          <w:rFonts w:ascii="Open Sans" w:cs="Open Sans" w:eastAsia="Open Sans" w:hAnsi="Open Sans"/>
          <w:sz w:val="22"/>
          <w:szCs w:val="22"/>
          <w:rtl w:val="0"/>
        </w:rPr>
        <w:t xml:space="preserve">— que ofrecen soluciones integrales tanto </w:t>
      </w:r>
      <w:r w:rsidDel="00000000" w:rsidR="00000000" w:rsidRPr="00000000">
        <w:rPr>
          <w:rFonts w:ascii="Open Sans" w:cs="Open Sans" w:eastAsia="Open Sans" w:hAnsi="Open Sans"/>
          <w:b w:val="1"/>
          <w:bCs w:val="1"/>
          <w:sz w:val="22"/>
          <w:szCs w:val="22"/>
          <w:rtl w:val="0"/>
        </w:rPr>
        <w:t xml:space="preserve">para particulares como para profesionales del sector</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27">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w:t>
      </w:r>
      <w:r w:rsidDel="00000000" w:rsidR="00000000" w:rsidRPr="00000000">
        <w:rPr>
          <w:rFonts w:ascii="Open Sans" w:cs="Open Sans" w:eastAsia="Open Sans" w:hAnsi="Open Sans"/>
          <w:sz w:val="22"/>
          <w:szCs w:val="22"/>
          <w:rtl w:val="0"/>
        </w:rPr>
        <w:t xml:space="preserve">, la marca insignia del grupo, conecta cada día a </w:t>
      </w:r>
      <w:r w:rsidDel="00000000" w:rsidR="00000000" w:rsidRPr="00000000">
        <w:rPr>
          <w:rFonts w:ascii="Open Sans" w:cs="Open Sans" w:eastAsia="Open Sans" w:hAnsi="Open Sans"/>
          <w:b w:val="1"/>
          <w:bCs w:val="1"/>
          <w:sz w:val="22"/>
          <w:szCs w:val="22"/>
          <w:rtl w:val="0"/>
        </w:rPr>
        <w:t xml:space="preserve">millones de personas con su próximo hogar</w:t>
      </w:r>
      <w:r w:rsidDel="00000000" w:rsidR="00000000" w:rsidRPr="00000000">
        <w:rPr>
          <w:rFonts w:ascii="Open Sans" w:cs="Open Sans" w:eastAsia="Open Sans" w:hAnsi="Open Sans"/>
          <w:sz w:val="22"/>
          <w:szCs w:val="22"/>
          <w:rtl w:val="0"/>
        </w:rPr>
        <w:t xml:space="preserve">, ofreciendo la mayor oferta de viviendas de segunda mano, obra nueva, alquiler y compraventa, junto con análisis y contenidos que la consolidan como un auténtico </w:t>
      </w:r>
      <w:r w:rsidDel="00000000" w:rsidR="00000000" w:rsidRPr="00000000">
        <w:rPr>
          <w:rFonts w:ascii="Open Sans" w:cs="Open Sans" w:eastAsia="Open Sans" w:hAnsi="Open Sans"/>
          <w:b w:val="1"/>
          <w:bCs w:val="1"/>
          <w:sz w:val="22"/>
          <w:szCs w:val="22"/>
          <w:rtl w:val="0"/>
        </w:rPr>
        <w:t xml:space="preserve">referente del mercado inmobiliario</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28">
      <w:pP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 forma parte de Scout24</w:t>
      </w:r>
      <w:r w:rsidDel="00000000" w:rsidR="00000000" w:rsidRPr="00000000">
        <w:rPr>
          <w:rFonts w:ascii="Open Sans" w:cs="Open Sans" w:eastAsia="Open Sans" w:hAnsi="Open Sans"/>
          <w:sz w:val="22"/>
          <w:szCs w:val="22"/>
          <w:rtl w:val="0"/>
        </w:rPr>
        <w:t xml:space="preserve">, el grupo tecnológico alemán líder en Europa que opera </w:t>
      </w:r>
      <w:r w:rsidDel="00000000" w:rsidR="00000000" w:rsidRPr="00000000">
        <w:rPr>
          <w:rFonts w:ascii="Open Sans" w:cs="Open Sans" w:eastAsia="Open Sans" w:hAnsi="Open Sans"/>
          <w:b w:val="1"/>
          <w:bCs w:val="1"/>
          <w:sz w:val="22"/>
          <w:szCs w:val="22"/>
          <w:rtl w:val="0"/>
        </w:rPr>
        <w:t xml:space="preserve">ImmoScout24</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9">
      <w:pP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A">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Scout24</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Scout24 es una de las empresas tecnológicas líderes en Alemania</w:t>
      </w:r>
      <w:r w:rsidDel="00000000" w:rsidR="00000000" w:rsidRPr="00000000">
        <w:rPr>
          <w:rFonts w:ascii="Open Sans" w:cs="Open Sans" w:eastAsia="Open Sans" w:hAnsi="Open Sans"/>
          <w:sz w:val="22"/>
          <w:szCs w:val="22"/>
          <w:rtl w:val="0"/>
        </w:rPr>
        <w:t xml:space="preserve">. Con el marketplace </w:t>
      </w:r>
      <w:hyperlink r:id="rId21">
        <w:r w:rsidDel="00000000" w:rsidR="00000000" w:rsidRPr="00000000">
          <w:rPr>
            <w:rFonts w:ascii="Open Sans" w:cs="Open Sans" w:eastAsia="Open Sans" w:hAnsi="Open Sans"/>
            <w:color w:val="0000ff"/>
            <w:sz w:val="22"/>
            <w:szCs w:val="22"/>
            <w:u w:val="single"/>
            <w:rtl w:val="0"/>
          </w:rPr>
          <w:t xml:space="preserve">ImmoScout24</w:t>
        </w:r>
      </w:hyperlink>
      <w:r w:rsidDel="00000000" w:rsidR="00000000" w:rsidRPr="00000000">
        <w:rPr>
          <w:rFonts w:ascii="Open Sans" w:cs="Open Sans" w:eastAsia="Open Sans" w:hAnsi="Open Sans"/>
          <w:sz w:val="22"/>
          <w:szCs w:val="22"/>
          <w:rtl w:val="0"/>
        </w:rPr>
        <w:t xml:space="preserve">, especializado en el sector residencial y comercial, conectamos con éxito a propietarios, agentes inmobiliarios, inquilinos y compradores desde hace más de 25 años.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Con aproximadamente 19 millones de usuarios al mes en su web o aplicación, </w:t>
      </w:r>
      <w:r w:rsidDel="00000000" w:rsidR="00000000" w:rsidRPr="00000000">
        <w:rPr>
          <w:rFonts w:ascii="Open Sans" w:cs="Open Sans" w:eastAsia="Open Sans" w:hAnsi="Open Sans"/>
          <w:b w:val="1"/>
          <w:bCs w:val="1"/>
          <w:sz w:val="22"/>
          <w:szCs w:val="22"/>
          <w:rtl w:val="0"/>
        </w:rPr>
        <w:t xml:space="preserve">ImmoScout24 es el líder del mercado en listados y búsqueda inmobiliaria digital</w:t>
      </w:r>
      <w:r w:rsidDel="00000000" w:rsidR="00000000" w:rsidRPr="00000000">
        <w:rPr>
          <w:rFonts w:ascii="Open Sans" w:cs="Open Sans" w:eastAsia="Open Sans" w:hAnsi="Open Sans"/>
          <w:sz w:val="22"/>
          <w:szCs w:val="22"/>
          <w:rtl w:val="0"/>
        </w:rPr>
        <w:t xml:space="preserve">. Para digitalizar el proceso de las transacciones inmobiliarias, ImmoScout24 desarrolla continuamente nuevos productos y construye un ecosistema conectado y rico en datos para el alquiler, la compra y el sector inmobiliario comercial en Alemania y Austria. Scout24 es una sociedad anónima que cotiza en bolsa (ISIN: DE000A12DM80, Ticker: G24) y miembro del DAX, así como del DAX 50 ESG y el DAX 50 ESG+.</w:t>
      </w:r>
    </w:p>
    <w:p w:rsidR="00000000" w:rsidDel="00000000" w:rsidP="00000000" w:rsidRDefault="00000000" w:rsidRPr="00000000" w14:paraId="0000002F">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spacing w:line="276" w:lineRule="auto"/>
        <w:rPr>
          <w:rFonts w:ascii="Open Sans Light" w:cs="Open Sans Light" w:eastAsia="Open Sans Light" w:hAnsi="Open Sans Light"/>
          <w:b w:val="1"/>
          <w:bCs w:val="1"/>
          <w:color w:val="303ab2"/>
          <w:sz w:val="22"/>
          <w:szCs w:val="22"/>
        </w:rPr>
      </w:pPr>
      <w:r w:rsidDel="00000000" w:rsidR="00000000" w:rsidRPr="00000000">
        <w:rPr>
          <w:rtl w:val="0"/>
        </w:rPr>
      </w:r>
    </w:p>
    <w:p w:rsidR="00000000" w:rsidDel="00000000" w:rsidP="00000000" w:rsidRDefault="00000000" w:rsidRPr="00000000" w14:paraId="00000032">
      <w:pPr>
        <w:spacing w:line="276" w:lineRule="auto"/>
        <w:rPr>
          <w:rFonts w:ascii="Open Sans Light" w:cs="Open Sans Light" w:eastAsia="Open Sans Light" w:hAnsi="Open Sans Light"/>
          <w:b w:val="1"/>
          <w:bCs w:val="1"/>
          <w:color w:val="303ab2"/>
          <w:sz w:val="22"/>
          <w:szCs w:val="22"/>
        </w:rPr>
      </w:pPr>
      <w:r w:rsidDel="00000000" w:rsidR="00000000" w:rsidRPr="00000000">
        <w:rPr>
          <w:rFonts w:ascii="Open Sans Light" w:cs="Open Sans Light" w:eastAsia="Open Sans Light" w:hAnsi="Open Sans Light"/>
          <w:b w:val="1"/>
          <w:bCs w:val="1"/>
          <w:color w:val="303ab2"/>
          <w:sz w:val="22"/>
          <w:szCs w:val="22"/>
          <w:rtl w:val="0"/>
        </w:rPr>
        <w:t xml:space="preserve">Departamento Comunicación Fotocasa</w:t>
      </w:r>
    </w:p>
    <w:p w:rsidR="00000000" w:rsidDel="00000000" w:rsidP="00000000" w:rsidRDefault="00000000" w:rsidRPr="00000000" w14:paraId="00000033">
      <w:pPr>
        <w:shd w:fill="ffffff" w:val="clear"/>
        <w:spacing w:line="276"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Anaïs García</w:t>
      </w:r>
    </w:p>
    <w:p w:rsidR="00000000" w:rsidDel="00000000" w:rsidP="00000000" w:rsidRDefault="00000000" w:rsidRPr="00000000" w14:paraId="00000034">
      <w:pPr>
        <w:shd w:fill="ffffff" w:val="clear"/>
        <w:spacing w:line="276" w:lineRule="auto"/>
        <w:rPr>
          <w:rFonts w:ascii="Open Sans" w:cs="Open Sans" w:eastAsia="Open Sans" w:hAnsi="Open Sans"/>
          <w:color w:val="0000ff"/>
          <w:sz w:val="22"/>
          <w:szCs w:val="22"/>
          <w:u w:val="single"/>
        </w:rPr>
      </w:pPr>
      <w:hyperlink r:id="rId22">
        <w:r w:rsidDel="00000000" w:rsidR="00000000" w:rsidRPr="00000000">
          <w:rPr>
            <w:rFonts w:ascii="Open Sans" w:cs="Open Sans" w:eastAsia="Open Sans" w:hAnsi="Open Sans"/>
            <w:color w:val="0000ff"/>
            <w:sz w:val="22"/>
            <w:szCs w:val="22"/>
            <w:u w:val="single"/>
            <w:rtl w:val="0"/>
          </w:rPr>
          <w:t xml:space="preserve">comunicacion@fotocasa.es</w:t>
        </w:r>
      </w:hyperlink>
      <w:r w:rsidDel="00000000" w:rsidR="00000000" w:rsidRPr="00000000">
        <w:rPr>
          <w:rtl w:val="0"/>
        </w:rPr>
      </w:r>
    </w:p>
    <w:p w:rsidR="00000000" w:rsidDel="00000000" w:rsidP="00000000" w:rsidRDefault="00000000" w:rsidRPr="00000000" w14:paraId="00000035">
      <w:pPr>
        <w:shd w:fill="ffffff" w:val="clear"/>
        <w:spacing w:line="276" w:lineRule="auto"/>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620 66 29 26</w:t>
      </w:r>
    </w:p>
    <w:p w:rsidR="00000000" w:rsidDel="00000000" w:rsidP="00000000" w:rsidRDefault="00000000" w:rsidRPr="00000000" w14:paraId="00000036">
      <w:pPr>
        <w:spacing w:line="276" w:lineRule="auto"/>
        <w:jc w:val="right"/>
        <w:rPr>
          <w:rFonts w:ascii="Open Sans" w:cs="Open Sans" w:eastAsia="Open Sans" w:hAnsi="Open Sans"/>
          <w:color w:val="000000"/>
          <w:sz w:val="22"/>
          <w:szCs w:val="22"/>
        </w:rPr>
      </w:pPr>
      <w:r w:rsidDel="00000000" w:rsidR="00000000" w:rsidRPr="00000000">
        <w:rPr>
          <w:rtl w:val="0"/>
        </w:rPr>
      </w:r>
    </w:p>
    <w:sectPr>
      <w:footerReference r:id="rId23" w:type="default"/>
      <w:pgSz w:h="16840" w:w="11900" w:orient="portrait"/>
      <w:pgMar w:bottom="1417" w:top="1417" w:left="1701" w:right="11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ational"/>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-1068039</wp:posOffset>
          </wp:positionH>
          <wp:positionV relativeFrom="paragraph">
            <wp:posOffset>174608</wp:posOffset>
          </wp:positionV>
          <wp:extent cx="7670550" cy="45131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70550" cy="4513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la-Lat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moweb.es/" TargetMode="External"/><Relationship Id="rId11" Type="http://schemas.openxmlformats.org/officeDocument/2006/relationships/image" Target="media/image1.png"/><Relationship Id="rId22" Type="http://schemas.openxmlformats.org/officeDocument/2006/relationships/hyperlink" Target="mailto:comunicacion@fotocasa.es" TargetMode="External"/><Relationship Id="rId10" Type="http://schemas.openxmlformats.org/officeDocument/2006/relationships/hyperlink" Target="https://www.fotocasa.es" TargetMode="External"/><Relationship Id="rId21" Type="http://schemas.openxmlformats.org/officeDocument/2006/relationships/hyperlink" Target="https://www.immobilienscout24.de/" TargetMode="External"/><Relationship Id="rId13" Type="http://schemas.openxmlformats.org/officeDocument/2006/relationships/hyperlink" Target="https://www.research.fotocasa.es" TargetMode="External"/><Relationship Id="rId12" Type="http://schemas.openxmlformats.org/officeDocument/2006/relationships/hyperlink" Target="https://www.fotocasa.es/indice/"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earch.fotocasa.es/" TargetMode="External"/><Relationship Id="rId15" Type="http://schemas.openxmlformats.org/officeDocument/2006/relationships/hyperlink" Target="https://www.fotocasa.es" TargetMode="External"/><Relationship Id="rId14" Type="http://schemas.openxmlformats.org/officeDocument/2006/relationships/hyperlink" Target="http://prensa.fotocasa.es" TargetMode="External"/><Relationship Id="rId17" Type="http://schemas.openxmlformats.org/officeDocument/2006/relationships/hyperlink" Target="https://profesionales.fotocasa.es/" TargetMode="External"/><Relationship Id="rId16" Type="http://schemas.openxmlformats.org/officeDocument/2006/relationships/hyperlink" Target="https://www.habitaclia.com/" TargetMode="External"/><Relationship Id="rId5" Type="http://schemas.openxmlformats.org/officeDocument/2006/relationships/styles" Target="styles.xml"/><Relationship Id="rId19" Type="http://schemas.openxmlformats.org/officeDocument/2006/relationships/hyperlink" Target="https://get.witei.com/en/" TargetMode="External"/><Relationship Id="rId6" Type="http://schemas.openxmlformats.org/officeDocument/2006/relationships/customXml" Target="../customXML/item1.xml"/><Relationship Id="rId18" Type="http://schemas.openxmlformats.org/officeDocument/2006/relationships/hyperlink" Target="https://datavenues.com/" TargetMode="External"/><Relationship Id="rId7" Type="http://schemas.openxmlformats.org/officeDocument/2006/relationships/image" Target="media/image3.png"/><Relationship Id="rId8" Type="http://schemas.openxmlformats.org/officeDocument/2006/relationships/hyperlink" Target="https://s36360.pcdn.co/wp-content/uploads/2026/05/Informe-Radiografia-sector-inmobiliario-en-2026.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Light-italic.ttf"/><Relationship Id="rId6" Type="http://schemas.openxmlformats.org/officeDocument/2006/relationships/font" Target="fonts/OpenSansLight-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qkhowYe9atp1LObWfJ4UffASgA==">CgMxLjA4AHIhMWdEWWNmV3ZXM2hSeXYxUHYyek9pODJ5LW9LdmpOcWV4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