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BE2AE" w14:textId="77777777" w:rsidR="00A631A8" w:rsidRDefault="00000000">
      <w:r>
        <w:rPr>
          <w:noProof/>
        </w:rPr>
        <w:drawing>
          <wp:anchor distT="0" distB="0" distL="114300" distR="114300" simplePos="0" relativeHeight="251658240" behindDoc="0" locked="0" layoutInCell="1" hidden="0" allowOverlap="1" wp14:anchorId="0837C7FF" wp14:editId="5F003FE7">
            <wp:simplePos x="0" y="0"/>
            <wp:positionH relativeFrom="column">
              <wp:posOffset>-1080116</wp:posOffset>
            </wp:positionH>
            <wp:positionV relativeFrom="paragraph">
              <wp:posOffset>-654665</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B33E900" w14:textId="77777777" w:rsidR="00A631A8" w:rsidRDefault="00A631A8">
      <w:pPr>
        <w:jc w:val="right"/>
        <w:rPr>
          <w:rFonts w:ascii="National" w:eastAsia="National" w:hAnsi="National" w:cs="National"/>
          <w:color w:val="303AB2"/>
          <w:sz w:val="36"/>
          <w:szCs w:val="36"/>
        </w:rPr>
      </w:pPr>
    </w:p>
    <w:p w14:paraId="117EA342" w14:textId="77777777" w:rsidR="00A631A8" w:rsidRDefault="00A631A8">
      <w:pPr>
        <w:rPr>
          <w:rFonts w:ascii="National" w:eastAsia="National" w:hAnsi="National" w:cs="National"/>
          <w:color w:val="303AB2"/>
          <w:sz w:val="18"/>
          <w:szCs w:val="18"/>
        </w:rPr>
      </w:pPr>
    </w:p>
    <w:p w14:paraId="4249D100" w14:textId="2D066CDC" w:rsidR="00A631A8" w:rsidRDefault="00000000" w:rsidP="00C42D66">
      <w:pPr>
        <w:pBdr>
          <w:top w:val="nil"/>
          <w:left w:val="nil"/>
          <w:bottom w:val="nil"/>
          <w:right w:val="nil"/>
          <w:between w:val="nil"/>
        </w:pBdr>
        <w:spacing w:line="276" w:lineRule="auto"/>
        <w:ind w:left="567"/>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51195A3C" w14:textId="78156A86" w:rsidR="00A631A8" w:rsidRPr="00E27F43" w:rsidRDefault="00C572F6" w:rsidP="00C42D66">
      <w:pPr>
        <w:pBdr>
          <w:top w:val="nil"/>
          <w:left w:val="nil"/>
          <w:bottom w:val="nil"/>
          <w:right w:val="nil"/>
          <w:between w:val="nil"/>
        </w:pBdr>
        <w:spacing w:line="276" w:lineRule="auto"/>
        <w:ind w:left="284"/>
        <w:jc w:val="center"/>
        <w:rPr>
          <w:rFonts w:ascii="National" w:eastAsia="National" w:hAnsi="National" w:cs="National"/>
          <w:b/>
          <w:bCs/>
          <w:color w:val="303AB2"/>
          <w:sz w:val="44"/>
          <w:szCs w:val="44"/>
        </w:rPr>
      </w:pPr>
      <w:r w:rsidRPr="00E27F43">
        <w:rPr>
          <w:rFonts w:ascii="National" w:eastAsia="National" w:hAnsi="National" w:cs="National"/>
          <w:b/>
          <w:bCs/>
          <w:color w:val="303AB2"/>
          <w:sz w:val="44"/>
          <w:szCs w:val="44"/>
        </w:rPr>
        <w:t xml:space="preserve">Los jóvenes </w:t>
      </w:r>
      <w:r w:rsidRPr="00E27F43">
        <w:rPr>
          <w:rFonts w:ascii="National" w:eastAsia="National" w:hAnsi="National" w:cs="National"/>
          <w:b/>
          <w:bCs/>
          <w:color w:val="303AB2"/>
          <w:sz w:val="44"/>
          <w:szCs w:val="44"/>
        </w:rPr>
        <w:t xml:space="preserve">españoles </w:t>
      </w:r>
      <w:r w:rsidRPr="00E27F43">
        <w:rPr>
          <w:rFonts w:ascii="National" w:eastAsia="National" w:hAnsi="National" w:cs="National"/>
          <w:b/>
          <w:bCs/>
          <w:color w:val="303AB2"/>
          <w:sz w:val="44"/>
          <w:szCs w:val="44"/>
        </w:rPr>
        <w:t xml:space="preserve">quieren </w:t>
      </w:r>
      <w:r w:rsidR="00E27F43" w:rsidRPr="00E27F43">
        <w:rPr>
          <w:rFonts w:ascii="National" w:eastAsia="National" w:hAnsi="National" w:cs="National"/>
          <w:b/>
          <w:bCs/>
          <w:color w:val="303AB2"/>
          <w:sz w:val="44"/>
          <w:szCs w:val="44"/>
        </w:rPr>
        <w:t>ser propietarios</w:t>
      </w:r>
      <w:r w:rsidRPr="00E27F43">
        <w:rPr>
          <w:rFonts w:ascii="National" w:eastAsia="National" w:hAnsi="National" w:cs="National"/>
          <w:b/>
          <w:bCs/>
          <w:color w:val="303AB2"/>
          <w:sz w:val="44"/>
          <w:szCs w:val="44"/>
        </w:rPr>
        <w:t>: más de la mitad ya es activo en el mercado impulsado por la compraventa</w:t>
      </w:r>
    </w:p>
    <w:p w14:paraId="6ABC6F96" w14:textId="77777777" w:rsidR="00C572F6" w:rsidRDefault="00C572F6">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54A78AC2" w14:textId="77777777" w:rsidR="00A631A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particulares de entre 25 y 34 años son los más activos del mercado: el 51% ha realizado alguna acción relacionada con la vivienda en el primer semestre</w:t>
      </w:r>
    </w:p>
    <w:p w14:paraId="3A8321F3" w14:textId="77777777" w:rsidR="00A631A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grupo de entre 18 y 24 años recupera presencia y alcanza una participación del 34%, frente al 30% registrado en la primera mitad de 2025</w:t>
      </w:r>
    </w:p>
    <w:p w14:paraId="53BA2937" w14:textId="77777777" w:rsidR="00A631A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compraventa concentra el mayor incremento de actividad juvenil: un 33% de los particulares de entre 25 y 34 años ha participado en este segmento</w:t>
      </w:r>
    </w:p>
    <w:p w14:paraId="0F140259" w14:textId="77777777" w:rsidR="00F25F84" w:rsidRDefault="00000000" w:rsidP="00F25F84">
      <w:pPr>
        <w:numPr>
          <w:ilvl w:val="0"/>
          <w:numId w:val="2"/>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En alquiler, los jóvenes de entre 18 y 24 años también recuperan actividad y elevan su participación hasta el 26%</w:t>
      </w:r>
      <w:r w:rsidR="00F25F84" w:rsidRPr="00F25F84">
        <w:rPr>
          <w:rFonts w:ascii="Open Sans Light" w:eastAsia="Open Sans Light" w:hAnsi="Open Sans Light" w:cs="Open Sans Light"/>
          <w:b/>
          <w:bCs/>
          <w:color w:val="303AB2"/>
        </w:rPr>
        <w:t xml:space="preserve"> </w:t>
      </w:r>
    </w:p>
    <w:p w14:paraId="728AAFCB" w14:textId="3FF40296" w:rsidR="00F25F84" w:rsidRPr="00F25F84" w:rsidRDefault="00F25F84" w:rsidP="00F25F84">
      <w:pPr>
        <w:numPr>
          <w:ilvl w:val="0"/>
          <w:numId w:val="2"/>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w:t>
      </w:r>
      <w:hyperlink r:id="rId9">
        <w:r>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56C8E04E" w14:textId="77777777" w:rsidR="00A631A8" w:rsidRDefault="00A631A8">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3520080" w14:textId="77777777" w:rsidR="00A631A8"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 de junio de 2026</w:t>
      </w:r>
      <w:r>
        <w:rPr>
          <w:rFonts w:ascii="Open Sans Light" w:eastAsia="Open Sans Light" w:hAnsi="Open Sans Light" w:cs="Open Sans Light"/>
          <w:b/>
          <w:bCs/>
          <w:color w:val="303AB2"/>
        </w:rPr>
        <w:tab/>
      </w:r>
    </w:p>
    <w:p w14:paraId="2BEA2B7B" w14:textId="77777777" w:rsidR="00A631A8" w:rsidRDefault="00A631A8">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4B812B0F" w14:textId="77777777" w:rsidR="00F25F84" w:rsidRDefault="00000000" w:rsidP="00F25F84">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participación de los jóvenes en el mercado de la vivienda vuelve a ganar peso en el primer semestre de 2026, especialmente en el segmento de la compraventa. Los españoles de entre 25 y 34 años continúan siendo el colectivo más activo, mientras que los más jóvenes, aquellos situados entre los 18 y los 24 años, recuperan parte del terreno perdido el año anterior, tanto en el mercado general como en el alquiler y la compraventa. El grupo más activo sigue siendo el de los particulares de entre 25 y 34 años. En el primer semestre de 2026, el 51% ha realizado alguna acción vinculada al mercado de la vivienda (ya sea de oferta o demanda), frente al 47% registrado un año antes. Se trata del porcentaje más elevado de todos los grupos de edad analizados. El segundo colectivo con mayor actividad es el de los jóvenes de entre 18 y 24 años, cuya participación alcanza el 34%, cuatro puntos más que en el primer semestre de 2025, cuando se situaba en el 30%. Con ello, este segmento recupera prácticamente el nivel de actividad alcanzado anteriormente y refuerza de nuevo su presencia en el mercado, </w:t>
      </w:r>
      <w:r w:rsidR="00F25F84">
        <w:rPr>
          <w:rFonts w:ascii="Open Sans" w:eastAsia="Open Sans" w:hAnsi="Open Sans" w:cs="Open Sans"/>
          <w:b/>
          <w:bCs/>
        </w:rPr>
        <w:t xml:space="preserve">según </w:t>
      </w:r>
      <w:r w:rsidR="00F25F84">
        <w:rPr>
          <w:rFonts w:ascii="Open Sans" w:eastAsia="Open Sans" w:hAnsi="Open Sans" w:cs="Open Sans"/>
          <w:b/>
          <w:bCs/>
        </w:rPr>
        <w:lastRenderedPageBreak/>
        <w:t>el informe “</w:t>
      </w:r>
      <w:hyperlink r:id="rId10">
        <w:r w:rsidR="00F25F84">
          <w:rPr>
            <w:rFonts w:ascii="Open Sans" w:eastAsia="Open Sans" w:hAnsi="Open Sans" w:cs="Open Sans"/>
            <w:b/>
            <w:bCs/>
            <w:i/>
            <w:iCs/>
            <w:color w:val="0000FF"/>
            <w:u w:val="single"/>
          </w:rPr>
          <w:t>Radiografía del mercado de la vivienda en 2026</w:t>
        </w:r>
      </w:hyperlink>
      <w:r w:rsidR="00F25F84">
        <w:rPr>
          <w:rFonts w:ascii="Open Sans" w:eastAsia="Open Sans" w:hAnsi="Open Sans" w:cs="Open Sans"/>
          <w:b/>
          <w:bCs/>
        </w:rPr>
        <w:t xml:space="preserve">” de </w:t>
      </w:r>
      <w:hyperlink r:id="rId11">
        <w:r w:rsidR="00F25F84">
          <w:rPr>
            <w:rFonts w:ascii="Open Sans" w:eastAsia="Open Sans" w:hAnsi="Open Sans" w:cs="Open Sans"/>
            <w:b/>
            <w:bCs/>
            <w:color w:val="0000FF"/>
            <w:u w:val="single"/>
          </w:rPr>
          <w:t>Fotocasa Research</w:t>
        </w:r>
      </w:hyperlink>
      <w:r w:rsidR="00F25F84">
        <w:t>.</w:t>
      </w:r>
    </w:p>
    <w:p w14:paraId="0BA652E8" w14:textId="355DB5BE" w:rsidR="00A631A8" w:rsidRDefault="00A631A8">
      <w:pPr>
        <w:pBdr>
          <w:top w:val="nil"/>
          <w:left w:val="nil"/>
          <w:bottom w:val="nil"/>
          <w:right w:val="nil"/>
          <w:between w:val="nil"/>
        </w:pBdr>
        <w:spacing w:line="276" w:lineRule="auto"/>
        <w:jc w:val="both"/>
        <w:rPr>
          <w:rFonts w:ascii="Open Sans" w:eastAsia="Open Sans" w:hAnsi="Open Sans" w:cs="Open Sans"/>
        </w:rPr>
      </w:pPr>
    </w:p>
    <w:p w14:paraId="06C74C67" w14:textId="77777777" w:rsidR="00A631A8"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reactivación de los jóvenes es una señal muy positiva porque demuestra que tienen esperanza y voluntad de emanciparse y construir un proyecto de vida propio. Sin embargo, detrás de este incremento de actividad sigue existiendo una importante brecha de accesibilidad. Los jóvenes participan más, pero lo hacen en un contexto marcado por precios elevados, escasez de oferta y una creciente dificultad para ahorrar. El acceso a la vivienda continúa siendo uno de los principales obstáculos económicos y sociales para toda una generación", </w:t>
      </w:r>
      <w:r>
        <w:rPr>
          <w:rFonts w:ascii="Open Sans" w:eastAsia="Open Sans" w:hAnsi="Open Sans" w:cs="Open Sans"/>
          <w:b/>
          <w:bCs/>
        </w:rPr>
        <w:t xml:space="preserve">explica María Matos, directora de Estudios y portavoz de </w:t>
      </w:r>
      <w:hyperlink r:id="rId12">
        <w:r>
          <w:rPr>
            <w:rFonts w:ascii="Open Sans" w:eastAsia="Open Sans" w:hAnsi="Open Sans" w:cs="Open Sans"/>
            <w:b/>
            <w:bCs/>
            <w:color w:val="0000FF"/>
            <w:u w:val="single"/>
          </w:rPr>
          <w:t>Fotocasa</w:t>
        </w:r>
      </w:hyperlink>
      <w:r>
        <w:rPr>
          <w:rFonts w:ascii="Open Sans" w:eastAsia="Open Sans" w:hAnsi="Open Sans" w:cs="Open Sans"/>
          <w:b/>
          <w:bCs/>
        </w:rPr>
        <w:t>.</w:t>
      </w:r>
    </w:p>
    <w:p w14:paraId="26CAAEC9" w14:textId="77777777" w:rsidR="00A631A8" w:rsidRDefault="00A631A8">
      <w:pPr>
        <w:pBdr>
          <w:top w:val="nil"/>
          <w:left w:val="nil"/>
          <w:bottom w:val="nil"/>
          <w:right w:val="nil"/>
          <w:between w:val="nil"/>
        </w:pBdr>
        <w:spacing w:line="276" w:lineRule="auto"/>
        <w:jc w:val="both"/>
        <w:rPr>
          <w:rFonts w:ascii="Open Sans" w:eastAsia="Open Sans" w:hAnsi="Open Sans" w:cs="Open Sans"/>
          <w:b/>
          <w:bCs/>
        </w:rPr>
      </w:pPr>
    </w:p>
    <w:p w14:paraId="48A024AB"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27A05896" wp14:editId="4D7339E6">
            <wp:extent cx="5760720" cy="35159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60720" cy="3515995"/>
                    </a:xfrm>
                    <a:prstGeom prst="rect">
                      <a:avLst/>
                    </a:prstGeom>
                    <a:ln/>
                  </pic:spPr>
                </pic:pic>
              </a:graphicData>
            </a:graphic>
          </wp:inline>
        </w:drawing>
      </w:r>
    </w:p>
    <w:p w14:paraId="42AB912F"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4AED827A"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datos muestran cómo la actividad inmobiliaria continúa muy condicionada por la edad de los particulares. En este sentido, los mencionados segmentos más jóvenes vuelven a reforzar su protagonismo y registran los principales incrementos de participación respecto al primer semestre de 2025. Por detrás de estos, se sitúan </w:t>
      </w:r>
      <w:r>
        <w:rPr>
          <w:rFonts w:ascii="Open Sans" w:eastAsia="Open Sans" w:hAnsi="Open Sans" w:cs="Open Sans"/>
          <w:b/>
          <w:bCs/>
        </w:rPr>
        <w:t>los particulares de entre 35 y 44 años, cuya participación desciende del 34% al 31% en el último año</w:t>
      </w:r>
      <w:r>
        <w:rPr>
          <w:rFonts w:ascii="Open Sans" w:eastAsia="Open Sans" w:hAnsi="Open Sans" w:cs="Open Sans"/>
        </w:rPr>
        <w:t xml:space="preserve">. En cambio, el grupo de entre 45 y 54 años protagoniza uno de los mayores avances relativos, al pasar del 20% al 25%, recuperando así gran parte de la actividad perdida anteriormente. Finalmente, el colectivo de entre 55 y 75 años mantiene una evolución mucho más </w:t>
      </w:r>
      <w:r>
        <w:rPr>
          <w:rFonts w:ascii="Open Sans" w:eastAsia="Open Sans" w:hAnsi="Open Sans" w:cs="Open Sans"/>
        </w:rPr>
        <w:lastRenderedPageBreak/>
        <w:t>estable y continúa siendo el grupo con menor presencia en el mercado de la vivienda. En el primer semestre de 2026, el 16% ha participado en alguna acción relacionada con la vivienda, prácticamente en línea con el 15% del año anterior.</w:t>
      </w:r>
    </w:p>
    <w:p w14:paraId="14B36A53"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4202AA20" w14:textId="77777777" w:rsidR="00A631A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compraventa impulsa el crecimiento de la actividad juvenil</w:t>
      </w:r>
    </w:p>
    <w:p w14:paraId="7B455B66"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2ED046BA"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Al analizar específicamente el mercado de compraventa, el protagonismo de los jóvenes se intensifica todavía más</w:t>
      </w:r>
      <w:r>
        <w:rPr>
          <w:rFonts w:ascii="Open Sans" w:eastAsia="Open Sans" w:hAnsi="Open Sans" w:cs="Open Sans"/>
        </w:rPr>
        <w:t>. El segmento de entre 25 y 34 años vuelve a liderar la actividad con una participación del 33%, cinco puntos por encima del 28% registrado en el primer semestre de 2025. También destaca el avance de los más jóvenes: entre los particulares de 18 a 24 años, el porcentaje de participación en compraventa sube del 11% al 15% en apenas un año, lo que supone uno de los mayores incrementos detectados entre todos los grupos de edad.</w:t>
      </w:r>
    </w:p>
    <w:p w14:paraId="07360BFD"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3F76A826"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8810A5D" wp14:editId="69777B82">
            <wp:extent cx="5760720" cy="33496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60720" cy="3349625"/>
                    </a:xfrm>
                    <a:prstGeom prst="rect">
                      <a:avLst/>
                    </a:prstGeom>
                    <a:ln/>
                  </pic:spPr>
                </pic:pic>
              </a:graphicData>
            </a:graphic>
          </wp:inline>
        </w:drawing>
      </w:r>
    </w:p>
    <w:p w14:paraId="461D9F55"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79765E6F"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El segundo grupo más activo en compraventa es el de entre 35 y 44 años, aunque en este caso la participación permanece prácticamente estable</w:t>
      </w:r>
      <w:r>
        <w:rPr>
          <w:rFonts w:ascii="Open Sans" w:eastAsia="Open Sans" w:hAnsi="Open Sans" w:cs="Open Sans"/>
        </w:rPr>
        <w:t xml:space="preserve">. En el primer semestre de 2026, el 22% de este colectivo ha realizado alguna acción vinculada a la compraventa, el mismo porcentaje que un año antes. Por su parte, el grupo de entre 45 y 54 años también recupera dinamismo y eleva su participación desde el 12% hasta el 16%, acercándose nuevamente a niveles anteriores. Mientras, los particulares de entre 55 y 75 años continúan siendo los </w:t>
      </w:r>
      <w:r>
        <w:rPr>
          <w:rFonts w:ascii="Open Sans" w:eastAsia="Open Sans" w:hAnsi="Open Sans" w:cs="Open Sans"/>
        </w:rPr>
        <w:lastRenderedPageBreak/>
        <w:t>menos activos en este segmento, con un 10% de participación, ligeramente por encima del 9% registrado en el primer semestre de 2025.</w:t>
      </w:r>
    </w:p>
    <w:p w14:paraId="4D11D15E"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3F99E588" w14:textId="77777777" w:rsidR="00A631A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Los jóvenes recuperan presencia en el alquiler</w:t>
      </w:r>
    </w:p>
    <w:p w14:paraId="0E0758D8"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4AE8000E"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mercado del alquiler también se aprecia una recuperación de la actividad juvenil, especialmente entre los más jóvenes. </w:t>
      </w:r>
      <w:r>
        <w:rPr>
          <w:rFonts w:ascii="Open Sans" w:eastAsia="Open Sans" w:hAnsi="Open Sans" w:cs="Open Sans"/>
          <w:b/>
          <w:bCs/>
        </w:rPr>
        <w:t>El porcentaje de particulares de entre 18 y 24 años que ha participado en este segmento aumenta del 23% al 26% en el último año</w:t>
      </w:r>
      <w:r>
        <w:rPr>
          <w:rFonts w:ascii="Open Sans" w:eastAsia="Open Sans" w:hAnsi="Open Sans" w:cs="Open Sans"/>
        </w:rPr>
        <w:t>. Por su parte, los encuestados de entre 25 y 34 años mantienen el liderazgo en el mercado arrendatario, aunque con una evolución más moderada. En el primer semestre de 2026, el 27% ha realizado alguna acción relacionada con el alquiler, ligeramente por encima del 26% del año anterior.</w:t>
      </w:r>
    </w:p>
    <w:p w14:paraId="4156EBA8"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3E9B6C51"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27CA0F62" wp14:editId="0DBCDE53">
            <wp:extent cx="5760720" cy="347218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60720" cy="3472180"/>
                    </a:xfrm>
                    <a:prstGeom prst="rect">
                      <a:avLst/>
                    </a:prstGeom>
                    <a:ln/>
                  </pic:spPr>
                </pic:pic>
              </a:graphicData>
            </a:graphic>
          </wp:inline>
        </w:drawing>
      </w:r>
    </w:p>
    <w:p w14:paraId="6B97228F"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2015BE90" w14:textId="77777777" w:rsidR="00A631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cambio, </w:t>
      </w:r>
      <w:r>
        <w:rPr>
          <w:rFonts w:ascii="Open Sans" w:eastAsia="Open Sans" w:hAnsi="Open Sans" w:cs="Open Sans"/>
          <w:b/>
          <w:bCs/>
        </w:rPr>
        <w:t>el grupo de entre 35 y 44 años registra un retroceso significativo en este segmento de alquiler</w:t>
      </w:r>
      <w:r>
        <w:rPr>
          <w:rFonts w:ascii="Open Sans" w:eastAsia="Open Sans" w:hAnsi="Open Sans" w:cs="Open Sans"/>
        </w:rPr>
        <w:t>. Su participación cae del 17% al 13% en los últimos doce meses, alejándose de los niveles de actividad del resto de grupos más jóvenes. Entre los particulares de 45 a 54 años, se observa una ligera mejora, al pasar del 10% al 11%, mientras que el colectivo de entre 55 y 75 años mantiene una participación estable en torno al 8%.</w:t>
      </w:r>
    </w:p>
    <w:p w14:paraId="7D3C6277"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109A6C5D" w14:textId="77777777" w:rsidR="00A631A8" w:rsidRDefault="00A631A8">
      <w:pPr>
        <w:pBdr>
          <w:top w:val="nil"/>
          <w:left w:val="nil"/>
          <w:bottom w:val="nil"/>
          <w:right w:val="nil"/>
          <w:between w:val="nil"/>
        </w:pBdr>
        <w:spacing w:line="276" w:lineRule="auto"/>
        <w:jc w:val="both"/>
        <w:rPr>
          <w:rFonts w:ascii="Open Sans" w:eastAsia="Open Sans" w:hAnsi="Open Sans" w:cs="Open Sans"/>
        </w:rPr>
      </w:pPr>
    </w:p>
    <w:p w14:paraId="0F3BEC74" w14:textId="77777777" w:rsidR="00A631A8"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08EAC841" w14:textId="77777777" w:rsidR="00A631A8"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2111C3D" w14:textId="77777777" w:rsidR="00A631A8"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7">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5751398" w14:textId="77777777" w:rsidR="00A631A8"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Pr>
            <w:rFonts w:ascii="Open Sans" w:eastAsia="Open Sans" w:hAnsi="Open Sans" w:cs="Open Sans"/>
            <w:b/>
            <w:bCs/>
            <w:color w:val="0000FF"/>
            <w:sz w:val="22"/>
            <w:szCs w:val="22"/>
            <w:u w:val="single"/>
          </w:rPr>
          <w:t>Sala de Prensa</w:t>
        </w:r>
      </w:hyperlink>
    </w:p>
    <w:p w14:paraId="077D9A58" w14:textId="77777777" w:rsidR="00A631A8" w:rsidRDefault="00A631A8">
      <w:pPr>
        <w:spacing w:line="276" w:lineRule="auto"/>
        <w:ind w:right="-284"/>
        <w:rPr>
          <w:rFonts w:ascii="Open Sans Light" w:eastAsia="Open Sans Light" w:hAnsi="Open Sans Light" w:cs="Open Sans Light"/>
          <w:b/>
          <w:bCs/>
          <w:color w:val="303AB2"/>
        </w:rPr>
      </w:pPr>
    </w:p>
    <w:p w14:paraId="7896D990" w14:textId="77777777" w:rsidR="00A631A8"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4E2560F9" w14:textId="77777777" w:rsidR="00A631A8"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B060D72" w14:textId="77777777" w:rsidR="00A631A8"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4">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023E91DB" w14:textId="77777777" w:rsidR="00A631A8"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56E1DF4" w14:textId="77777777" w:rsidR="00A631A8" w:rsidRDefault="00000000">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5C7FF79A" w14:textId="77777777" w:rsidR="00A631A8" w:rsidRDefault="00A631A8">
      <w:pPr>
        <w:spacing w:line="276" w:lineRule="auto"/>
        <w:ind w:right="-284"/>
        <w:jc w:val="both"/>
        <w:rPr>
          <w:rFonts w:ascii="Open Sans" w:eastAsia="Open Sans" w:hAnsi="Open Sans" w:cs="Open Sans"/>
          <w:sz w:val="22"/>
          <w:szCs w:val="22"/>
        </w:rPr>
      </w:pPr>
    </w:p>
    <w:p w14:paraId="344AB73F" w14:textId="77777777" w:rsidR="00A631A8"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3164BFBC" w14:textId="77777777" w:rsidR="00A631A8" w:rsidRDefault="00A631A8">
      <w:pPr>
        <w:pBdr>
          <w:top w:val="nil"/>
          <w:left w:val="nil"/>
          <w:bottom w:val="nil"/>
          <w:right w:val="nil"/>
          <w:between w:val="nil"/>
        </w:pBdr>
        <w:spacing w:line="276" w:lineRule="auto"/>
        <w:ind w:right="-284"/>
        <w:jc w:val="both"/>
        <w:rPr>
          <w:rFonts w:ascii="Open Sans" w:eastAsia="Open Sans" w:hAnsi="Open Sans" w:cs="Open Sans"/>
          <w:sz w:val="22"/>
          <w:szCs w:val="22"/>
        </w:rPr>
      </w:pPr>
    </w:p>
    <w:p w14:paraId="011C4C98" w14:textId="77777777" w:rsidR="00A631A8"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5">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5B306A9" w14:textId="77777777" w:rsidR="00A631A8" w:rsidRDefault="00A631A8">
      <w:pPr>
        <w:pBdr>
          <w:top w:val="nil"/>
          <w:left w:val="nil"/>
          <w:bottom w:val="nil"/>
          <w:right w:val="nil"/>
          <w:between w:val="nil"/>
        </w:pBdr>
        <w:spacing w:line="276" w:lineRule="auto"/>
        <w:ind w:right="-284"/>
        <w:jc w:val="both"/>
        <w:rPr>
          <w:rFonts w:ascii="Open Sans" w:eastAsia="Open Sans" w:hAnsi="Open Sans" w:cs="Open Sans"/>
          <w:sz w:val="22"/>
          <w:szCs w:val="22"/>
        </w:rPr>
      </w:pPr>
    </w:p>
    <w:p w14:paraId="30135804" w14:textId="77777777" w:rsidR="00A631A8"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lastRenderedPageBreak/>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71244F7E" w14:textId="77777777" w:rsidR="00A631A8" w:rsidRDefault="00A631A8">
      <w:pPr>
        <w:spacing w:line="276" w:lineRule="auto"/>
        <w:ind w:right="-284"/>
        <w:rPr>
          <w:rFonts w:ascii="Open Sans" w:eastAsia="Open Sans" w:hAnsi="Open Sans" w:cs="Open Sans"/>
        </w:rPr>
      </w:pPr>
    </w:p>
    <w:p w14:paraId="190A7DE7" w14:textId="77777777" w:rsidR="00A631A8" w:rsidRDefault="00A631A8">
      <w:pPr>
        <w:spacing w:line="276" w:lineRule="auto"/>
        <w:ind w:right="-284"/>
        <w:rPr>
          <w:rFonts w:ascii="Open Sans Light" w:eastAsia="Open Sans Light" w:hAnsi="Open Sans Light" w:cs="Open Sans Light"/>
          <w:b/>
          <w:bCs/>
          <w:color w:val="303AB2"/>
          <w:sz w:val="22"/>
          <w:szCs w:val="22"/>
        </w:rPr>
      </w:pPr>
    </w:p>
    <w:p w14:paraId="428CB466" w14:textId="77777777" w:rsidR="00A631A8" w:rsidRDefault="00000000">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AF190B6" w14:textId="77777777" w:rsidR="00A631A8" w:rsidRDefault="00000000">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10495FED" w14:textId="77777777" w:rsidR="00A631A8" w:rsidRDefault="00000000">
      <w:pPr>
        <w:shd w:val="clear" w:color="auto" w:fill="FFFFFF"/>
        <w:spacing w:line="276" w:lineRule="auto"/>
        <w:ind w:right="-284"/>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69F1B759" w14:textId="77777777" w:rsidR="00A631A8" w:rsidRDefault="00000000">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913D0A2" w14:textId="77777777" w:rsidR="00A631A8" w:rsidRDefault="00A631A8">
      <w:pPr>
        <w:spacing w:line="276" w:lineRule="auto"/>
        <w:jc w:val="right"/>
        <w:rPr>
          <w:rFonts w:ascii="Open Sans" w:eastAsia="Open Sans" w:hAnsi="Open Sans" w:cs="Open Sans"/>
          <w:color w:val="000000"/>
          <w:sz w:val="22"/>
          <w:szCs w:val="22"/>
        </w:rPr>
      </w:pPr>
    </w:p>
    <w:sectPr w:rsidR="00A631A8">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73114" w14:textId="77777777" w:rsidR="00515F6B" w:rsidRDefault="00515F6B">
      <w:r>
        <w:separator/>
      </w:r>
    </w:p>
  </w:endnote>
  <w:endnote w:type="continuationSeparator" w:id="0">
    <w:p w14:paraId="0EE35F45" w14:textId="77777777" w:rsidR="00515F6B" w:rsidRDefault="0051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B028E17-400E-48C2-BD88-4F65BE0B1F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9DFBD2-A91D-4C9E-8FA5-58BD0177808B}"/>
    <w:embedBold r:id="rId3" w:fontKey="{F95901E2-56A3-4D41-AD10-5690D4C866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30F2E0A-ED62-45F4-B45F-B3C3DB06B062}"/>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1D9A9269-3A6C-4224-8C99-9EE419BD545D}"/>
    <w:embedBoldItalic r:id="rId6" w:fontKey="{BE872A70-A875-4B61-A25F-8F0C2557C55D}"/>
  </w:font>
  <w:font w:name="Open Sans">
    <w:charset w:val="00"/>
    <w:family w:val="swiss"/>
    <w:pitch w:val="variable"/>
    <w:sig w:usb0="E00002EF" w:usb1="4000205B" w:usb2="00000028" w:usb3="00000000" w:csb0="0000019F" w:csb1="00000000"/>
    <w:embedRegular r:id="rId7" w:fontKey="{9709CB04-852B-4D2E-896E-BE3A4A285F96}"/>
    <w:embedBold r:id="rId8" w:fontKey="{253E7582-2B16-49AC-8DA0-05E4D91C38FB}"/>
    <w:embedBoldItalic r:id="rId9" w:fontKey="{3DA1AEF6-785C-45E3-A130-2F2A6DC11A79}"/>
  </w:font>
  <w:font w:name="Cambria">
    <w:panose1 w:val="02040503050406030204"/>
    <w:charset w:val="00"/>
    <w:family w:val="roman"/>
    <w:pitch w:val="variable"/>
    <w:sig w:usb0="E00006FF" w:usb1="420024FF" w:usb2="02000000" w:usb3="00000000" w:csb0="0000019F" w:csb1="00000000"/>
    <w:embedRegular r:id="rId10" w:fontKey="{4BBDCE3B-980C-46CC-92E9-75191951A7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0083" w14:textId="77777777" w:rsidR="00A631A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F5C2D62" wp14:editId="1E45F52D">
          <wp:simplePos x="0" y="0"/>
          <wp:positionH relativeFrom="column">
            <wp:posOffset>-1068040</wp:posOffset>
          </wp:positionH>
          <wp:positionV relativeFrom="paragraph">
            <wp:posOffset>174608</wp:posOffset>
          </wp:positionV>
          <wp:extent cx="7670550" cy="451315"/>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319C1" w14:textId="77777777" w:rsidR="00515F6B" w:rsidRDefault="00515F6B">
      <w:r>
        <w:separator/>
      </w:r>
    </w:p>
  </w:footnote>
  <w:footnote w:type="continuationSeparator" w:id="0">
    <w:p w14:paraId="6EF4B691" w14:textId="77777777" w:rsidR="00515F6B" w:rsidRDefault="00515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CD7155"/>
    <w:multiLevelType w:val="multilevel"/>
    <w:tmpl w:val="DF127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B57FF2"/>
    <w:multiLevelType w:val="multilevel"/>
    <w:tmpl w:val="0D420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7432136">
    <w:abstractNumId w:val="1"/>
  </w:num>
  <w:num w:numId="2" w16cid:durableId="365300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1A8"/>
    <w:rsid w:val="00515F6B"/>
    <w:rsid w:val="00A631A8"/>
    <w:rsid w:val="00C42D66"/>
    <w:rsid w:val="00C572F6"/>
    <w:rsid w:val="00E27F43"/>
    <w:rsid w:val="00F25F84"/>
    <w:rsid w:val="00F332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32D44"/>
  <w15:docId w15:val="{E35FCB99-7FCF-4EA1-B93B-7F62C55EA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research.fotocasa.es" TargetMode="External"/><Relationship Id="rId25" Type="http://schemas.openxmlformats.org/officeDocument/2006/relationships/hyperlink" Target="https://www.immobilienscout24.de/"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get.witei.com/en/" TargetMode="External"/><Relationship Id="rId28" Type="http://schemas.openxmlformats.org/officeDocument/2006/relationships/fontTable" Target="fontTable.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image" Target="media/image3.png"/><Relationship Id="rId22" Type="http://schemas.openxmlformats.org/officeDocument/2006/relationships/hyperlink" Target="https://datavenue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Atz/1frOCmGn1dGO2y2la9KDKg==">CgMxLjA4AHIhMUgtcUVNWlFKaW12UEtLZTB0dDhGRERiSVhOTmN4WkRP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1418</Words>
  <Characters>7799</Characters>
  <Application>Microsoft Office Word</Application>
  <DocSecurity>0</DocSecurity>
  <Lines>64</Lines>
  <Paragraphs>18</Paragraphs>
  <ScaleCrop>false</ScaleCrop>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6</cp:revision>
  <cp:lastPrinted>2026-05-30T22:26:00Z</cp:lastPrinted>
  <dcterms:created xsi:type="dcterms:W3CDTF">2026-05-30T22:06:00Z</dcterms:created>
  <dcterms:modified xsi:type="dcterms:W3CDTF">2026-05-30T22:29:00Z</dcterms:modified>
</cp:coreProperties>
</file>