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6980" w14:textId="77777777" w:rsidR="006B2717" w:rsidRDefault="00000000">
      <w:r>
        <w:rPr>
          <w:noProof/>
        </w:rPr>
        <w:drawing>
          <wp:anchor distT="0" distB="0" distL="114300" distR="114300" simplePos="0" relativeHeight="251658240" behindDoc="0" locked="0" layoutInCell="1" hidden="0" allowOverlap="1" wp14:anchorId="3CA9034F" wp14:editId="3AF0C956">
            <wp:simplePos x="0" y="0"/>
            <wp:positionH relativeFrom="column">
              <wp:posOffset>-1080134</wp:posOffset>
            </wp:positionH>
            <wp:positionV relativeFrom="paragraph">
              <wp:posOffset>-782954</wp:posOffset>
            </wp:positionV>
            <wp:extent cx="7581265" cy="1019175"/>
            <wp:effectExtent l="0" t="0" r="0" b="0"/>
            <wp:wrapNone/>
            <wp:docPr id="3" name="image1.png" descr="Patrón de fond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png" descr="Patrón de fondo&#10;&#10;Descripción generada automáticamente con confianza baja"/>
                    <pic:cNvPicPr preferRelativeResize="0"/>
                  </pic:nvPicPr>
                  <pic:blipFill>
                    <a:blip r:embed="rId8"/>
                    <a:srcRect/>
                    <a:stretch>
                      <a:fillRect/>
                    </a:stretch>
                  </pic:blipFill>
                  <pic:spPr>
                    <a:xfrm>
                      <a:off x="0" y="0"/>
                      <a:ext cx="7581265" cy="1019175"/>
                    </a:xfrm>
                    <a:prstGeom prst="rect">
                      <a:avLst/>
                    </a:prstGeom>
                    <a:ln/>
                  </pic:spPr>
                </pic:pic>
              </a:graphicData>
            </a:graphic>
          </wp:anchor>
        </w:drawing>
      </w:r>
    </w:p>
    <w:p w14:paraId="53AF35F5" w14:textId="77777777" w:rsidR="006B2717" w:rsidRDefault="006B2717">
      <w:pPr>
        <w:jc w:val="right"/>
        <w:rPr>
          <w:rFonts w:ascii="National" w:eastAsia="National" w:hAnsi="National" w:cs="National"/>
          <w:color w:val="303AB2"/>
          <w:sz w:val="36"/>
          <w:szCs w:val="36"/>
        </w:rPr>
      </w:pPr>
    </w:p>
    <w:p w14:paraId="03B5DC69" w14:textId="77777777" w:rsidR="006B2717" w:rsidRDefault="00000000">
      <w:pPr>
        <w:spacing w:line="276" w:lineRule="auto"/>
        <w:jc w:val="center"/>
        <w:rPr>
          <w:rFonts w:ascii="National" w:eastAsia="National" w:hAnsi="National" w:cs="National"/>
          <w:b/>
          <w:bCs/>
          <w:color w:val="1DBDC5"/>
          <w:sz w:val="42"/>
          <w:szCs w:val="42"/>
        </w:rPr>
      </w:pPr>
      <w:r>
        <w:rPr>
          <w:rFonts w:ascii="National" w:eastAsia="National" w:hAnsi="National" w:cs="National"/>
          <w:b/>
          <w:bCs/>
          <w:color w:val="1DBDC5"/>
          <w:sz w:val="42"/>
          <w:szCs w:val="42"/>
        </w:rPr>
        <w:t>JULIO: PRECIO VIVIENDA EN VENTA</w:t>
      </w:r>
    </w:p>
    <w:p w14:paraId="72D56AE7" w14:textId="1F6735C6" w:rsidR="006B2717" w:rsidRPr="00130865" w:rsidRDefault="00000000">
      <w:pPr>
        <w:jc w:val="center"/>
        <w:rPr>
          <w:rFonts w:ascii="National" w:eastAsia="National" w:hAnsi="National" w:cs="National"/>
          <w:b/>
          <w:bCs/>
          <w:color w:val="303AB2"/>
          <w:sz w:val="46"/>
          <w:szCs w:val="46"/>
        </w:rPr>
      </w:pPr>
      <w:r w:rsidRPr="00130865">
        <w:rPr>
          <w:rFonts w:ascii="National" w:eastAsia="National" w:hAnsi="National" w:cs="National"/>
          <w:b/>
          <w:bCs/>
          <w:color w:val="303AB2"/>
          <w:sz w:val="46"/>
          <w:szCs w:val="46"/>
        </w:rPr>
        <w:t>El precio de la vivienda de segunda mano ha subido de media 35.000 € en un año en España</w:t>
      </w:r>
    </w:p>
    <w:p w14:paraId="00731A0E" w14:textId="77777777" w:rsidR="006B2717" w:rsidRDefault="006B2717">
      <w:pPr>
        <w:rPr>
          <w:rFonts w:ascii="National" w:eastAsia="National" w:hAnsi="National" w:cs="National"/>
          <w:b/>
          <w:bCs/>
          <w:color w:val="303AB2"/>
          <w:sz w:val="14"/>
          <w:szCs w:val="14"/>
        </w:rPr>
      </w:pPr>
    </w:p>
    <w:p w14:paraId="5ABB418F" w14:textId="77777777" w:rsidR="006B2717" w:rsidRDefault="006B2717">
      <w:pPr>
        <w:pBdr>
          <w:top w:val="nil"/>
          <w:left w:val="nil"/>
          <w:bottom w:val="nil"/>
          <w:right w:val="nil"/>
          <w:between w:val="nil"/>
        </w:pBdr>
        <w:spacing w:line="276" w:lineRule="auto"/>
        <w:ind w:left="720" w:right="141"/>
        <w:jc w:val="both"/>
        <w:rPr>
          <w:rFonts w:ascii="Open Sans" w:eastAsia="Open Sans" w:hAnsi="Open Sans" w:cs="Open Sans"/>
          <w:color w:val="303AB2"/>
        </w:rPr>
      </w:pPr>
    </w:p>
    <w:p w14:paraId="5CCEE6D0" w14:textId="77777777" w:rsidR="006B2717" w:rsidRDefault="00000000">
      <w:pPr>
        <w:numPr>
          <w:ilvl w:val="0"/>
          <w:numId w:val="1"/>
        </w:numPr>
        <w:pBdr>
          <w:top w:val="nil"/>
          <w:left w:val="nil"/>
          <w:bottom w:val="nil"/>
          <w:right w:val="nil"/>
          <w:between w:val="nil"/>
        </w:pBdr>
        <w:spacing w:line="276" w:lineRule="auto"/>
        <w:ind w:right="141"/>
        <w:jc w:val="both"/>
        <w:rPr>
          <w:rFonts w:ascii="Open Sans" w:eastAsia="Open Sans" w:hAnsi="Open Sans" w:cs="Open Sans"/>
          <w:color w:val="303AB2"/>
        </w:rPr>
      </w:pPr>
      <w:r>
        <w:rPr>
          <w:rFonts w:ascii="Open Sans" w:eastAsia="Open Sans" w:hAnsi="Open Sans" w:cs="Open Sans"/>
          <w:color w:val="303AB2"/>
        </w:rPr>
        <w:t xml:space="preserve">En un año, un piso medio en España ha pasado de costar 217.214 euros en julio de 2025 a los 252.308 euros de media en julio de 2026 </w:t>
      </w:r>
    </w:p>
    <w:p w14:paraId="08799308" w14:textId="77777777" w:rsidR="006B2717" w:rsidRDefault="00000000">
      <w:pPr>
        <w:numPr>
          <w:ilvl w:val="0"/>
          <w:numId w:val="1"/>
        </w:numPr>
        <w:pBdr>
          <w:top w:val="nil"/>
          <w:left w:val="nil"/>
          <w:bottom w:val="nil"/>
          <w:right w:val="nil"/>
          <w:between w:val="nil"/>
        </w:pBdr>
        <w:spacing w:line="276" w:lineRule="auto"/>
        <w:ind w:right="141"/>
        <w:jc w:val="both"/>
        <w:rPr>
          <w:rFonts w:ascii="Open Sans" w:eastAsia="Open Sans" w:hAnsi="Open Sans" w:cs="Open Sans"/>
          <w:color w:val="303AB2"/>
        </w:rPr>
      </w:pPr>
      <w:r>
        <w:rPr>
          <w:rFonts w:ascii="Open Sans" w:eastAsia="Open Sans" w:hAnsi="Open Sans" w:cs="Open Sans"/>
          <w:color w:val="303AB2"/>
        </w:rPr>
        <w:t>El precio de la vivienda en julio de 2026 se sitúa en 3.154 euros/m</w:t>
      </w:r>
      <w:r>
        <w:rPr>
          <w:rFonts w:ascii="Open Sans" w:eastAsia="Open Sans" w:hAnsi="Open Sans" w:cs="Open Sans"/>
          <w:color w:val="303AB2"/>
          <w:vertAlign w:val="superscript"/>
        </w:rPr>
        <w:t>2</w:t>
      </w:r>
      <w:r>
        <w:rPr>
          <w:rFonts w:ascii="Open Sans" w:eastAsia="Open Sans" w:hAnsi="Open Sans" w:cs="Open Sans"/>
          <w:color w:val="303AB2"/>
        </w:rPr>
        <w:t>, mientras que hace un año el precio se situaba en 2.715 euros/m</w:t>
      </w:r>
      <w:r>
        <w:rPr>
          <w:rFonts w:ascii="Open Sans" w:eastAsia="Open Sans" w:hAnsi="Open Sans" w:cs="Open Sans"/>
          <w:color w:val="303AB2"/>
          <w:vertAlign w:val="superscript"/>
        </w:rPr>
        <w:t>2</w:t>
      </w:r>
    </w:p>
    <w:bookmarkStart w:id="0" w:name="_heading=h.7cep5tvtmf7g" w:colFirst="0" w:colLast="0"/>
    <w:bookmarkEnd w:id="0"/>
    <w:p w14:paraId="3B0A48BD" w14:textId="1642E566" w:rsidR="006B2717" w:rsidRPr="00130865" w:rsidRDefault="00130865">
      <w:pPr>
        <w:numPr>
          <w:ilvl w:val="0"/>
          <w:numId w:val="1"/>
        </w:numPr>
        <w:spacing w:line="276" w:lineRule="auto"/>
        <w:ind w:right="141"/>
        <w:jc w:val="both"/>
        <w:rPr>
          <w:rFonts w:ascii="Open Sans" w:eastAsia="Open Sans" w:hAnsi="Open Sans" w:cs="Open Sans"/>
          <w:b/>
          <w:bCs/>
          <w:color w:val="303AB2"/>
        </w:rPr>
      </w:pPr>
      <w:r>
        <w:rPr>
          <w:rFonts w:ascii="Open Sans" w:eastAsia="Open Sans" w:hAnsi="Open Sans" w:cs="Open Sans"/>
          <w:b/>
          <w:bCs/>
          <w:color w:val="0000FF"/>
          <w:u w:val="single"/>
        </w:rPr>
        <w:fldChar w:fldCharType="begin"/>
      </w:r>
      <w:r>
        <w:rPr>
          <w:rFonts w:ascii="Open Sans" w:eastAsia="Open Sans" w:hAnsi="Open Sans" w:cs="Open Sans"/>
          <w:b/>
          <w:bCs/>
          <w:color w:val="0000FF"/>
          <w:u w:val="single"/>
        </w:rPr>
        <w:instrText>HYPERLINK "https://youtu.be/Mtqf9Z9qCJs"</w:instrText>
      </w:r>
      <w:r>
        <w:rPr>
          <w:rFonts w:ascii="Open Sans" w:eastAsia="Open Sans" w:hAnsi="Open Sans" w:cs="Open Sans"/>
          <w:b/>
          <w:bCs/>
          <w:color w:val="0000FF"/>
          <w:u w:val="single"/>
        </w:rPr>
      </w:r>
      <w:r>
        <w:rPr>
          <w:rFonts w:ascii="Open Sans" w:eastAsia="Open Sans" w:hAnsi="Open Sans" w:cs="Open Sans"/>
          <w:b/>
          <w:bCs/>
          <w:color w:val="0000FF"/>
          <w:u w:val="single"/>
        </w:rPr>
        <w:fldChar w:fldCharType="separate"/>
      </w:r>
      <w:r w:rsidR="00000000" w:rsidRPr="00130865">
        <w:rPr>
          <w:rStyle w:val="Hyperlink"/>
          <w:rFonts w:ascii="Open Sans" w:eastAsia="Open Sans" w:hAnsi="Open Sans" w:cs="Open Sans"/>
          <w:b/>
          <w:bCs/>
        </w:rPr>
        <w:t>Aquí se puede ver un vídeo con la valoración de María Matos, directora de Estudios de Fotoc</w:t>
      </w:r>
      <w:r w:rsidR="00000000" w:rsidRPr="00130865">
        <w:rPr>
          <w:rStyle w:val="Hyperlink"/>
          <w:rFonts w:ascii="Open Sans" w:eastAsia="Open Sans" w:hAnsi="Open Sans" w:cs="Open Sans"/>
          <w:b/>
          <w:bCs/>
        </w:rPr>
        <w:t>a</w:t>
      </w:r>
      <w:r w:rsidR="00000000" w:rsidRPr="00130865">
        <w:rPr>
          <w:rStyle w:val="Hyperlink"/>
          <w:rFonts w:ascii="Open Sans" w:eastAsia="Open Sans" w:hAnsi="Open Sans" w:cs="Open Sans"/>
          <w:b/>
          <w:bCs/>
        </w:rPr>
        <w:t>sa</w:t>
      </w:r>
      <w:r>
        <w:rPr>
          <w:rFonts w:ascii="Open Sans" w:eastAsia="Open Sans" w:hAnsi="Open Sans" w:cs="Open Sans"/>
          <w:b/>
          <w:bCs/>
          <w:color w:val="0000FF"/>
          <w:u w:val="single"/>
        </w:rPr>
        <w:fldChar w:fldCharType="end"/>
      </w:r>
    </w:p>
    <w:p w14:paraId="1495424B" w14:textId="77777777" w:rsidR="006B2717" w:rsidRDefault="006B2717">
      <w:pPr>
        <w:pBdr>
          <w:top w:val="nil"/>
          <w:left w:val="nil"/>
          <w:bottom w:val="nil"/>
          <w:right w:val="nil"/>
          <w:between w:val="nil"/>
        </w:pBdr>
        <w:spacing w:line="276" w:lineRule="auto"/>
        <w:ind w:left="720"/>
        <w:jc w:val="both"/>
        <w:rPr>
          <w:rFonts w:ascii="Open Sans Light" w:eastAsia="Open Sans Light" w:hAnsi="Open Sans Light" w:cs="Open Sans Light"/>
          <w:b/>
          <w:bCs/>
          <w:color w:val="303AB2"/>
          <w:sz w:val="22"/>
          <w:szCs w:val="22"/>
        </w:rPr>
      </w:pPr>
    </w:p>
    <w:p w14:paraId="3D1D0399" w14:textId="77777777" w:rsidR="006B2717" w:rsidRDefault="00000000">
      <w:pPr>
        <w:pBdr>
          <w:top w:val="nil"/>
          <w:left w:val="nil"/>
          <w:bottom w:val="nil"/>
          <w:right w:val="nil"/>
          <w:between w:val="nil"/>
        </w:pBdr>
        <w:spacing w:line="276" w:lineRule="auto"/>
        <w:jc w:val="both"/>
        <w:rPr>
          <w:rFonts w:ascii="Open Sans Light" w:eastAsia="Open Sans Light" w:hAnsi="Open Sans Light" w:cs="Open Sans Light"/>
          <w:b/>
          <w:bCs/>
          <w:color w:val="303AB2"/>
          <w:sz w:val="22"/>
          <w:szCs w:val="22"/>
        </w:rPr>
      </w:pPr>
      <w:bookmarkStart w:id="1" w:name="_heading=h.ccba4druogrx" w:colFirst="0" w:colLast="0"/>
      <w:bookmarkEnd w:id="1"/>
      <w:r>
        <w:rPr>
          <w:rFonts w:ascii="Open Sans Light" w:eastAsia="Open Sans Light" w:hAnsi="Open Sans Light" w:cs="Open Sans Light"/>
          <w:b/>
          <w:bCs/>
          <w:color w:val="303AB2"/>
          <w:sz w:val="22"/>
          <w:szCs w:val="22"/>
        </w:rPr>
        <w:t>Madrid, 30 de julio de 2026</w:t>
      </w:r>
    </w:p>
    <w:p w14:paraId="1D1FE1F2" w14:textId="77777777" w:rsidR="006B2717" w:rsidRDefault="00000000">
      <w:pPr>
        <w:pBdr>
          <w:top w:val="nil"/>
          <w:left w:val="nil"/>
          <w:bottom w:val="nil"/>
          <w:right w:val="nil"/>
          <w:between w:val="nil"/>
        </w:pBdr>
        <w:shd w:val="clear" w:color="auto" w:fill="FFFFFF"/>
        <w:tabs>
          <w:tab w:val="left" w:pos="3119"/>
        </w:tabs>
        <w:spacing w:before="280" w:after="280" w:line="276" w:lineRule="auto"/>
        <w:jc w:val="both"/>
        <w:rPr>
          <w:rFonts w:ascii="Open Sans" w:eastAsia="Open Sans" w:hAnsi="Open Sans" w:cs="Open Sans"/>
          <w:b/>
          <w:bCs/>
          <w:color w:val="000000"/>
        </w:rPr>
      </w:pPr>
      <w:r>
        <w:rPr>
          <w:rFonts w:ascii="Open Sans" w:eastAsia="Open Sans" w:hAnsi="Open Sans" w:cs="Open Sans"/>
          <w:color w:val="000000"/>
        </w:rPr>
        <w:t>El precio de la vivienda de segunda mano en España sube un 0,7% en su variación mensual y un 16,2% en su variación interanual y sitúan el precio medio de las viviendas ofertadas en julio en 3.154 euros/m</w:t>
      </w:r>
      <w:r>
        <w:rPr>
          <w:rFonts w:ascii="Open Sans" w:eastAsia="Open Sans" w:hAnsi="Open Sans" w:cs="Open Sans"/>
          <w:color w:val="000000"/>
          <w:vertAlign w:val="superscript"/>
        </w:rPr>
        <w:t>2</w:t>
      </w:r>
      <w:r>
        <w:rPr>
          <w:rFonts w:ascii="Open Sans" w:eastAsia="Open Sans" w:hAnsi="Open Sans" w:cs="Open Sans"/>
          <w:color w:val="000000"/>
        </w:rPr>
        <w:t xml:space="preserve">, según los datos del Índice Inmobiliario </w:t>
      </w:r>
      <w:hyperlink r:id="rId9">
        <w:r>
          <w:rPr>
            <w:rFonts w:ascii="Open Sans" w:eastAsia="Open Sans" w:hAnsi="Open Sans" w:cs="Open Sans"/>
            <w:color w:val="0000FF"/>
            <w:u w:val="single"/>
          </w:rPr>
          <w:t>Fotocasa</w:t>
        </w:r>
      </w:hyperlink>
      <w:r>
        <w:rPr>
          <w:rFonts w:ascii="Open Sans" w:eastAsia="Open Sans" w:hAnsi="Open Sans" w:cs="Open Sans"/>
          <w:color w:val="000000"/>
        </w:rPr>
        <w:t>. Si calculamos este último incremento interanual (16,2%) en euros (439 euros) y lo multiplicamos por los 80 m</w:t>
      </w:r>
      <w:r>
        <w:rPr>
          <w:rFonts w:ascii="Open Sans" w:eastAsia="Open Sans" w:hAnsi="Open Sans" w:cs="Open Sans"/>
          <w:color w:val="000000"/>
          <w:vertAlign w:val="superscript"/>
        </w:rPr>
        <w:t>2</w:t>
      </w:r>
      <w:r>
        <w:rPr>
          <w:rFonts w:ascii="Open Sans" w:eastAsia="Open Sans" w:hAnsi="Open Sans" w:cs="Open Sans"/>
          <w:color w:val="000000"/>
        </w:rPr>
        <w:t xml:space="preserve"> de una vivienda estándar, se observa que los pisos ofertados son</w:t>
      </w:r>
      <w:r>
        <w:rPr>
          <w:rFonts w:ascii="Open Sans" w:eastAsia="Open Sans" w:hAnsi="Open Sans" w:cs="Open Sans"/>
          <w:b/>
          <w:bCs/>
          <w:color w:val="000000"/>
        </w:rPr>
        <w:t xml:space="preserve"> 35.094 euros más caros que hace un año</w:t>
      </w:r>
      <w:r>
        <w:rPr>
          <w:rFonts w:ascii="Open Sans" w:eastAsia="Open Sans" w:hAnsi="Open Sans" w:cs="Open Sans"/>
          <w:color w:val="000000"/>
        </w:rPr>
        <w:t>.</w:t>
      </w:r>
    </w:p>
    <w:p w14:paraId="6B2BC0D3" w14:textId="11D7EC1F" w:rsidR="006B2717" w:rsidRDefault="00000000">
      <w:pPr>
        <w:pBdr>
          <w:top w:val="nil"/>
          <w:left w:val="nil"/>
          <w:bottom w:val="nil"/>
          <w:right w:val="nil"/>
          <w:between w:val="nil"/>
        </w:pBdr>
        <w:shd w:val="clear" w:color="auto" w:fill="FFFFFF"/>
        <w:tabs>
          <w:tab w:val="left" w:pos="3119"/>
        </w:tabs>
        <w:spacing w:before="280" w:after="280" w:line="276" w:lineRule="auto"/>
        <w:jc w:val="center"/>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Incremento interanual de una vivienda de 80m</w:t>
      </w:r>
      <w:r>
        <w:rPr>
          <w:rFonts w:ascii="Open Sans Light" w:eastAsia="Open Sans Light" w:hAnsi="Open Sans Light" w:cs="Open Sans Light"/>
          <w:b/>
          <w:bCs/>
          <w:color w:val="303AB2"/>
          <w:sz w:val="28"/>
          <w:szCs w:val="28"/>
          <w:vertAlign w:val="superscript"/>
        </w:rPr>
        <w:t>2</w:t>
      </w:r>
      <w:r>
        <w:rPr>
          <w:rFonts w:ascii="Open Sans Light" w:eastAsia="Open Sans Light" w:hAnsi="Open Sans Light" w:cs="Open Sans Light"/>
          <w:b/>
          <w:bCs/>
          <w:color w:val="303AB2"/>
          <w:sz w:val="28"/>
          <w:szCs w:val="28"/>
        </w:rPr>
        <w:t xml:space="preserve"> en euros (€)</w:t>
      </w:r>
    </w:p>
    <w:p w14:paraId="7CDCC6B5" w14:textId="7D42EFC5" w:rsidR="00130865" w:rsidRDefault="00130865">
      <w:pPr>
        <w:pBdr>
          <w:top w:val="nil"/>
          <w:left w:val="nil"/>
          <w:bottom w:val="nil"/>
          <w:right w:val="nil"/>
          <w:between w:val="nil"/>
        </w:pBdr>
        <w:shd w:val="clear" w:color="auto" w:fill="FFFFFF"/>
        <w:tabs>
          <w:tab w:val="left" w:pos="3119"/>
        </w:tabs>
        <w:spacing w:before="280" w:after="280" w:line="276" w:lineRule="auto"/>
        <w:jc w:val="center"/>
        <w:rPr>
          <w:rFonts w:ascii="Open Sans" w:eastAsia="Open Sans" w:hAnsi="Open Sans" w:cs="Open Sans"/>
          <w:color w:val="000000"/>
        </w:rPr>
      </w:pPr>
      <w:r w:rsidRPr="00130865">
        <w:rPr>
          <w:rFonts w:ascii="Open Sans" w:eastAsia="Open Sans" w:hAnsi="Open Sans" w:cs="Open Sans"/>
          <w:color w:val="000000"/>
        </w:rPr>
        <w:drawing>
          <wp:inline distT="0" distB="0" distL="0" distR="0" wp14:anchorId="0BF5454A" wp14:editId="765D92F2">
            <wp:extent cx="5760720" cy="2741930"/>
            <wp:effectExtent l="0" t="0" r="0" b="1270"/>
            <wp:docPr id="331740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40660" name=""/>
                    <pic:cNvPicPr/>
                  </pic:nvPicPr>
                  <pic:blipFill>
                    <a:blip r:embed="rId10"/>
                    <a:stretch>
                      <a:fillRect/>
                    </a:stretch>
                  </pic:blipFill>
                  <pic:spPr>
                    <a:xfrm>
                      <a:off x="0" y="0"/>
                      <a:ext cx="5760720" cy="2741930"/>
                    </a:xfrm>
                    <a:prstGeom prst="rect">
                      <a:avLst/>
                    </a:prstGeom>
                  </pic:spPr>
                </pic:pic>
              </a:graphicData>
            </a:graphic>
          </wp:inline>
        </w:drawing>
      </w:r>
    </w:p>
    <w:p w14:paraId="08915C89" w14:textId="77777777" w:rsidR="006B2717" w:rsidRDefault="00000000">
      <w:pPr>
        <w:pBdr>
          <w:top w:val="nil"/>
          <w:left w:val="nil"/>
          <w:bottom w:val="nil"/>
          <w:right w:val="nil"/>
          <w:between w:val="nil"/>
        </w:pBdr>
        <w:shd w:val="clear" w:color="auto" w:fill="FFFFFF"/>
        <w:tabs>
          <w:tab w:val="left" w:pos="3119"/>
        </w:tabs>
        <w:spacing w:before="280" w:after="280" w:line="276" w:lineRule="auto"/>
        <w:jc w:val="both"/>
        <w:rPr>
          <w:rFonts w:ascii="Open Sans" w:eastAsia="Open Sans" w:hAnsi="Open Sans" w:cs="Open Sans"/>
          <w:b/>
          <w:bCs/>
          <w:color w:val="000000"/>
        </w:rPr>
      </w:pPr>
      <w:r>
        <w:rPr>
          <w:rFonts w:ascii="Open Sans" w:eastAsia="Open Sans" w:hAnsi="Open Sans" w:cs="Open Sans"/>
          <w:b/>
          <w:bCs/>
          <w:color w:val="000000"/>
        </w:rPr>
        <w:lastRenderedPageBreak/>
        <w:t>De este modo, España ha experimentado en un año un incremento en el precio medio de las viviendas de 80 m², pasando de 217.214 euros a 252.308 euros en julio de 2026 (35.094 euros de diferencia).</w:t>
      </w:r>
    </w:p>
    <w:p w14:paraId="4B97AD3D" w14:textId="0F33740E" w:rsidR="006B2717" w:rsidRDefault="00000000">
      <w:pPr>
        <w:pBdr>
          <w:top w:val="nil"/>
          <w:left w:val="nil"/>
          <w:bottom w:val="nil"/>
          <w:right w:val="nil"/>
          <w:between w:val="nil"/>
        </w:pBdr>
        <w:shd w:val="clear" w:color="auto" w:fill="FFFFFF"/>
        <w:tabs>
          <w:tab w:val="left" w:pos="3119"/>
        </w:tabs>
        <w:spacing w:before="280" w:after="280" w:line="276" w:lineRule="auto"/>
        <w:jc w:val="both"/>
        <w:rPr>
          <w:rFonts w:ascii="Open Sans" w:eastAsia="Open Sans" w:hAnsi="Open Sans" w:cs="Open Sans"/>
          <w:b/>
          <w:bCs/>
          <w:color w:val="000000"/>
        </w:rPr>
      </w:pPr>
      <w:bookmarkStart w:id="2" w:name="_heading=h.bfztdzudbqqe" w:colFirst="0" w:colLast="0"/>
      <w:bookmarkEnd w:id="2"/>
      <w:r>
        <w:rPr>
          <w:rFonts w:ascii="Open Sans" w:eastAsia="Open Sans" w:hAnsi="Open Sans" w:cs="Open Sans"/>
          <w:color w:val="000000"/>
        </w:rPr>
        <w:t>“</w:t>
      </w:r>
      <w:r>
        <w:rPr>
          <w:rFonts w:ascii="Open Sans" w:eastAsia="Open Sans" w:hAnsi="Open Sans" w:cs="Open Sans"/>
        </w:rPr>
        <w:t>El precio de una vivienda media en España ya supera por primera vez los 250.000 euros, y cada año se encarece más de 30.000 euros, esto supone un importante deterioro de la accesibilidad y obliga a muchas familias a posponer su decisión de compra o a buscar vivienda en mercados periféricos con precios más asequibles.</w:t>
      </w:r>
      <w:r w:rsidR="00B72DE1">
        <w:rPr>
          <w:rFonts w:ascii="Open Sans" w:eastAsia="Open Sans" w:hAnsi="Open Sans" w:cs="Open Sans"/>
        </w:rPr>
        <w:t xml:space="preserve"> </w:t>
      </w:r>
      <w:r>
        <w:rPr>
          <w:rFonts w:ascii="Open Sans" w:eastAsia="Open Sans" w:hAnsi="Open Sans" w:cs="Open Sans"/>
        </w:rPr>
        <w:t>Sin embargo, el fuerte aumento acumulado del precio de la vivienda, unido al esfuerzo hipotecario que todavía deben asumir los hogares, hará que durante los próximos meses el mercado entre en una fase de progresiva normalización. Veremos una moderación de la actividad porque cada vez son más los compradores que alcanzan el límite de su capacidad financiera. Aun así, mientras la oferta siga siendo insuficiente para responder a una demanda muy sólida, los precios continuarán mostrando una evolución al alza. El gran desafío del mercado es que el precio de la vivienda está creciendo muy por encima de la capacidad de ahorro de los ciudadanos, lo que agrava los problemas de acceso a la compra</w:t>
      </w:r>
      <w:r>
        <w:rPr>
          <w:rFonts w:ascii="Open Sans" w:eastAsia="Open Sans" w:hAnsi="Open Sans" w:cs="Open Sans"/>
          <w:color w:val="000000"/>
        </w:rPr>
        <w:t xml:space="preserve">”, </w:t>
      </w:r>
      <w:r>
        <w:rPr>
          <w:rFonts w:ascii="Open Sans" w:eastAsia="Open Sans" w:hAnsi="Open Sans" w:cs="Open Sans"/>
          <w:b/>
          <w:bCs/>
          <w:color w:val="000000"/>
        </w:rPr>
        <w:t xml:space="preserve">explica María Matos, directora de Estudios de </w:t>
      </w:r>
      <w:hyperlink r:id="rId11">
        <w:r>
          <w:rPr>
            <w:rFonts w:ascii="Open Sans" w:eastAsia="Open Sans" w:hAnsi="Open Sans" w:cs="Open Sans"/>
            <w:b/>
            <w:bCs/>
            <w:color w:val="0000FF"/>
            <w:u w:val="single"/>
          </w:rPr>
          <w:t>Fotocasa</w:t>
        </w:r>
      </w:hyperlink>
      <w:r>
        <w:rPr>
          <w:rFonts w:ascii="Open Sans" w:eastAsia="Open Sans" w:hAnsi="Open Sans" w:cs="Open Sans"/>
          <w:b/>
          <w:bCs/>
          <w:color w:val="000000"/>
        </w:rPr>
        <w:t>.</w:t>
      </w:r>
    </w:p>
    <w:p w14:paraId="28FF7942" w14:textId="013E7949" w:rsidR="00CE6A52" w:rsidRDefault="00CE6A52" w:rsidP="00CE6A52">
      <w:pPr>
        <w:pBdr>
          <w:top w:val="nil"/>
          <w:left w:val="nil"/>
          <w:bottom w:val="nil"/>
          <w:right w:val="nil"/>
          <w:between w:val="nil"/>
        </w:pBdr>
        <w:shd w:val="clear" w:color="auto" w:fill="FFFFFF"/>
        <w:tabs>
          <w:tab w:val="left" w:pos="3119"/>
        </w:tabs>
        <w:spacing w:before="280" w:after="280" w:line="276" w:lineRule="auto"/>
        <w:jc w:val="center"/>
        <w:rPr>
          <w:rFonts w:ascii="Open Sans" w:eastAsia="Open Sans" w:hAnsi="Open Sans" w:cs="Open Sans"/>
          <w:b/>
          <w:bCs/>
          <w:color w:val="000000"/>
        </w:rPr>
      </w:pPr>
      <w:hyperlink r:id="rId12" w:history="1">
        <w:r w:rsidRPr="00CE6A52">
          <w:rPr>
            <w:rStyle w:val="Hyperlink"/>
            <w:rFonts w:ascii="Open Sans" w:eastAsia="Open Sans" w:hAnsi="Open Sans" w:cs="Open Sans"/>
            <w:b/>
            <w:bCs/>
          </w:rPr>
          <w:t>Declaraciones de María Matos, directora de Estudios de Fotocasa</w:t>
        </w:r>
      </w:hyperlink>
    </w:p>
    <w:p w14:paraId="1C707D5C" w14:textId="691A0E54" w:rsidR="00CE6A52" w:rsidRPr="00CE6A52" w:rsidRDefault="00CE6A52" w:rsidP="00CE6A52">
      <w:pPr>
        <w:pBdr>
          <w:top w:val="nil"/>
          <w:left w:val="nil"/>
          <w:bottom w:val="nil"/>
          <w:right w:val="nil"/>
          <w:between w:val="nil"/>
        </w:pBdr>
        <w:shd w:val="clear" w:color="auto" w:fill="FFFFFF"/>
        <w:tabs>
          <w:tab w:val="left" w:pos="3119"/>
        </w:tabs>
        <w:spacing w:before="280" w:after="280" w:line="276" w:lineRule="auto"/>
        <w:jc w:val="both"/>
        <w:rPr>
          <w:rFonts w:ascii="Open Sans" w:eastAsia="Open Sans" w:hAnsi="Open Sans" w:cs="Open Sans"/>
          <w:b/>
          <w:bCs/>
          <w:color w:val="000000"/>
          <w:lang w:val="en-US"/>
        </w:rPr>
      </w:pPr>
      <w:r w:rsidRPr="00CE6A52">
        <w:rPr>
          <w:rFonts w:ascii="Open Sans" w:eastAsia="Open Sans" w:hAnsi="Open Sans" w:cs="Open Sans"/>
          <w:b/>
          <w:bCs/>
          <w:color w:val="000000"/>
          <w:lang w:val="en-US"/>
        </w:rPr>
        <w:drawing>
          <wp:inline distT="0" distB="0" distL="0" distR="0" wp14:anchorId="420A33C2" wp14:editId="009639CD">
            <wp:extent cx="5760720" cy="2621280"/>
            <wp:effectExtent l="0" t="0" r="0" b="7620"/>
            <wp:docPr id="83178984" name="Pictur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8984" name="Picture 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621280"/>
                    </a:xfrm>
                    <a:prstGeom prst="rect">
                      <a:avLst/>
                    </a:prstGeom>
                    <a:noFill/>
                    <a:ln>
                      <a:noFill/>
                    </a:ln>
                  </pic:spPr>
                </pic:pic>
              </a:graphicData>
            </a:graphic>
          </wp:inline>
        </w:drawing>
      </w:r>
    </w:p>
    <w:p w14:paraId="14DDE337"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w:eastAsia="Open Sans" w:hAnsi="Open Sans" w:cs="Open Sans"/>
          <w:color w:val="000000"/>
        </w:rPr>
      </w:pPr>
      <w:r>
        <w:rPr>
          <w:rFonts w:ascii="Open Sans" w:eastAsia="Open Sans" w:hAnsi="Open Sans" w:cs="Open Sans"/>
          <w:color w:val="000000"/>
        </w:rPr>
        <w:t xml:space="preserve">Por comunidades, si analizamos los precios de la vivienda en venta respecto a los de hace un año, vemos que las 17 comunidades incrementan el precio interanual en julio. Los incrementos superiores al 10% afecta a 14 comunidades y son: Región de Murcia (26,2%), Cantabria (20,1%), </w:t>
      </w:r>
      <w:proofErr w:type="spellStart"/>
      <w:r>
        <w:rPr>
          <w:rFonts w:ascii="Open Sans" w:eastAsia="Open Sans" w:hAnsi="Open Sans" w:cs="Open Sans"/>
          <w:color w:val="000000"/>
        </w:rPr>
        <w:t>Comunitat</w:t>
      </w:r>
      <w:proofErr w:type="spellEnd"/>
      <w:r>
        <w:rPr>
          <w:rFonts w:ascii="Open Sans" w:eastAsia="Open Sans" w:hAnsi="Open Sans" w:cs="Open Sans"/>
          <w:color w:val="000000"/>
        </w:rPr>
        <w:t xml:space="preserve"> Valenciana (18,1%), Navarra (17,0%), La Rioja (16,5%), Asturias (15,3%), Andalucía (13,9%), Castilla-La Mancha </w:t>
      </w:r>
      <w:r>
        <w:rPr>
          <w:rFonts w:ascii="Open Sans" w:eastAsia="Open Sans" w:hAnsi="Open Sans" w:cs="Open Sans"/>
          <w:color w:val="000000"/>
        </w:rPr>
        <w:lastRenderedPageBreak/>
        <w:t>(13,3%), País Vasco (13,0%), Galicia (12,4%), Madrid (12,3%), Cataluña (11,0%), Castilla y León (10,6%) y Aragón (10,1%).</w:t>
      </w:r>
    </w:p>
    <w:p w14:paraId="1F627798"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w:eastAsia="Open Sans" w:hAnsi="Open Sans" w:cs="Open Sans"/>
          <w:color w:val="000000"/>
        </w:rPr>
      </w:pPr>
      <w:r>
        <w:rPr>
          <w:rFonts w:ascii="Open Sans" w:eastAsia="Open Sans" w:hAnsi="Open Sans" w:cs="Open Sans"/>
          <w:color w:val="000000"/>
        </w:rPr>
        <w:t xml:space="preserve">En cuanto al ranking de Comunidades Autónomas (CC.AA.) con </w:t>
      </w:r>
      <w:r>
        <w:rPr>
          <w:rFonts w:ascii="Open Sans" w:eastAsia="Open Sans" w:hAnsi="Open Sans" w:cs="Open Sans"/>
          <w:b/>
          <w:bCs/>
          <w:color w:val="000000"/>
        </w:rPr>
        <w:t>el precio del metro cuadrado más caro en España se encuentra en Madrid, que está próxima en superar los 5.500 euros, en concreto se sitúa en 5.455 euros/m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w:t>
      </w:r>
      <w:r>
        <w:rPr>
          <w:rFonts w:ascii="Open Sans" w:eastAsia="Open Sans" w:hAnsi="Open Sans" w:cs="Open Sans"/>
          <w:color w:val="000000"/>
        </w:rPr>
        <w:t>Le siguen, Baleares con 5.401 euros/m</w:t>
      </w:r>
      <w:r>
        <w:rPr>
          <w:rFonts w:ascii="Open Sans" w:eastAsia="Open Sans" w:hAnsi="Open Sans" w:cs="Open Sans"/>
          <w:color w:val="000000"/>
          <w:vertAlign w:val="superscript"/>
        </w:rPr>
        <w:t>2</w:t>
      </w:r>
      <w:r>
        <w:rPr>
          <w:rFonts w:ascii="Open Sans" w:eastAsia="Open Sans" w:hAnsi="Open Sans" w:cs="Open Sans"/>
          <w:color w:val="000000"/>
        </w:rPr>
        <w:t>,  País Vasco con 3.970 euros/m</w:t>
      </w:r>
      <w:r>
        <w:rPr>
          <w:rFonts w:ascii="Open Sans" w:eastAsia="Open Sans" w:hAnsi="Open Sans" w:cs="Open Sans"/>
          <w:color w:val="000000"/>
          <w:vertAlign w:val="superscript"/>
        </w:rPr>
        <w:t>2</w:t>
      </w:r>
      <w:r>
        <w:rPr>
          <w:rFonts w:ascii="Open Sans" w:eastAsia="Open Sans" w:hAnsi="Open Sans" w:cs="Open Sans"/>
          <w:color w:val="000000"/>
        </w:rPr>
        <w:t>,  Cataluña con 3.450 euros/m</w:t>
      </w:r>
      <w:r>
        <w:rPr>
          <w:rFonts w:ascii="Open Sans" w:eastAsia="Open Sans" w:hAnsi="Open Sans" w:cs="Open Sans"/>
          <w:color w:val="000000"/>
          <w:vertAlign w:val="superscript"/>
        </w:rPr>
        <w:t>2</w:t>
      </w:r>
      <w:r>
        <w:rPr>
          <w:rFonts w:ascii="Open Sans" w:eastAsia="Open Sans" w:hAnsi="Open Sans" w:cs="Open Sans"/>
          <w:color w:val="000000"/>
        </w:rPr>
        <w:t>,  Canarias con 3.397 euros/m</w:t>
      </w:r>
      <w:r>
        <w:rPr>
          <w:rFonts w:ascii="Open Sans" w:eastAsia="Open Sans" w:hAnsi="Open Sans" w:cs="Open Sans"/>
          <w:color w:val="000000"/>
          <w:vertAlign w:val="superscript"/>
        </w:rPr>
        <w:t>2</w:t>
      </w:r>
      <w:r>
        <w:rPr>
          <w:rFonts w:ascii="Open Sans" w:eastAsia="Open Sans" w:hAnsi="Open Sans" w:cs="Open Sans"/>
          <w:color w:val="000000"/>
        </w:rPr>
        <w:t>, Andalucía con 2.973 euros/m</w:t>
      </w:r>
      <w:r>
        <w:rPr>
          <w:rFonts w:ascii="Open Sans" w:eastAsia="Open Sans" w:hAnsi="Open Sans" w:cs="Open Sans"/>
          <w:color w:val="000000"/>
          <w:vertAlign w:val="superscript"/>
        </w:rPr>
        <w:t>2</w:t>
      </w:r>
      <w:r>
        <w:rPr>
          <w:rFonts w:ascii="Open Sans" w:eastAsia="Open Sans" w:hAnsi="Open Sans" w:cs="Open Sans"/>
          <w:color w:val="000000"/>
        </w:rPr>
        <w:t xml:space="preserve">,  </w:t>
      </w:r>
      <w:proofErr w:type="spellStart"/>
      <w:r>
        <w:rPr>
          <w:rFonts w:ascii="Open Sans" w:eastAsia="Open Sans" w:hAnsi="Open Sans" w:cs="Open Sans"/>
          <w:color w:val="000000"/>
        </w:rPr>
        <w:t>Comunitat</w:t>
      </w:r>
      <w:proofErr w:type="spellEnd"/>
      <w:r>
        <w:rPr>
          <w:rFonts w:ascii="Open Sans" w:eastAsia="Open Sans" w:hAnsi="Open Sans" w:cs="Open Sans"/>
          <w:color w:val="000000"/>
        </w:rPr>
        <w:t xml:space="preserve"> Valenciana con 2.878 euros/m</w:t>
      </w:r>
      <w:r>
        <w:rPr>
          <w:rFonts w:ascii="Open Sans" w:eastAsia="Open Sans" w:hAnsi="Open Sans" w:cs="Open Sans"/>
          <w:color w:val="000000"/>
          <w:vertAlign w:val="superscript"/>
        </w:rPr>
        <w:t>2</w:t>
      </w:r>
      <w:r>
        <w:rPr>
          <w:rFonts w:ascii="Open Sans" w:eastAsia="Open Sans" w:hAnsi="Open Sans" w:cs="Open Sans"/>
          <w:color w:val="000000"/>
        </w:rPr>
        <w:t>, Cantabria con 2.830 euros/m</w:t>
      </w:r>
      <w:r>
        <w:rPr>
          <w:rFonts w:ascii="Open Sans" w:eastAsia="Open Sans" w:hAnsi="Open Sans" w:cs="Open Sans"/>
          <w:color w:val="000000"/>
          <w:vertAlign w:val="superscript"/>
        </w:rPr>
        <w:t>2</w:t>
      </w:r>
      <w:r>
        <w:rPr>
          <w:rFonts w:ascii="Open Sans" w:eastAsia="Open Sans" w:hAnsi="Open Sans" w:cs="Open Sans"/>
          <w:color w:val="000000"/>
        </w:rPr>
        <w:t>,  Navarra con 2.446 euros/m</w:t>
      </w:r>
      <w:r>
        <w:rPr>
          <w:rFonts w:ascii="Open Sans" w:eastAsia="Open Sans" w:hAnsi="Open Sans" w:cs="Open Sans"/>
          <w:color w:val="000000"/>
          <w:vertAlign w:val="superscript"/>
        </w:rPr>
        <w:t>2</w:t>
      </w:r>
      <w:r>
        <w:rPr>
          <w:rFonts w:ascii="Open Sans" w:eastAsia="Open Sans" w:hAnsi="Open Sans" w:cs="Open Sans"/>
          <w:color w:val="000000"/>
        </w:rPr>
        <w:t>,  Asturias con 2.400 euros/m</w:t>
      </w:r>
      <w:r>
        <w:rPr>
          <w:rFonts w:ascii="Open Sans" w:eastAsia="Open Sans" w:hAnsi="Open Sans" w:cs="Open Sans"/>
          <w:color w:val="000000"/>
          <w:vertAlign w:val="superscript"/>
        </w:rPr>
        <w:t>2</w:t>
      </w:r>
      <w:r>
        <w:rPr>
          <w:rFonts w:ascii="Open Sans" w:eastAsia="Open Sans" w:hAnsi="Open Sans" w:cs="Open Sans"/>
          <w:color w:val="000000"/>
        </w:rPr>
        <w:t>, Galicia con 2.286 euros/m</w:t>
      </w:r>
      <w:r>
        <w:rPr>
          <w:rFonts w:ascii="Open Sans" w:eastAsia="Open Sans" w:hAnsi="Open Sans" w:cs="Open Sans"/>
          <w:color w:val="000000"/>
          <w:vertAlign w:val="superscript"/>
        </w:rPr>
        <w:t>2</w:t>
      </w:r>
      <w:r>
        <w:rPr>
          <w:rFonts w:ascii="Open Sans" w:eastAsia="Open Sans" w:hAnsi="Open Sans" w:cs="Open Sans"/>
          <w:color w:val="000000"/>
        </w:rPr>
        <w:t>, Región de Murcia con 2.195 euros/m</w:t>
      </w:r>
      <w:r>
        <w:rPr>
          <w:rFonts w:ascii="Open Sans" w:eastAsia="Open Sans" w:hAnsi="Open Sans" w:cs="Open Sans"/>
          <w:color w:val="000000"/>
          <w:vertAlign w:val="superscript"/>
        </w:rPr>
        <w:t>2</w:t>
      </w:r>
      <w:r>
        <w:rPr>
          <w:rFonts w:ascii="Open Sans" w:eastAsia="Open Sans" w:hAnsi="Open Sans" w:cs="Open Sans"/>
          <w:color w:val="000000"/>
        </w:rPr>
        <w:t>, La Rioja con 2.005 euros/m</w:t>
      </w:r>
      <w:r>
        <w:rPr>
          <w:rFonts w:ascii="Open Sans" w:eastAsia="Open Sans" w:hAnsi="Open Sans" w:cs="Open Sans"/>
          <w:color w:val="000000"/>
          <w:vertAlign w:val="superscript"/>
        </w:rPr>
        <w:t>2</w:t>
      </w:r>
      <w:r>
        <w:rPr>
          <w:rFonts w:ascii="Open Sans" w:eastAsia="Open Sans" w:hAnsi="Open Sans" w:cs="Open Sans"/>
          <w:color w:val="000000"/>
        </w:rPr>
        <w:t>,  Aragón con 1.977 euros/m</w:t>
      </w:r>
      <w:r>
        <w:rPr>
          <w:rFonts w:ascii="Open Sans" w:eastAsia="Open Sans" w:hAnsi="Open Sans" w:cs="Open Sans"/>
          <w:color w:val="000000"/>
          <w:vertAlign w:val="superscript"/>
        </w:rPr>
        <w:t>2</w:t>
      </w:r>
      <w:r>
        <w:rPr>
          <w:rFonts w:ascii="Open Sans" w:eastAsia="Open Sans" w:hAnsi="Open Sans" w:cs="Open Sans"/>
          <w:color w:val="000000"/>
        </w:rPr>
        <w:t>, Castilla y León con 1.806 euros/m</w:t>
      </w:r>
      <w:r>
        <w:rPr>
          <w:rFonts w:ascii="Open Sans" w:eastAsia="Open Sans" w:hAnsi="Open Sans" w:cs="Open Sans"/>
          <w:color w:val="000000"/>
          <w:vertAlign w:val="superscript"/>
        </w:rPr>
        <w:t>2</w:t>
      </w:r>
      <w:r>
        <w:rPr>
          <w:rFonts w:ascii="Open Sans" w:eastAsia="Open Sans" w:hAnsi="Open Sans" w:cs="Open Sans"/>
          <w:color w:val="000000"/>
        </w:rPr>
        <w:t>, Castilla-La Mancha con 1.426 euros/m</w:t>
      </w:r>
      <w:r>
        <w:rPr>
          <w:rFonts w:ascii="Open Sans" w:eastAsia="Open Sans" w:hAnsi="Open Sans" w:cs="Open Sans"/>
          <w:color w:val="000000"/>
          <w:vertAlign w:val="superscript"/>
        </w:rPr>
        <w:t>2</w:t>
      </w:r>
      <w:r>
        <w:rPr>
          <w:rFonts w:ascii="Open Sans" w:eastAsia="Open Sans" w:hAnsi="Open Sans" w:cs="Open Sans"/>
          <w:color w:val="000000"/>
        </w:rPr>
        <w:t xml:space="preserve"> y Extremadura con 1.359 euros/m</w:t>
      </w:r>
      <w:r>
        <w:rPr>
          <w:rFonts w:ascii="Open Sans" w:eastAsia="Open Sans" w:hAnsi="Open Sans" w:cs="Open Sans"/>
          <w:color w:val="000000"/>
          <w:vertAlign w:val="superscript"/>
        </w:rPr>
        <w:t>2</w:t>
      </w:r>
      <w:r>
        <w:rPr>
          <w:rFonts w:ascii="Open Sans" w:eastAsia="Open Sans" w:hAnsi="Open Sans" w:cs="Open Sans"/>
          <w:color w:val="000000"/>
        </w:rPr>
        <w:t>.</w:t>
      </w:r>
    </w:p>
    <w:p w14:paraId="1F92C80E" w14:textId="77777777" w:rsidR="006B2717" w:rsidRDefault="00000000">
      <w:pPr>
        <w:pBdr>
          <w:top w:val="nil"/>
          <w:left w:val="nil"/>
          <w:bottom w:val="nil"/>
          <w:right w:val="nil"/>
          <w:between w:val="nil"/>
        </w:pBdr>
        <w:shd w:val="clear" w:color="auto" w:fill="FFFFFF"/>
        <w:spacing w:before="280" w:after="280" w:line="276" w:lineRule="auto"/>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CCAA de mayor a menor incremento interanual</w:t>
      </w:r>
    </w:p>
    <w:tbl>
      <w:tblPr>
        <w:tblStyle w:val="a"/>
        <w:tblW w:w="9327"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27"/>
        <w:gridCol w:w="1433"/>
        <w:gridCol w:w="1350"/>
        <w:gridCol w:w="1473"/>
        <w:gridCol w:w="1472"/>
        <w:gridCol w:w="1472"/>
      </w:tblGrid>
      <w:tr w:rsidR="006B2717" w14:paraId="3C264CF0" w14:textId="77777777" w:rsidTr="006B2717">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D117FA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Comunidad Autónoma</w:t>
            </w:r>
          </w:p>
        </w:tc>
        <w:tc>
          <w:tcPr>
            <w:tcW w:w="1433" w:type="dxa"/>
            <w:vAlign w:val="center"/>
          </w:tcPr>
          <w:p w14:paraId="035AF6D9"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2025</w:t>
            </w:r>
          </w:p>
          <w:p w14:paraId="53BC99C1"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350" w:type="dxa"/>
            <w:vAlign w:val="center"/>
          </w:tcPr>
          <w:p w14:paraId="0563606D"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5076EADF"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473" w:type="dxa"/>
            <w:vAlign w:val="center"/>
          </w:tcPr>
          <w:p w14:paraId="7D1D4C78"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472" w:type="dxa"/>
            <w:vAlign w:val="center"/>
          </w:tcPr>
          <w:p w14:paraId="680B812A"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c>
          <w:tcPr>
            <w:tcW w:w="1472" w:type="dxa"/>
          </w:tcPr>
          <w:p w14:paraId="1C6725EA"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Diferencia de euros piso 80 m</w:t>
            </w:r>
            <w:r>
              <w:rPr>
                <w:rFonts w:ascii="Open Sans" w:eastAsia="Open Sans" w:hAnsi="Open Sans" w:cs="Open Sans"/>
                <w:b w:val="0"/>
                <w:bCs w:val="0"/>
                <w:sz w:val="22"/>
                <w:szCs w:val="22"/>
                <w:vertAlign w:val="superscript"/>
              </w:rPr>
              <w:t>2</w:t>
            </w:r>
          </w:p>
        </w:tc>
      </w:tr>
      <w:tr w:rsidR="006B2717" w14:paraId="770A91C9"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24625F3E"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Andalucía </w:t>
            </w:r>
          </w:p>
        </w:tc>
        <w:tc>
          <w:tcPr>
            <w:tcW w:w="1433" w:type="dxa"/>
            <w:vAlign w:val="bottom"/>
          </w:tcPr>
          <w:p w14:paraId="6CEC8F0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2.610 €</w:t>
            </w:r>
          </w:p>
        </w:tc>
        <w:tc>
          <w:tcPr>
            <w:tcW w:w="1350" w:type="dxa"/>
            <w:vAlign w:val="bottom"/>
          </w:tcPr>
          <w:p w14:paraId="4A37367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sz w:val="22"/>
                <w:szCs w:val="22"/>
              </w:rPr>
              <w:t>2.973 €</w:t>
            </w:r>
          </w:p>
        </w:tc>
        <w:tc>
          <w:tcPr>
            <w:tcW w:w="1473" w:type="dxa"/>
            <w:vAlign w:val="bottom"/>
          </w:tcPr>
          <w:p w14:paraId="43322F8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EE0000"/>
                <w:sz w:val="22"/>
                <w:szCs w:val="22"/>
              </w:rPr>
            </w:pPr>
            <w:r>
              <w:rPr>
                <w:rFonts w:ascii="Open Sans" w:eastAsia="Open Sans" w:hAnsi="Open Sans" w:cs="Open Sans"/>
                <w:color w:val="9C0006"/>
                <w:sz w:val="22"/>
                <w:szCs w:val="22"/>
              </w:rPr>
              <w:t>-0,6%</w:t>
            </w:r>
          </w:p>
        </w:tc>
        <w:tc>
          <w:tcPr>
            <w:tcW w:w="1472" w:type="dxa"/>
            <w:vAlign w:val="bottom"/>
          </w:tcPr>
          <w:p w14:paraId="7755366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sz w:val="22"/>
                <w:szCs w:val="22"/>
              </w:rPr>
              <w:t>13,9%</w:t>
            </w:r>
          </w:p>
        </w:tc>
        <w:tc>
          <w:tcPr>
            <w:tcW w:w="1472" w:type="dxa"/>
            <w:vAlign w:val="bottom"/>
          </w:tcPr>
          <w:p w14:paraId="1B145B9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29.017 €</w:t>
            </w:r>
          </w:p>
        </w:tc>
      </w:tr>
      <w:tr w:rsidR="006B2717" w14:paraId="7B5897C0"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6B87B55E"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Aragón </w:t>
            </w:r>
          </w:p>
        </w:tc>
        <w:tc>
          <w:tcPr>
            <w:tcW w:w="1433" w:type="dxa"/>
            <w:vAlign w:val="bottom"/>
          </w:tcPr>
          <w:p w14:paraId="5045BFF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1.795 €</w:t>
            </w:r>
          </w:p>
        </w:tc>
        <w:tc>
          <w:tcPr>
            <w:tcW w:w="1350" w:type="dxa"/>
            <w:vAlign w:val="bottom"/>
          </w:tcPr>
          <w:p w14:paraId="1EE291C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1.977 €</w:t>
            </w:r>
          </w:p>
        </w:tc>
        <w:tc>
          <w:tcPr>
            <w:tcW w:w="1473" w:type="dxa"/>
            <w:vAlign w:val="bottom"/>
          </w:tcPr>
          <w:p w14:paraId="74FFE68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1,5%</w:t>
            </w:r>
          </w:p>
        </w:tc>
        <w:tc>
          <w:tcPr>
            <w:tcW w:w="1472" w:type="dxa"/>
            <w:vAlign w:val="bottom"/>
          </w:tcPr>
          <w:p w14:paraId="183B6AF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10,1%</w:t>
            </w:r>
          </w:p>
        </w:tc>
        <w:tc>
          <w:tcPr>
            <w:tcW w:w="1472" w:type="dxa"/>
            <w:vAlign w:val="bottom"/>
          </w:tcPr>
          <w:p w14:paraId="3A842A5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14.549 €</w:t>
            </w:r>
          </w:p>
        </w:tc>
      </w:tr>
      <w:tr w:rsidR="006B2717" w14:paraId="496A5B13"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10C2ACA5"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Asturias </w:t>
            </w:r>
          </w:p>
        </w:tc>
        <w:tc>
          <w:tcPr>
            <w:tcW w:w="1433" w:type="dxa"/>
            <w:vAlign w:val="bottom"/>
          </w:tcPr>
          <w:p w14:paraId="1765EE3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2.081 €</w:t>
            </w:r>
          </w:p>
        </w:tc>
        <w:tc>
          <w:tcPr>
            <w:tcW w:w="1350" w:type="dxa"/>
            <w:vAlign w:val="bottom"/>
          </w:tcPr>
          <w:p w14:paraId="3C70774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2.400 €</w:t>
            </w:r>
          </w:p>
        </w:tc>
        <w:tc>
          <w:tcPr>
            <w:tcW w:w="1473" w:type="dxa"/>
            <w:vAlign w:val="bottom"/>
          </w:tcPr>
          <w:p w14:paraId="419C49E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0,9%</w:t>
            </w:r>
          </w:p>
        </w:tc>
        <w:tc>
          <w:tcPr>
            <w:tcW w:w="1472" w:type="dxa"/>
            <w:vAlign w:val="bottom"/>
          </w:tcPr>
          <w:p w14:paraId="23CB6FA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15,3%</w:t>
            </w:r>
          </w:p>
        </w:tc>
        <w:tc>
          <w:tcPr>
            <w:tcW w:w="1472" w:type="dxa"/>
            <w:vAlign w:val="bottom"/>
          </w:tcPr>
          <w:p w14:paraId="4E87C3A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25.497 €</w:t>
            </w:r>
          </w:p>
        </w:tc>
      </w:tr>
      <w:tr w:rsidR="006B2717" w14:paraId="24EBCC14"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1034CD95"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Baleares </w:t>
            </w:r>
          </w:p>
        </w:tc>
        <w:tc>
          <w:tcPr>
            <w:tcW w:w="1433" w:type="dxa"/>
            <w:vAlign w:val="bottom"/>
          </w:tcPr>
          <w:p w14:paraId="54BF934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5.069 €</w:t>
            </w:r>
          </w:p>
        </w:tc>
        <w:tc>
          <w:tcPr>
            <w:tcW w:w="1350" w:type="dxa"/>
            <w:vAlign w:val="bottom"/>
          </w:tcPr>
          <w:p w14:paraId="54814BC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5.401 €</w:t>
            </w:r>
          </w:p>
        </w:tc>
        <w:tc>
          <w:tcPr>
            <w:tcW w:w="1473" w:type="dxa"/>
            <w:vAlign w:val="bottom"/>
          </w:tcPr>
          <w:p w14:paraId="7F44F45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-0,7%</w:t>
            </w:r>
          </w:p>
        </w:tc>
        <w:tc>
          <w:tcPr>
            <w:tcW w:w="1472" w:type="dxa"/>
            <w:vAlign w:val="bottom"/>
          </w:tcPr>
          <w:p w14:paraId="135ED91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6,5%</w:t>
            </w:r>
          </w:p>
        </w:tc>
        <w:tc>
          <w:tcPr>
            <w:tcW w:w="1472" w:type="dxa"/>
            <w:vAlign w:val="bottom"/>
          </w:tcPr>
          <w:p w14:paraId="38BC253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26.501 €</w:t>
            </w:r>
          </w:p>
        </w:tc>
      </w:tr>
      <w:tr w:rsidR="006B2717" w14:paraId="56C423A2"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0500D7BD"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Canarias </w:t>
            </w:r>
          </w:p>
        </w:tc>
        <w:tc>
          <w:tcPr>
            <w:tcW w:w="1433" w:type="dxa"/>
            <w:vAlign w:val="bottom"/>
          </w:tcPr>
          <w:p w14:paraId="0C61112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3.157 €</w:t>
            </w:r>
          </w:p>
        </w:tc>
        <w:tc>
          <w:tcPr>
            <w:tcW w:w="1350" w:type="dxa"/>
            <w:vAlign w:val="bottom"/>
          </w:tcPr>
          <w:p w14:paraId="02DCC8F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3.397 €</w:t>
            </w:r>
          </w:p>
        </w:tc>
        <w:tc>
          <w:tcPr>
            <w:tcW w:w="1473" w:type="dxa"/>
            <w:vAlign w:val="bottom"/>
          </w:tcPr>
          <w:p w14:paraId="6B154DA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0,7%</w:t>
            </w:r>
          </w:p>
        </w:tc>
        <w:tc>
          <w:tcPr>
            <w:tcW w:w="1472" w:type="dxa"/>
            <w:vAlign w:val="bottom"/>
          </w:tcPr>
          <w:p w14:paraId="2B507E1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7,6%</w:t>
            </w:r>
          </w:p>
        </w:tc>
        <w:tc>
          <w:tcPr>
            <w:tcW w:w="1472" w:type="dxa"/>
            <w:vAlign w:val="bottom"/>
          </w:tcPr>
          <w:p w14:paraId="4A0256A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19.218 €</w:t>
            </w:r>
          </w:p>
        </w:tc>
      </w:tr>
      <w:tr w:rsidR="006B2717" w14:paraId="15C3B8F5"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3D97D033"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Cantabria </w:t>
            </w:r>
          </w:p>
        </w:tc>
        <w:tc>
          <w:tcPr>
            <w:tcW w:w="1433" w:type="dxa"/>
            <w:vAlign w:val="bottom"/>
          </w:tcPr>
          <w:p w14:paraId="041AFFE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2.357 €</w:t>
            </w:r>
          </w:p>
        </w:tc>
        <w:tc>
          <w:tcPr>
            <w:tcW w:w="1350" w:type="dxa"/>
            <w:vAlign w:val="bottom"/>
          </w:tcPr>
          <w:p w14:paraId="1AD836C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2.830 €</w:t>
            </w:r>
          </w:p>
        </w:tc>
        <w:tc>
          <w:tcPr>
            <w:tcW w:w="1473" w:type="dxa"/>
            <w:vAlign w:val="bottom"/>
          </w:tcPr>
          <w:p w14:paraId="73BA65C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3,1%</w:t>
            </w:r>
          </w:p>
        </w:tc>
        <w:tc>
          <w:tcPr>
            <w:tcW w:w="1472" w:type="dxa"/>
            <w:vAlign w:val="bottom"/>
          </w:tcPr>
          <w:p w14:paraId="50DF7C4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20,1%</w:t>
            </w:r>
          </w:p>
        </w:tc>
        <w:tc>
          <w:tcPr>
            <w:tcW w:w="1472" w:type="dxa"/>
            <w:vAlign w:val="bottom"/>
          </w:tcPr>
          <w:p w14:paraId="28B07D4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37.882 €</w:t>
            </w:r>
          </w:p>
        </w:tc>
      </w:tr>
      <w:tr w:rsidR="006B2717" w14:paraId="13FA29D9"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109B5B82"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Castilla y León </w:t>
            </w:r>
          </w:p>
        </w:tc>
        <w:tc>
          <w:tcPr>
            <w:tcW w:w="1433" w:type="dxa"/>
            <w:vAlign w:val="bottom"/>
          </w:tcPr>
          <w:p w14:paraId="33124F2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1.633 €</w:t>
            </w:r>
          </w:p>
        </w:tc>
        <w:tc>
          <w:tcPr>
            <w:tcW w:w="1350" w:type="dxa"/>
            <w:vAlign w:val="bottom"/>
          </w:tcPr>
          <w:p w14:paraId="6073B5E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1.806 €</w:t>
            </w:r>
          </w:p>
        </w:tc>
        <w:tc>
          <w:tcPr>
            <w:tcW w:w="1473" w:type="dxa"/>
            <w:vAlign w:val="bottom"/>
          </w:tcPr>
          <w:p w14:paraId="521743B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9C0006"/>
                <w:sz w:val="22"/>
                <w:szCs w:val="22"/>
              </w:rPr>
              <w:t>-0,6%</w:t>
            </w:r>
          </w:p>
        </w:tc>
        <w:tc>
          <w:tcPr>
            <w:tcW w:w="1472" w:type="dxa"/>
            <w:vAlign w:val="bottom"/>
          </w:tcPr>
          <w:p w14:paraId="618E0F5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10,6%</w:t>
            </w:r>
          </w:p>
        </w:tc>
        <w:tc>
          <w:tcPr>
            <w:tcW w:w="1472" w:type="dxa"/>
            <w:vAlign w:val="bottom"/>
          </w:tcPr>
          <w:p w14:paraId="21F01FA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13.827 €</w:t>
            </w:r>
          </w:p>
        </w:tc>
      </w:tr>
      <w:tr w:rsidR="006B2717" w14:paraId="1F1958A9"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7F2432CF"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Castilla-La Mancha </w:t>
            </w:r>
          </w:p>
        </w:tc>
        <w:tc>
          <w:tcPr>
            <w:tcW w:w="1433" w:type="dxa"/>
            <w:vAlign w:val="bottom"/>
          </w:tcPr>
          <w:p w14:paraId="2ABE2C4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1.259 €</w:t>
            </w:r>
          </w:p>
        </w:tc>
        <w:tc>
          <w:tcPr>
            <w:tcW w:w="1350" w:type="dxa"/>
            <w:vAlign w:val="bottom"/>
          </w:tcPr>
          <w:p w14:paraId="5CB4999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1.426 €</w:t>
            </w:r>
          </w:p>
        </w:tc>
        <w:tc>
          <w:tcPr>
            <w:tcW w:w="1473" w:type="dxa"/>
            <w:vAlign w:val="bottom"/>
          </w:tcPr>
          <w:p w14:paraId="1775503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1,3%</w:t>
            </w:r>
          </w:p>
        </w:tc>
        <w:tc>
          <w:tcPr>
            <w:tcW w:w="1472" w:type="dxa"/>
            <w:vAlign w:val="bottom"/>
          </w:tcPr>
          <w:p w14:paraId="0A92E1F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13,3%</w:t>
            </w:r>
          </w:p>
        </w:tc>
        <w:tc>
          <w:tcPr>
            <w:tcW w:w="1472" w:type="dxa"/>
            <w:vAlign w:val="bottom"/>
          </w:tcPr>
          <w:p w14:paraId="3FF46D7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13.378 €</w:t>
            </w:r>
          </w:p>
        </w:tc>
      </w:tr>
      <w:tr w:rsidR="006B2717" w14:paraId="00EF0B23"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2A6B15BA"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Cataluña </w:t>
            </w:r>
          </w:p>
        </w:tc>
        <w:tc>
          <w:tcPr>
            <w:tcW w:w="1433" w:type="dxa"/>
            <w:vAlign w:val="bottom"/>
          </w:tcPr>
          <w:p w14:paraId="692D3B3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3.108 €</w:t>
            </w:r>
          </w:p>
        </w:tc>
        <w:tc>
          <w:tcPr>
            <w:tcW w:w="1350" w:type="dxa"/>
            <w:vAlign w:val="bottom"/>
          </w:tcPr>
          <w:p w14:paraId="0746759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3.450 €</w:t>
            </w:r>
          </w:p>
        </w:tc>
        <w:tc>
          <w:tcPr>
            <w:tcW w:w="1473" w:type="dxa"/>
            <w:vAlign w:val="bottom"/>
          </w:tcPr>
          <w:p w14:paraId="351AFBC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0,9%</w:t>
            </w:r>
          </w:p>
        </w:tc>
        <w:tc>
          <w:tcPr>
            <w:tcW w:w="1472" w:type="dxa"/>
            <w:vAlign w:val="bottom"/>
          </w:tcPr>
          <w:p w14:paraId="673AB34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11,0%</w:t>
            </w:r>
          </w:p>
        </w:tc>
        <w:tc>
          <w:tcPr>
            <w:tcW w:w="1472" w:type="dxa"/>
            <w:vAlign w:val="bottom"/>
          </w:tcPr>
          <w:p w14:paraId="51FD63E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27.373 €</w:t>
            </w:r>
          </w:p>
        </w:tc>
      </w:tr>
      <w:tr w:rsidR="006B2717" w14:paraId="5E396ACF"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6D8AEC3E"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w:t>
            </w:r>
            <w:proofErr w:type="spellStart"/>
            <w:r>
              <w:rPr>
                <w:rFonts w:ascii="Open Sans" w:eastAsia="Open Sans" w:hAnsi="Open Sans" w:cs="Open Sans"/>
                <w:b w:val="0"/>
                <w:bCs w:val="0"/>
              </w:rPr>
              <w:t>Comunitat</w:t>
            </w:r>
            <w:proofErr w:type="spellEnd"/>
            <w:r>
              <w:rPr>
                <w:rFonts w:ascii="Open Sans" w:eastAsia="Open Sans" w:hAnsi="Open Sans" w:cs="Open Sans"/>
                <w:b w:val="0"/>
                <w:bCs w:val="0"/>
              </w:rPr>
              <w:t xml:space="preserve"> Valenciana </w:t>
            </w:r>
          </w:p>
        </w:tc>
        <w:tc>
          <w:tcPr>
            <w:tcW w:w="1433" w:type="dxa"/>
            <w:vAlign w:val="bottom"/>
          </w:tcPr>
          <w:p w14:paraId="0595FF0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2.436 €</w:t>
            </w:r>
          </w:p>
        </w:tc>
        <w:tc>
          <w:tcPr>
            <w:tcW w:w="1350" w:type="dxa"/>
            <w:vAlign w:val="bottom"/>
          </w:tcPr>
          <w:p w14:paraId="6664D81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2.878 €</w:t>
            </w:r>
          </w:p>
        </w:tc>
        <w:tc>
          <w:tcPr>
            <w:tcW w:w="1473" w:type="dxa"/>
            <w:vAlign w:val="bottom"/>
          </w:tcPr>
          <w:p w14:paraId="45C3384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0,2%</w:t>
            </w:r>
          </w:p>
        </w:tc>
        <w:tc>
          <w:tcPr>
            <w:tcW w:w="1472" w:type="dxa"/>
            <w:vAlign w:val="bottom"/>
          </w:tcPr>
          <w:p w14:paraId="6D521B8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18,1%</w:t>
            </w:r>
          </w:p>
        </w:tc>
        <w:tc>
          <w:tcPr>
            <w:tcW w:w="1472" w:type="dxa"/>
            <w:vAlign w:val="bottom"/>
          </w:tcPr>
          <w:p w14:paraId="01F63AC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35.325 €</w:t>
            </w:r>
          </w:p>
        </w:tc>
      </w:tr>
      <w:tr w:rsidR="006B2717" w14:paraId="3330AE2F"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5BC37FD6"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Extremadura </w:t>
            </w:r>
          </w:p>
        </w:tc>
        <w:tc>
          <w:tcPr>
            <w:tcW w:w="1433" w:type="dxa"/>
            <w:vAlign w:val="bottom"/>
          </w:tcPr>
          <w:p w14:paraId="760C102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1.265 €</w:t>
            </w:r>
          </w:p>
        </w:tc>
        <w:tc>
          <w:tcPr>
            <w:tcW w:w="1350" w:type="dxa"/>
            <w:vAlign w:val="bottom"/>
          </w:tcPr>
          <w:p w14:paraId="47D4991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1.359 €</w:t>
            </w:r>
          </w:p>
        </w:tc>
        <w:tc>
          <w:tcPr>
            <w:tcW w:w="1473" w:type="dxa"/>
            <w:vAlign w:val="bottom"/>
          </w:tcPr>
          <w:p w14:paraId="4201B0A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0,5%</w:t>
            </w:r>
          </w:p>
        </w:tc>
        <w:tc>
          <w:tcPr>
            <w:tcW w:w="1472" w:type="dxa"/>
            <w:vAlign w:val="bottom"/>
          </w:tcPr>
          <w:p w14:paraId="55E260A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7,4%</w:t>
            </w:r>
          </w:p>
        </w:tc>
        <w:tc>
          <w:tcPr>
            <w:tcW w:w="1472" w:type="dxa"/>
            <w:vAlign w:val="bottom"/>
          </w:tcPr>
          <w:p w14:paraId="68A23DF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7.466 €</w:t>
            </w:r>
          </w:p>
        </w:tc>
      </w:tr>
      <w:tr w:rsidR="006B2717" w14:paraId="5BB334C1"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6D971F68"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Galicia </w:t>
            </w:r>
          </w:p>
        </w:tc>
        <w:tc>
          <w:tcPr>
            <w:tcW w:w="1433" w:type="dxa"/>
            <w:vAlign w:val="bottom"/>
          </w:tcPr>
          <w:p w14:paraId="599CCCE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2.033 €</w:t>
            </w:r>
          </w:p>
        </w:tc>
        <w:tc>
          <w:tcPr>
            <w:tcW w:w="1350" w:type="dxa"/>
            <w:vAlign w:val="bottom"/>
          </w:tcPr>
          <w:p w14:paraId="6F6E423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2.286 €</w:t>
            </w:r>
          </w:p>
        </w:tc>
        <w:tc>
          <w:tcPr>
            <w:tcW w:w="1473" w:type="dxa"/>
            <w:vAlign w:val="bottom"/>
          </w:tcPr>
          <w:p w14:paraId="73EE1E1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1,1%</w:t>
            </w:r>
          </w:p>
        </w:tc>
        <w:tc>
          <w:tcPr>
            <w:tcW w:w="1472" w:type="dxa"/>
            <w:vAlign w:val="bottom"/>
          </w:tcPr>
          <w:p w14:paraId="1104BBD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12,4%</w:t>
            </w:r>
          </w:p>
        </w:tc>
        <w:tc>
          <w:tcPr>
            <w:tcW w:w="1472" w:type="dxa"/>
            <w:vAlign w:val="bottom"/>
          </w:tcPr>
          <w:p w14:paraId="7DA5C63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20.171 €</w:t>
            </w:r>
          </w:p>
        </w:tc>
      </w:tr>
      <w:tr w:rsidR="006B2717" w14:paraId="410FEE0C"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04FBB040"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La Rioja </w:t>
            </w:r>
          </w:p>
        </w:tc>
        <w:tc>
          <w:tcPr>
            <w:tcW w:w="1433" w:type="dxa"/>
            <w:vAlign w:val="bottom"/>
          </w:tcPr>
          <w:p w14:paraId="46A53C7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1.721 €</w:t>
            </w:r>
          </w:p>
        </w:tc>
        <w:tc>
          <w:tcPr>
            <w:tcW w:w="1350" w:type="dxa"/>
            <w:vAlign w:val="bottom"/>
          </w:tcPr>
          <w:p w14:paraId="4C0CE04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2.005 €</w:t>
            </w:r>
          </w:p>
        </w:tc>
        <w:tc>
          <w:tcPr>
            <w:tcW w:w="1473" w:type="dxa"/>
            <w:vAlign w:val="bottom"/>
          </w:tcPr>
          <w:p w14:paraId="25047E6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3,4%</w:t>
            </w:r>
          </w:p>
        </w:tc>
        <w:tc>
          <w:tcPr>
            <w:tcW w:w="1472" w:type="dxa"/>
            <w:vAlign w:val="bottom"/>
          </w:tcPr>
          <w:p w14:paraId="3871E5E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16,5%</w:t>
            </w:r>
          </w:p>
        </w:tc>
        <w:tc>
          <w:tcPr>
            <w:tcW w:w="1472" w:type="dxa"/>
            <w:vAlign w:val="bottom"/>
          </w:tcPr>
          <w:p w14:paraId="048D700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22.688 €</w:t>
            </w:r>
          </w:p>
        </w:tc>
      </w:tr>
      <w:tr w:rsidR="006B2717" w14:paraId="70441179"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1B2C27F7"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Madrid </w:t>
            </w:r>
          </w:p>
        </w:tc>
        <w:tc>
          <w:tcPr>
            <w:tcW w:w="1433" w:type="dxa"/>
            <w:vAlign w:val="bottom"/>
          </w:tcPr>
          <w:p w14:paraId="0805EDE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4.858 €</w:t>
            </w:r>
          </w:p>
        </w:tc>
        <w:tc>
          <w:tcPr>
            <w:tcW w:w="1350" w:type="dxa"/>
            <w:vAlign w:val="bottom"/>
          </w:tcPr>
          <w:p w14:paraId="668448C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5.455 €</w:t>
            </w:r>
          </w:p>
        </w:tc>
        <w:tc>
          <w:tcPr>
            <w:tcW w:w="1473" w:type="dxa"/>
            <w:vAlign w:val="bottom"/>
          </w:tcPr>
          <w:p w14:paraId="7BE7D06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0,8%</w:t>
            </w:r>
          </w:p>
        </w:tc>
        <w:tc>
          <w:tcPr>
            <w:tcW w:w="1472" w:type="dxa"/>
            <w:vAlign w:val="bottom"/>
          </w:tcPr>
          <w:p w14:paraId="0733EE4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12,3%</w:t>
            </w:r>
          </w:p>
        </w:tc>
        <w:tc>
          <w:tcPr>
            <w:tcW w:w="1472" w:type="dxa"/>
            <w:vAlign w:val="bottom"/>
          </w:tcPr>
          <w:p w14:paraId="6E488C8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47.732 €</w:t>
            </w:r>
          </w:p>
        </w:tc>
      </w:tr>
      <w:tr w:rsidR="006B2717" w14:paraId="7AAC1E13"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7E5F47AA"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Navarra </w:t>
            </w:r>
          </w:p>
        </w:tc>
        <w:tc>
          <w:tcPr>
            <w:tcW w:w="1433" w:type="dxa"/>
            <w:vAlign w:val="bottom"/>
          </w:tcPr>
          <w:p w14:paraId="284D369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2.092 €</w:t>
            </w:r>
          </w:p>
        </w:tc>
        <w:tc>
          <w:tcPr>
            <w:tcW w:w="1350" w:type="dxa"/>
            <w:vAlign w:val="bottom"/>
          </w:tcPr>
          <w:p w14:paraId="35337BF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2.446 €</w:t>
            </w:r>
          </w:p>
        </w:tc>
        <w:tc>
          <w:tcPr>
            <w:tcW w:w="1473" w:type="dxa"/>
            <w:vAlign w:val="bottom"/>
          </w:tcPr>
          <w:p w14:paraId="1326C4E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2,6%</w:t>
            </w:r>
          </w:p>
        </w:tc>
        <w:tc>
          <w:tcPr>
            <w:tcW w:w="1472" w:type="dxa"/>
            <w:vAlign w:val="bottom"/>
          </w:tcPr>
          <w:p w14:paraId="515C075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17,0%</w:t>
            </w:r>
          </w:p>
        </w:tc>
        <w:tc>
          <w:tcPr>
            <w:tcW w:w="1472" w:type="dxa"/>
            <w:vAlign w:val="bottom"/>
          </w:tcPr>
          <w:p w14:paraId="52935EE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28.378 €</w:t>
            </w:r>
          </w:p>
        </w:tc>
      </w:tr>
      <w:tr w:rsidR="006B2717" w14:paraId="123D7D2B" w14:textId="77777777" w:rsidTr="006B2717">
        <w:trPr>
          <w:trHeight w:val="408"/>
        </w:trPr>
        <w:tc>
          <w:tcPr>
            <w:cnfStyle w:val="001000000000" w:firstRow="0" w:lastRow="0" w:firstColumn="1" w:lastColumn="0" w:oddVBand="0" w:evenVBand="0" w:oddHBand="0" w:evenHBand="0" w:firstRowFirstColumn="0" w:firstRowLastColumn="0" w:lastRowFirstColumn="0" w:lastRowLastColumn="0"/>
            <w:tcW w:w="2127" w:type="dxa"/>
          </w:tcPr>
          <w:p w14:paraId="380AC985"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País Vasco </w:t>
            </w:r>
          </w:p>
        </w:tc>
        <w:tc>
          <w:tcPr>
            <w:tcW w:w="1433" w:type="dxa"/>
            <w:vAlign w:val="bottom"/>
          </w:tcPr>
          <w:p w14:paraId="10E1CEA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3.512 €</w:t>
            </w:r>
          </w:p>
        </w:tc>
        <w:tc>
          <w:tcPr>
            <w:tcW w:w="1350" w:type="dxa"/>
            <w:vAlign w:val="bottom"/>
          </w:tcPr>
          <w:p w14:paraId="41C1C69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3.970 €</w:t>
            </w:r>
          </w:p>
        </w:tc>
        <w:tc>
          <w:tcPr>
            <w:tcW w:w="1473" w:type="dxa"/>
            <w:vAlign w:val="bottom"/>
          </w:tcPr>
          <w:p w14:paraId="41ED6F1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1,2%</w:t>
            </w:r>
          </w:p>
        </w:tc>
        <w:tc>
          <w:tcPr>
            <w:tcW w:w="1472" w:type="dxa"/>
            <w:vAlign w:val="bottom"/>
          </w:tcPr>
          <w:p w14:paraId="4CCBC17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13,0%</w:t>
            </w:r>
          </w:p>
        </w:tc>
        <w:tc>
          <w:tcPr>
            <w:tcW w:w="1472" w:type="dxa"/>
            <w:vAlign w:val="bottom"/>
          </w:tcPr>
          <w:p w14:paraId="3FC8B7B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36.642 €</w:t>
            </w:r>
          </w:p>
        </w:tc>
      </w:tr>
      <w:tr w:rsidR="006B2717" w14:paraId="7616C559" w14:textId="77777777" w:rsidTr="006B2717">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tcPr>
          <w:p w14:paraId="5BF7943D" w14:textId="77777777" w:rsidR="006B2717" w:rsidRDefault="00000000">
            <w:pPr>
              <w:rPr>
                <w:rFonts w:ascii="Open Sans" w:eastAsia="Open Sans" w:hAnsi="Open Sans" w:cs="Open Sans"/>
                <w:sz w:val="22"/>
                <w:szCs w:val="22"/>
              </w:rPr>
            </w:pPr>
            <w:r>
              <w:rPr>
                <w:rFonts w:ascii="Open Sans" w:eastAsia="Open Sans" w:hAnsi="Open Sans" w:cs="Open Sans"/>
                <w:b w:val="0"/>
                <w:bCs w:val="0"/>
              </w:rPr>
              <w:lastRenderedPageBreak/>
              <w:t xml:space="preserve"> Región de Murcia </w:t>
            </w:r>
          </w:p>
        </w:tc>
        <w:tc>
          <w:tcPr>
            <w:tcW w:w="1433" w:type="dxa"/>
            <w:vAlign w:val="bottom"/>
          </w:tcPr>
          <w:p w14:paraId="43FEDC2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1.740 €</w:t>
            </w:r>
          </w:p>
        </w:tc>
        <w:tc>
          <w:tcPr>
            <w:tcW w:w="1350" w:type="dxa"/>
            <w:vAlign w:val="bottom"/>
          </w:tcPr>
          <w:p w14:paraId="23507E8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2.195 €</w:t>
            </w:r>
          </w:p>
        </w:tc>
        <w:tc>
          <w:tcPr>
            <w:tcW w:w="1473" w:type="dxa"/>
            <w:vAlign w:val="bottom"/>
          </w:tcPr>
          <w:p w14:paraId="62133AB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0,2%</w:t>
            </w:r>
          </w:p>
        </w:tc>
        <w:tc>
          <w:tcPr>
            <w:tcW w:w="1472" w:type="dxa"/>
            <w:vAlign w:val="bottom"/>
          </w:tcPr>
          <w:p w14:paraId="16C05C5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b/>
                <w:bCs/>
                <w:color w:val="000000"/>
                <w:sz w:val="22"/>
                <w:szCs w:val="22"/>
              </w:rPr>
              <w:t>26,2%</w:t>
            </w:r>
          </w:p>
        </w:tc>
        <w:tc>
          <w:tcPr>
            <w:tcW w:w="1472" w:type="dxa"/>
            <w:vAlign w:val="bottom"/>
          </w:tcPr>
          <w:p w14:paraId="6CA44C7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36.437 €</w:t>
            </w:r>
          </w:p>
        </w:tc>
      </w:tr>
      <w:tr w:rsidR="006B2717" w14:paraId="1D584973" w14:textId="77777777" w:rsidTr="006B2717">
        <w:trPr>
          <w:trHeight w:val="375"/>
        </w:trPr>
        <w:tc>
          <w:tcPr>
            <w:cnfStyle w:val="001000000000" w:firstRow="0" w:lastRow="0" w:firstColumn="1" w:lastColumn="0" w:oddVBand="0" w:evenVBand="0" w:oddHBand="0" w:evenHBand="0" w:firstRowFirstColumn="0" w:firstRowLastColumn="0" w:lastRowFirstColumn="0" w:lastRowLastColumn="0"/>
            <w:tcW w:w="2127" w:type="dxa"/>
          </w:tcPr>
          <w:p w14:paraId="629DF039" w14:textId="77777777" w:rsidR="006B2717" w:rsidRDefault="00000000">
            <w:pPr>
              <w:rPr>
                <w:rFonts w:ascii="Open Sans" w:eastAsia="Open Sans" w:hAnsi="Open Sans" w:cs="Open Sans"/>
                <w:sz w:val="22"/>
                <w:szCs w:val="22"/>
              </w:rPr>
            </w:pPr>
            <w:r>
              <w:rPr>
                <w:rFonts w:ascii="Open Sans" w:eastAsia="Open Sans" w:hAnsi="Open Sans" w:cs="Open Sans"/>
                <w:b w:val="0"/>
                <w:bCs w:val="0"/>
              </w:rPr>
              <w:t xml:space="preserve"> España </w:t>
            </w:r>
          </w:p>
        </w:tc>
        <w:tc>
          <w:tcPr>
            <w:tcW w:w="1433" w:type="dxa"/>
            <w:vAlign w:val="bottom"/>
          </w:tcPr>
          <w:p w14:paraId="6015B58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color w:val="000000"/>
                <w:sz w:val="22"/>
                <w:szCs w:val="22"/>
              </w:rPr>
              <w:t>2.715 €</w:t>
            </w:r>
          </w:p>
        </w:tc>
        <w:tc>
          <w:tcPr>
            <w:tcW w:w="1350" w:type="dxa"/>
            <w:vAlign w:val="bottom"/>
          </w:tcPr>
          <w:p w14:paraId="3BE157A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3.154 €</w:t>
            </w:r>
          </w:p>
        </w:tc>
        <w:tc>
          <w:tcPr>
            <w:tcW w:w="1473" w:type="dxa"/>
            <w:vAlign w:val="bottom"/>
          </w:tcPr>
          <w:p w14:paraId="4EEB8AB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000000"/>
                <w:sz w:val="22"/>
                <w:szCs w:val="22"/>
              </w:rPr>
              <w:t>0,7%</w:t>
            </w:r>
          </w:p>
        </w:tc>
        <w:tc>
          <w:tcPr>
            <w:tcW w:w="1472" w:type="dxa"/>
            <w:vAlign w:val="bottom"/>
          </w:tcPr>
          <w:p w14:paraId="3D345B8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16,2%</w:t>
            </w:r>
          </w:p>
        </w:tc>
        <w:tc>
          <w:tcPr>
            <w:tcW w:w="1472" w:type="dxa"/>
            <w:vAlign w:val="bottom"/>
          </w:tcPr>
          <w:p w14:paraId="1CA9135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35.094 €</w:t>
            </w:r>
          </w:p>
        </w:tc>
      </w:tr>
    </w:tbl>
    <w:p w14:paraId="5F068DE1"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w:eastAsia="Open Sans" w:hAnsi="Open Sans" w:cs="Open Sans"/>
          <w:color w:val="000000"/>
        </w:rPr>
      </w:pPr>
      <w:r>
        <w:rPr>
          <w:rFonts w:ascii="Open Sans Light" w:eastAsia="Open Sans Light" w:hAnsi="Open Sans Light" w:cs="Open Sans Light"/>
          <w:b/>
          <w:bCs/>
          <w:color w:val="303AB2"/>
          <w:sz w:val="28"/>
          <w:szCs w:val="28"/>
        </w:rPr>
        <w:t xml:space="preserve">Provincias </w:t>
      </w:r>
    </w:p>
    <w:p w14:paraId="197DC70F" w14:textId="77777777" w:rsidR="006B2717" w:rsidRDefault="00000000">
      <w:pPr>
        <w:spacing w:line="276" w:lineRule="auto"/>
        <w:jc w:val="both"/>
        <w:rPr>
          <w:rFonts w:ascii="Open Sans" w:eastAsia="Open Sans" w:hAnsi="Open Sans" w:cs="Open Sans"/>
          <w:color w:val="000000"/>
        </w:rPr>
      </w:pPr>
      <w:r>
        <w:rPr>
          <w:rFonts w:ascii="Open Sans" w:eastAsia="Open Sans" w:hAnsi="Open Sans" w:cs="Open Sans"/>
          <w:color w:val="000000"/>
        </w:rPr>
        <w:t>En 48 de las 50 provincias analizadas (en el 96%) sube el precio interanual de la vivienda en el mes de julio. En 29 provincias se supera el 10%, en concreto en</w:t>
      </w:r>
      <w:r>
        <w:rPr>
          <w:rFonts w:ascii="Open Sans" w:eastAsia="Open Sans" w:hAnsi="Open Sans" w:cs="Open Sans"/>
          <w:b/>
          <w:bCs/>
          <w:color w:val="000000"/>
        </w:rPr>
        <w:t xml:space="preserve"> </w:t>
      </w:r>
      <w:r>
        <w:rPr>
          <w:rFonts w:ascii="Open Sans" w:eastAsia="Open Sans" w:hAnsi="Open Sans" w:cs="Open Sans"/>
          <w:color w:val="000000"/>
        </w:rPr>
        <w:t>Murcia (26,2%), Ávila (25,3%), León (25,2%), Cantabria (20,1%), Gipuzkoa (17,6%), Ciudad Real (17,5%), Navarra (17,0%), Valencia (16,5%), La Rioja (16,5%), Almería (16,1%), A Coruña (15,3%), Asturias (15,3%), Alicante (15,1%), Lleida (15,0%), Guadalajara (14,6%), Castellón (14,6%), Las Palmas (14,4%), Ourense (13,3%), Zaragoza (13,0%), Madrid (12,3%), Cádiz (11,8%), Sevilla  (11,8%), Albacete (11,3%), Girona (11,3%), Jaén (10,8%), Toledo (10,8%), Córdoba (10,7%), Tarragona (10,6%) y Zamora (10,3%). Por otro lado, las provincias con descensos son Teruel (-8,4%) y Huelva (-2,3%).</w:t>
      </w:r>
    </w:p>
    <w:p w14:paraId="094A4785"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w:eastAsia="Open Sans" w:hAnsi="Open Sans" w:cs="Open Sans"/>
          <w:color w:val="000000"/>
        </w:rPr>
      </w:pPr>
      <w:r>
        <w:rPr>
          <w:rFonts w:ascii="Open Sans" w:eastAsia="Open Sans" w:hAnsi="Open Sans" w:cs="Open Sans"/>
          <w:color w:val="000000"/>
        </w:rPr>
        <w:t xml:space="preserve">En cuanto a los precios Madrid e Illes Balears son las únicas que han superado los 5.000 euros por metro cuadrado. </w:t>
      </w:r>
      <w:r>
        <w:rPr>
          <w:rFonts w:ascii="Open Sans" w:eastAsia="Open Sans" w:hAnsi="Open Sans" w:cs="Open Sans"/>
          <w:b/>
          <w:bCs/>
          <w:color w:val="000000"/>
        </w:rPr>
        <w:t>Las cuatro provincias con el precio más elevado son: Madrid con 5.455 euros/m</w:t>
      </w:r>
      <w:r>
        <w:rPr>
          <w:rFonts w:ascii="Open Sans" w:eastAsia="Open Sans" w:hAnsi="Open Sans" w:cs="Open Sans"/>
          <w:b/>
          <w:bCs/>
          <w:color w:val="000000"/>
          <w:vertAlign w:val="superscript"/>
        </w:rPr>
        <w:t>2</w:t>
      </w:r>
      <w:r>
        <w:rPr>
          <w:rFonts w:ascii="Open Sans" w:eastAsia="Open Sans" w:hAnsi="Open Sans" w:cs="Open Sans"/>
          <w:b/>
          <w:bCs/>
          <w:color w:val="000000"/>
        </w:rPr>
        <w:t>, Illes Balears con 5.401 euros/m</w:t>
      </w:r>
      <w:r>
        <w:rPr>
          <w:rFonts w:ascii="Open Sans" w:eastAsia="Open Sans" w:hAnsi="Open Sans" w:cs="Open Sans"/>
          <w:b/>
          <w:bCs/>
          <w:color w:val="000000"/>
          <w:vertAlign w:val="superscript"/>
        </w:rPr>
        <w:t>2</w:t>
      </w:r>
      <w:r>
        <w:rPr>
          <w:rFonts w:ascii="Open Sans" w:eastAsia="Open Sans" w:hAnsi="Open Sans" w:cs="Open Sans"/>
          <w:b/>
          <w:bCs/>
          <w:color w:val="000000"/>
        </w:rPr>
        <w:t>, Gipuzkoa con 4.758 euros/m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y Málaga con 4.651 euros/m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w:t>
      </w:r>
      <w:r>
        <w:rPr>
          <w:rFonts w:ascii="Open Sans" w:eastAsia="Open Sans" w:hAnsi="Open Sans" w:cs="Open Sans"/>
          <w:color w:val="000000"/>
        </w:rPr>
        <w:t>Por otro lado, la provincia con el precio por metro cuadrado más económico es Jaén con 1.117 euros/m</w:t>
      </w:r>
      <w:r>
        <w:rPr>
          <w:rFonts w:ascii="Open Sans" w:eastAsia="Open Sans" w:hAnsi="Open Sans" w:cs="Open Sans"/>
          <w:color w:val="000000"/>
          <w:vertAlign w:val="superscript"/>
        </w:rPr>
        <w:t>2</w:t>
      </w:r>
      <w:r>
        <w:rPr>
          <w:rFonts w:ascii="Open Sans" w:eastAsia="Open Sans" w:hAnsi="Open Sans" w:cs="Open Sans"/>
          <w:color w:val="000000"/>
        </w:rPr>
        <w:t>.</w:t>
      </w:r>
    </w:p>
    <w:p w14:paraId="01A66E38" w14:textId="77777777" w:rsidR="006B2717" w:rsidRDefault="00000000">
      <w:pPr>
        <w:pBdr>
          <w:top w:val="nil"/>
          <w:left w:val="nil"/>
          <w:bottom w:val="nil"/>
          <w:right w:val="nil"/>
          <w:between w:val="nil"/>
        </w:pBdr>
        <w:shd w:val="clear" w:color="auto" w:fill="FFFFFF"/>
        <w:spacing w:before="280" w:after="280" w:line="276" w:lineRule="auto"/>
        <w:rPr>
          <w:rFonts w:ascii="Open Sans Light" w:eastAsia="Open Sans Light" w:hAnsi="Open Sans Light" w:cs="Open Sans Light"/>
          <w:b/>
          <w:bCs/>
          <w:color w:val="303AB2"/>
          <w:sz w:val="28"/>
          <w:szCs w:val="28"/>
        </w:rPr>
      </w:pPr>
      <w:bookmarkStart w:id="3" w:name="_heading=h.xw6kfbub1rmd" w:colFirst="0" w:colLast="0"/>
      <w:bookmarkEnd w:id="3"/>
      <w:r>
        <w:rPr>
          <w:rFonts w:ascii="Open Sans Light" w:eastAsia="Open Sans Light" w:hAnsi="Open Sans Light" w:cs="Open Sans Light"/>
          <w:b/>
          <w:bCs/>
          <w:color w:val="303AB2"/>
          <w:sz w:val="28"/>
          <w:szCs w:val="28"/>
        </w:rPr>
        <w:t>Provincias de mayor a menor incremento interanual</w:t>
      </w:r>
    </w:p>
    <w:tbl>
      <w:tblPr>
        <w:tblStyle w:val="a0"/>
        <w:tblW w:w="907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27"/>
        <w:gridCol w:w="1984"/>
        <w:gridCol w:w="1559"/>
        <w:gridCol w:w="1701"/>
        <w:gridCol w:w="1700"/>
      </w:tblGrid>
      <w:tr w:rsidR="006B2717" w14:paraId="48FA0BCB" w14:textId="77777777" w:rsidTr="006B271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DF16F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4" w:type="dxa"/>
            <w:vAlign w:val="center"/>
          </w:tcPr>
          <w:p w14:paraId="5180B32F"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5166F2E1"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559" w:type="dxa"/>
            <w:vAlign w:val="center"/>
          </w:tcPr>
          <w:p w14:paraId="758095A6"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60FA016E"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c>
          <w:tcPr>
            <w:tcW w:w="1700" w:type="dxa"/>
          </w:tcPr>
          <w:p w14:paraId="7215CA2D"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 respecto media nacional</w:t>
            </w:r>
          </w:p>
        </w:tc>
      </w:tr>
      <w:tr w:rsidR="006B2717" w14:paraId="2F4C610B"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BA356D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1984" w:type="dxa"/>
            <w:vAlign w:val="bottom"/>
          </w:tcPr>
          <w:p w14:paraId="0448609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2.195 €</w:t>
            </w:r>
          </w:p>
        </w:tc>
        <w:tc>
          <w:tcPr>
            <w:tcW w:w="1559" w:type="dxa"/>
            <w:vAlign w:val="bottom"/>
          </w:tcPr>
          <w:p w14:paraId="67AF11F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D0D0D"/>
                <w:sz w:val="22"/>
                <w:szCs w:val="22"/>
              </w:rPr>
            </w:pPr>
            <w:r>
              <w:rPr>
                <w:rFonts w:ascii="Open Sans" w:eastAsia="Open Sans" w:hAnsi="Open Sans" w:cs="Open Sans"/>
                <w:color w:val="000000"/>
                <w:sz w:val="22"/>
                <w:szCs w:val="22"/>
              </w:rPr>
              <w:t>0,2%</w:t>
            </w:r>
          </w:p>
        </w:tc>
        <w:tc>
          <w:tcPr>
            <w:tcW w:w="1701" w:type="dxa"/>
            <w:vAlign w:val="bottom"/>
          </w:tcPr>
          <w:p w14:paraId="4251340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D0D0D"/>
                <w:sz w:val="22"/>
                <w:szCs w:val="22"/>
              </w:rPr>
            </w:pPr>
            <w:r>
              <w:rPr>
                <w:rFonts w:ascii="Open Sans" w:eastAsia="Open Sans" w:hAnsi="Open Sans" w:cs="Open Sans"/>
                <w:b/>
                <w:bCs/>
                <w:color w:val="000000"/>
                <w:sz w:val="22"/>
                <w:szCs w:val="22"/>
              </w:rPr>
              <w:t>26,2%</w:t>
            </w:r>
          </w:p>
        </w:tc>
        <w:tc>
          <w:tcPr>
            <w:tcW w:w="1700" w:type="dxa"/>
            <w:vAlign w:val="bottom"/>
          </w:tcPr>
          <w:p w14:paraId="4044ED3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-30,4%</w:t>
            </w:r>
          </w:p>
        </w:tc>
      </w:tr>
      <w:tr w:rsidR="006B2717" w14:paraId="6DA54A34"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033C09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Ávila</w:t>
            </w:r>
          </w:p>
        </w:tc>
        <w:tc>
          <w:tcPr>
            <w:tcW w:w="1984" w:type="dxa"/>
            <w:vAlign w:val="bottom"/>
          </w:tcPr>
          <w:p w14:paraId="7C6FE8F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1.403 €</w:t>
            </w:r>
          </w:p>
        </w:tc>
        <w:tc>
          <w:tcPr>
            <w:tcW w:w="1559" w:type="dxa"/>
            <w:vAlign w:val="bottom"/>
          </w:tcPr>
          <w:p w14:paraId="6C487D6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D0D0D"/>
                <w:sz w:val="22"/>
                <w:szCs w:val="22"/>
              </w:rPr>
            </w:pPr>
            <w:r>
              <w:rPr>
                <w:rFonts w:ascii="Open Sans" w:eastAsia="Open Sans" w:hAnsi="Open Sans" w:cs="Open Sans"/>
                <w:color w:val="000000"/>
                <w:sz w:val="22"/>
                <w:szCs w:val="22"/>
              </w:rPr>
              <w:t>8,7%</w:t>
            </w:r>
          </w:p>
        </w:tc>
        <w:tc>
          <w:tcPr>
            <w:tcW w:w="1701" w:type="dxa"/>
            <w:vAlign w:val="bottom"/>
          </w:tcPr>
          <w:p w14:paraId="3400C5F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D0D0D"/>
                <w:sz w:val="22"/>
                <w:szCs w:val="22"/>
              </w:rPr>
            </w:pPr>
            <w:r>
              <w:rPr>
                <w:rFonts w:ascii="Open Sans" w:eastAsia="Open Sans" w:hAnsi="Open Sans" w:cs="Open Sans"/>
                <w:b/>
                <w:bCs/>
                <w:color w:val="000000"/>
                <w:sz w:val="22"/>
                <w:szCs w:val="22"/>
              </w:rPr>
              <w:t>25,3%</w:t>
            </w:r>
          </w:p>
        </w:tc>
        <w:tc>
          <w:tcPr>
            <w:tcW w:w="1700" w:type="dxa"/>
            <w:vAlign w:val="bottom"/>
          </w:tcPr>
          <w:p w14:paraId="1CB883C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-55,5%</w:t>
            </w:r>
          </w:p>
        </w:tc>
      </w:tr>
      <w:tr w:rsidR="006B2717" w14:paraId="6397BC6F"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91C9AF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León</w:t>
            </w:r>
          </w:p>
        </w:tc>
        <w:tc>
          <w:tcPr>
            <w:tcW w:w="1984" w:type="dxa"/>
            <w:vAlign w:val="bottom"/>
          </w:tcPr>
          <w:p w14:paraId="5971A2C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1.729 €</w:t>
            </w:r>
          </w:p>
        </w:tc>
        <w:tc>
          <w:tcPr>
            <w:tcW w:w="1559" w:type="dxa"/>
            <w:vAlign w:val="bottom"/>
          </w:tcPr>
          <w:p w14:paraId="777DF31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0,6%</w:t>
            </w:r>
          </w:p>
        </w:tc>
        <w:tc>
          <w:tcPr>
            <w:tcW w:w="1701" w:type="dxa"/>
            <w:vAlign w:val="bottom"/>
          </w:tcPr>
          <w:p w14:paraId="35E4D5C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25,2%</w:t>
            </w:r>
          </w:p>
        </w:tc>
        <w:tc>
          <w:tcPr>
            <w:tcW w:w="1700" w:type="dxa"/>
            <w:vAlign w:val="bottom"/>
          </w:tcPr>
          <w:p w14:paraId="26E96A1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-45,2%</w:t>
            </w:r>
          </w:p>
        </w:tc>
      </w:tr>
      <w:tr w:rsidR="006B2717" w14:paraId="42F2E699"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F24E47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1984" w:type="dxa"/>
            <w:vAlign w:val="bottom"/>
          </w:tcPr>
          <w:p w14:paraId="555E540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2.830 €</w:t>
            </w:r>
          </w:p>
        </w:tc>
        <w:tc>
          <w:tcPr>
            <w:tcW w:w="1559" w:type="dxa"/>
            <w:vAlign w:val="bottom"/>
          </w:tcPr>
          <w:p w14:paraId="1ECB128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3,1%</w:t>
            </w:r>
          </w:p>
        </w:tc>
        <w:tc>
          <w:tcPr>
            <w:tcW w:w="1701" w:type="dxa"/>
            <w:vAlign w:val="bottom"/>
          </w:tcPr>
          <w:p w14:paraId="6F92611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20,1%</w:t>
            </w:r>
          </w:p>
        </w:tc>
        <w:tc>
          <w:tcPr>
            <w:tcW w:w="1700" w:type="dxa"/>
            <w:vAlign w:val="bottom"/>
          </w:tcPr>
          <w:p w14:paraId="5DA2A07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-10,3%</w:t>
            </w:r>
          </w:p>
        </w:tc>
      </w:tr>
      <w:tr w:rsidR="006B2717" w14:paraId="64E1E1B4"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B854E9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Gipuzkoa</w:t>
            </w:r>
          </w:p>
        </w:tc>
        <w:tc>
          <w:tcPr>
            <w:tcW w:w="1984" w:type="dxa"/>
            <w:vAlign w:val="bottom"/>
          </w:tcPr>
          <w:p w14:paraId="44254DA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4.758 €</w:t>
            </w:r>
          </w:p>
        </w:tc>
        <w:tc>
          <w:tcPr>
            <w:tcW w:w="1559" w:type="dxa"/>
            <w:vAlign w:val="bottom"/>
          </w:tcPr>
          <w:p w14:paraId="6621B6B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w:t>
            </w:r>
          </w:p>
        </w:tc>
        <w:tc>
          <w:tcPr>
            <w:tcW w:w="1701" w:type="dxa"/>
            <w:vAlign w:val="bottom"/>
          </w:tcPr>
          <w:p w14:paraId="366AA42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17,6%</w:t>
            </w:r>
          </w:p>
        </w:tc>
        <w:tc>
          <w:tcPr>
            <w:tcW w:w="1700" w:type="dxa"/>
            <w:vAlign w:val="bottom"/>
          </w:tcPr>
          <w:p w14:paraId="34275B2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50,9%</w:t>
            </w:r>
          </w:p>
        </w:tc>
      </w:tr>
      <w:tr w:rsidR="006B2717" w14:paraId="77F194A3"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89CA91B"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1984" w:type="dxa"/>
            <w:vAlign w:val="bottom"/>
          </w:tcPr>
          <w:p w14:paraId="3D104E2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1.137 €</w:t>
            </w:r>
          </w:p>
        </w:tc>
        <w:tc>
          <w:tcPr>
            <w:tcW w:w="1559" w:type="dxa"/>
            <w:vAlign w:val="bottom"/>
          </w:tcPr>
          <w:p w14:paraId="3593ADE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w:t>
            </w:r>
          </w:p>
        </w:tc>
        <w:tc>
          <w:tcPr>
            <w:tcW w:w="1701" w:type="dxa"/>
            <w:vAlign w:val="bottom"/>
          </w:tcPr>
          <w:p w14:paraId="7D83281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17,5%</w:t>
            </w:r>
          </w:p>
        </w:tc>
        <w:tc>
          <w:tcPr>
            <w:tcW w:w="1700" w:type="dxa"/>
            <w:vAlign w:val="bottom"/>
          </w:tcPr>
          <w:p w14:paraId="2BA51A6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-64,0%</w:t>
            </w:r>
          </w:p>
        </w:tc>
      </w:tr>
      <w:tr w:rsidR="006B2717" w14:paraId="730E1508"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9E0212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Navarra</w:t>
            </w:r>
          </w:p>
        </w:tc>
        <w:tc>
          <w:tcPr>
            <w:tcW w:w="1984" w:type="dxa"/>
            <w:vAlign w:val="bottom"/>
          </w:tcPr>
          <w:p w14:paraId="7664E3C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2.446 €</w:t>
            </w:r>
          </w:p>
        </w:tc>
        <w:tc>
          <w:tcPr>
            <w:tcW w:w="1559" w:type="dxa"/>
            <w:vAlign w:val="bottom"/>
          </w:tcPr>
          <w:p w14:paraId="1782565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2,6%</w:t>
            </w:r>
          </w:p>
        </w:tc>
        <w:tc>
          <w:tcPr>
            <w:tcW w:w="1701" w:type="dxa"/>
            <w:vAlign w:val="bottom"/>
          </w:tcPr>
          <w:p w14:paraId="7E37A29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17,0%</w:t>
            </w:r>
          </w:p>
        </w:tc>
        <w:tc>
          <w:tcPr>
            <w:tcW w:w="1700" w:type="dxa"/>
            <w:vAlign w:val="bottom"/>
          </w:tcPr>
          <w:p w14:paraId="3766852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-22,4%</w:t>
            </w:r>
          </w:p>
        </w:tc>
      </w:tr>
      <w:tr w:rsidR="006B2717" w14:paraId="482D5196"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E49D02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1984" w:type="dxa"/>
            <w:vAlign w:val="bottom"/>
          </w:tcPr>
          <w:p w14:paraId="70C2AED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2.557 €</w:t>
            </w:r>
          </w:p>
        </w:tc>
        <w:tc>
          <w:tcPr>
            <w:tcW w:w="1559" w:type="dxa"/>
            <w:vAlign w:val="bottom"/>
          </w:tcPr>
          <w:p w14:paraId="77BA967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0,8%</w:t>
            </w:r>
          </w:p>
        </w:tc>
        <w:tc>
          <w:tcPr>
            <w:tcW w:w="1701" w:type="dxa"/>
            <w:vAlign w:val="bottom"/>
          </w:tcPr>
          <w:p w14:paraId="4C2B592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16,5%</w:t>
            </w:r>
          </w:p>
        </w:tc>
        <w:tc>
          <w:tcPr>
            <w:tcW w:w="1700" w:type="dxa"/>
            <w:vAlign w:val="bottom"/>
          </w:tcPr>
          <w:p w14:paraId="3607113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-18,9%</w:t>
            </w:r>
          </w:p>
        </w:tc>
      </w:tr>
      <w:tr w:rsidR="006B2717" w14:paraId="5CEACADD"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D9FCE1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1984" w:type="dxa"/>
            <w:vAlign w:val="bottom"/>
          </w:tcPr>
          <w:p w14:paraId="46B1559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2.005 €</w:t>
            </w:r>
          </w:p>
        </w:tc>
        <w:tc>
          <w:tcPr>
            <w:tcW w:w="1559" w:type="dxa"/>
            <w:vAlign w:val="bottom"/>
          </w:tcPr>
          <w:p w14:paraId="1C2C6B0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3,4%</w:t>
            </w:r>
          </w:p>
        </w:tc>
        <w:tc>
          <w:tcPr>
            <w:tcW w:w="1701" w:type="dxa"/>
            <w:vAlign w:val="bottom"/>
          </w:tcPr>
          <w:p w14:paraId="6F12ACB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16,5%</w:t>
            </w:r>
          </w:p>
        </w:tc>
        <w:tc>
          <w:tcPr>
            <w:tcW w:w="1700" w:type="dxa"/>
            <w:vAlign w:val="bottom"/>
          </w:tcPr>
          <w:p w14:paraId="3A795CD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-36,4%</w:t>
            </w:r>
          </w:p>
        </w:tc>
      </w:tr>
      <w:tr w:rsidR="006B2717" w14:paraId="4829E399"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67573A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1984" w:type="dxa"/>
            <w:vAlign w:val="bottom"/>
          </w:tcPr>
          <w:p w14:paraId="52E3833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1.783 €</w:t>
            </w:r>
          </w:p>
        </w:tc>
        <w:tc>
          <w:tcPr>
            <w:tcW w:w="1559" w:type="dxa"/>
            <w:vAlign w:val="bottom"/>
          </w:tcPr>
          <w:p w14:paraId="7D2CFCB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w:t>
            </w:r>
          </w:p>
        </w:tc>
        <w:tc>
          <w:tcPr>
            <w:tcW w:w="1701" w:type="dxa"/>
            <w:vAlign w:val="bottom"/>
          </w:tcPr>
          <w:p w14:paraId="41E7D35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16,1%</w:t>
            </w:r>
          </w:p>
        </w:tc>
        <w:tc>
          <w:tcPr>
            <w:tcW w:w="1700" w:type="dxa"/>
            <w:vAlign w:val="bottom"/>
          </w:tcPr>
          <w:p w14:paraId="75A4A3B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-43,5%</w:t>
            </w:r>
          </w:p>
        </w:tc>
      </w:tr>
      <w:tr w:rsidR="006B2717" w14:paraId="26F17817"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A0D33EF"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1984" w:type="dxa"/>
            <w:vAlign w:val="bottom"/>
          </w:tcPr>
          <w:p w14:paraId="378E190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2.321 €</w:t>
            </w:r>
          </w:p>
        </w:tc>
        <w:tc>
          <w:tcPr>
            <w:tcW w:w="1559" w:type="dxa"/>
            <w:vAlign w:val="bottom"/>
          </w:tcPr>
          <w:p w14:paraId="616262F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0,3%</w:t>
            </w:r>
          </w:p>
        </w:tc>
        <w:tc>
          <w:tcPr>
            <w:tcW w:w="1701" w:type="dxa"/>
            <w:vAlign w:val="bottom"/>
          </w:tcPr>
          <w:p w14:paraId="167BF75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15,3%</w:t>
            </w:r>
          </w:p>
        </w:tc>
        <w:tc>
          <w:tcPr>
            <w:tcW w:w="1700" w:type="dxa"/>
            <w:vAlign w:val="bottom"/>
          </w:tcPr>
          <w:p w14:paraId="2CCBF13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-26,4%</w:t>
            </w:r>
          </w:p>
        </w:tc>
      </w:tr>
      <w:tr w:rsidR="006B2717" w14:paraId="410CA48B"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1898CB2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1984" w:type="dxa"/>
            <w:vAlign w:val="bottom"/>
          </w:tcPr>
          <w:p w14:paraId="38B70F0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2.400 €</w:t>
            </w:r>
          </w:p>
        </w:tc>
        <w:tc>
          <w:tcPr>
            <w:tcW w:w="1559" w:type="dxa"/>
            <w:vAlign w:val="bottom"/>
          </w:tcPr>
          <w:p w14:paraId="61C87AA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0,9%</w:t>
            </w:r>
          </w:p>
        </w:tc>
        <w:tc>
          <w:tcPr>
            <w:tcW w:w="1701" w:type="dxa"/>
            <w:vAlign w:val="bottom"/>
          </w:tcPr>
          <w:p w14:paraId="63161CD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15,3%</w:t>
            </w:r>
          </w:p>
        </w:tc>
        <w:tc>
          <w:tcPr>
            <w:tcW w:w="1700" w:type="dxa"/>
            <w:vAlign w:val="bottom"/>
          </w:tcPr>
          <w:p w14:paraId="625DBC4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-23,9%</w:t>
            </w:r>
          </w:p>
        </w:tc>
      </w:tr>
      <w:tr w:rsidR="006B2717" w14:paraId="45F0D813"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1D113D8B"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Alicante</w:t>
            </w:r>
          </w:p>
        </w:tc>
        <w:tc>
          <w:tcPr>
            <w:tcW w:w="1984" w:type="dxa"/>
            <w:vAlign w:val="bottom"/>
          </w:tcPr>
          <w:p w14:paraId="3972B73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3.189 €</w:t>
            </w:r>
          </w:p>
        </w:tc>
        <w:tc>
          <w:tcPr>
            <w:tcW w:w="1559" w:type="dxa"/>
            <w:vAlign w:val="bottom"/>
          </w:tcPr>
          <w:p w14:paraId="00EAA76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-0,5%</w:t>
            </w:r>
          </w:p>
        </w:tc>
        <w:tc>
          <w:tcPr>
            <w:tcW w:w="1701" w:type="dxa"/>
            <w:vAlign w:val="bottom"/>
          </w:tcPr>
          <w:p w14:paraId="4524AA4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15,1%</w:t>
            </w:r>
          </w:p>
        </w:tc>
        <w:tc>
          <w:tcPr>
            <w:tcW w:w="1700" w:type="dxa"/>
            <w:vAlign w:val="bottom"/>
          </w:tcPr>
          <w:p w14:paraId="2AA6394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w:t>
            </w:r>
          </w:p>
        </w:tc>
      </w:tr>
      <w:tr w:rsidR="006B2717" w14:paraId="228EEF1C"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39E24F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Lleida</w:t>
            </w:r>
          </w:p>
        </w:tc>
        <w:tc>
          <w:tcPr>
            <w:tcW w:w="1984" w:type="dxa"/>
            <w:vAlign w:val="bottom"/>
          </w:tcPr>
          <w:p w14:paraId="24FD36A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1.785 €</w:t>
            </w:r>
          </w:p>
        </w:tc>
        <w:tc>
          <w:tcPr>
            <w:tcW w:w="1559" w:type="dxa"/>
            <w:vAlign w:val="bottom"/>
          </w:tcPr>
          <w:p w14:paraId="2126887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w:t>
            </w:r>
          </w:p>
        </w:tc>
        <w:tc>
          <w:tcPr>
            <w:tcW w:w="1701" w:type="dxa"/>
            <w:vAlign w:val="bottom"/>
          </w:tcPr>
          <w:p w14:paraId="5E4E61B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15,0%</w:t>
            </w:r>
          </w:p>
        </w:tc>
        <w:tc>
          <w:tcPr>
            <w:tcW w:w="1700" w:type="dxa"/>
            <w:vAlign w:val="bottom"/>
          </w:tcPr>
          <w:p w14:paraId="0006DE6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-43,4%</w:t>
            </w:r>
          </w:p>
        </w:tc>
      </w:tr>
      <w:tr w:rsidR="006B2717" w14:paraId="53AA827C"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077C8E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Guadalajara</w:t>
            </w:r>
          </w:p>
        </w:tc>
        <w:tc>
          <w:tcPr>
            <w:tcW w:w="1984" w:type="dxa"/>
            <w:vAlign w:val="bottom"/>
          </w:tcPr>
          <w:p w14:paraId="6E635B8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2.055 €</w:t>
            </w:r>
          </w:p>
        </w:tc>
        <w:tc>
          <w:tcPr>
            <w:tcW w:w="1559" w:type="dxa"/>
            <w:vAlign w:val="bottom"/>
          </w:tcPr>
          <w:p w14:paraId="74BBFFF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0,0%</w:t>
            </w:r>
          </w:p>
        </w:tc>
        <w:tc>
          <w:tcPr>
            <w:tcW w:w="1701" w:type="dxa"/>
            <w:vAlign w:val="bottom"/>
          </w:tcPr>
          <w:p w14:paraId="6B56CAF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14,6%</w:t>
            </w:r>
          </w:p>
        </w:tc>
        <w:tc>
          <w:tcPr>
            <w:tcW w:w="1700" w:type="dxa"/>
            <w:vAlign w:val="bottom"/>
          </w:tcPr>
          <w:p w14:paraId="7BB46C4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-34,8%</w:t>
            </w:r>
          </w:p>
        </w:tc>
      </w:tr>
      <w:tr w:rsidR="006B2717" w14:paraId="043A9A4C"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F5CACC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1984" w:type="dxa"/>
            <w:vAlign w:val="bottom"/>
          </w:tcPr>
          <w:p w14:paraId="315D576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1.870 €</w:t>
            </w:r>
          </w:p>
        </w:tc>
        <w:tc>
          <w:tcPr>
            <w:tcW w:w="1559" w:type="dxa"/>
            <w:vAlign w:val="bottom"/>
          </w:tcPr>
          <w:p w14:paraId="64EF406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w:t>
            </w:r>
          </w:p>
        </w:tc>
        <w:tc>
          <w:tcPr>
            <w:tcW w:w="1701" w:type="dxa"/>
            <w:vAlign w:val="bottom"/>
          </w:tcPr>
          <w:p w14:paraId="49872A9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14,6%</w:t>
            </w:r>
          </w:p>
        </w:tc>
        <w:tc>
          <w:tcPr>
            <w:tcW w:w="1700" w:type="dxa"/>
            <w:vAlign w:val="bottom"/>
          </w:tcPr>
          <w:p w14:paraId="6179443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-40,7%</w:t>
            </w:r>
          </w:p>
        </w:tc>
      </w:tr>
      <w:tr w:rsidR="006B2717" w14:paraId="4CD950D4"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73DFE7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1984" w:type="dxa"/>
            <w:vAlign w:val="bottom"/>
          </w:tcPr>
          <w:p w14:paraId="0057350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2.925 €</w:t>
            </w:r>
          </w:p>
        </w:tc>
        <w:tc>
          <w:tcPr>
            <w:tcW w:w="1559" w:type="dxa"/>
            <w:vAlign w:val="bottom"/>
          </w:tcPr>
          <w:p w14:paraId="2C9A30A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0,8%</w:t>
            </w:r>
          </w:p>
        </w:tc>
        <w:tc>
          <w:tcPr>
            <w:tcW w:w="1701" w:type="dxa"/>
            <w:vAlign w:val="bottom"/>
          </w:tcPr>
          <w:p w14:paraId="324A1C3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14,4%</w:t>
            </w:r>
          </w:p>
        </w:tc>
        <w:tc>
          <w:tcPr>
            <w:tcW w:w="1700" w:type="dxa"/>
            <w:vAlign w:val="bottom"/>
          </w:tcPr>
          <w:p w14:paraId="602A2BA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-7,3%</w:t>
            </w:r>
          </w:p>
        </w:tc>
      </w:tr>
      <w:tr w:rsidR="006B2717" w14:paraId="33B47BB7"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7FEA07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Ourense</w:t>
            </w:r>
          </w:p>
        </w:tc>
        <w:tc>
          <w:tcPr>
            <w:tcW w:w="1984" w:type="dxa"/>
            <w:vAlign w:val="bottom"/>
          </w:tcPr>
          <w:p w14:paraId="0E5EF21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1.810 €</w:t>
            </w:r>
          </w:p>
        </w:tc>
        <w:tc>
          <w:tcPr>
            <w:tcW w:w="1559" w:type="dxa"/>
            <w:vAlign w:val="bottom"/>
          </w:tcPr>
          <w:p w14:paraId="6B791AD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-0,3%</w:t>
            </w:r>
          </w:p>
        </w:tc>
        <w:tc>
          <w:tcPr>
            <w:tcW w:w="1701" w:type="dxa"/>
            <w:vAlign w:val="bottom"/>
          </w:tcPr>
          <w:p w14:paraId="200696F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13,3%</w:t>
            </w:r>
          </w:p>
        </w:tc>
        <w:tc>
          <w:tcPr>
            <w:tcW w:w="1700" w:type="dxa"/>
            <w:vAlign w:val="bottom"/>
          </w:tcPr>
          <w:p w14:paraId="37D9A5A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-42,6%</w:t>
            </w:r>
          </w:p>
        </w:tc>
      </w:tr>
      <w:tr w:rsidR="006B2717" w14:paraId="136FAD17"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DFAEDF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Zaragoza</w:t>
            </w:r>
          </w:p>
        </w:tc>
        <w:tc>
          <w:tcPr>
            <w:tcW w:w="1984" w:type="dxa"/>
            <w:vAlign w:val="bottom"/>
          </w:tcPr>
          <w:p w14:paraId="0E88692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2.112 €</w:t>
            </w:r>
          </w:p>
        </w:tc>
        <w:tc>
          <w:tcPr>
            <w:tcW w:w="1559" w:type="dxa"/>
            <w:vAlign w:val="bottom"/>
          </w:tcPr>
          <w:p w14:paraId="22362AF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w:t>
            </w:r>
          </w:p>
        </w:tc>
        <w:tc>
          <w:tcPr>
            <w:tcW w:w="1701" w:type="dxa"/>
            <w:vAlign w:val="bottom"/>
          </w:tcPr>
          <w:p w14:paraId="131B625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13,0%</w:t>
            </w:r>
          </w:p>
        </w:tc>
        <w:tc>
          <w:tcPr>
            <w:tcW w:w="1700" w:type="dxa"/>
            <w:vAlign w:val="bottom"/>
          </w:tcPr>
          <w:p w14:paraId="1C98227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-33,0%</w:t>
            </w:r>
          </w:p>
        </w:tc>
      </w:tr>
      <w:tr w:rsidR="006B2717" w14:paraId="47D29D1C"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E500E1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1984" w:type="dxa"/>
            <w:vAlign w:val="bottom"/>
          </w:tcPr>
          <w:p w14:paraId="203A68A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5.455 €</w:t>
            </w:r>
          </w:p>
        </w:tc>
        <w:tc>
          <w:tcPr>
            <w:tcW w:w="1559" w:type="dxa"/>
            <w:vAlign w:val="bottom"/>
          </w:tcPr>
          <w:p w14:paraId="7BCE44C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0,8%</w:t>
            </w:r>
          </w:p>
        </w:tc>
        <w:tc>
          <w:tcPr>
            <w:tcW w:w="1701" w:type="dxa"/>
            <w:vAlign w:val="bottom"/>
          </w:tcPr>
          <w:p w14:paraId="3332872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12,3%</w:t>
            </w:r>
          </w:p>
        </w:tc>
        <w:tc>
          <w:tcPr>
            <w:tcW w:w="1700" w:type="dxa"/>
            <w:vAlign w:val="bottom"/>
          </w:tcPr>
          <w:p w14:paraId="3476ACD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73,0%</w:t>
            </w:r>
          </w:p>
        </w:tc>
      </w:tr>
      <w:tr w:rsidR="006B2717" w14:paraId="6DF75DBF"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5E21A8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1984" w:type="dxa"/>
            <w:vAlign w:val="bottom"/>
          </w:tcPr>
          <w:p w14:paraId="7E219C3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2.454 €</w:t>
            </w:r>
          </w:p>
        </w:tc>
        <w:tc>
          <w:tcPr>
            <w:tcW w:w="1559" w:type="dxa"/>
            <w:vAlign w:val="bottom"/>
          </w:tcPr>
          <w:p w14:paraId="6A71DF2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0,0%</w:t>
            </w:r>
          </w:p>
        </w:tc>
        <w:tc>
          <w:tcPr>
            <w:tcW w:w="1701" w:type="dxa"/>
            <w:vAlign w:val="bottom"/>
          </w:tcPr>
          <w:p w14:paraId="2D8A2BB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11,8%</w:t>
            </w:r>
          </w:p>
        </w:tc>
        <w:tc>
          <w:tcPr>
            <w:tcW w:w="1700" w:type="dxa"/>
            <w:vAlign w:val="bottom"/>
          </w:tcPr>
          <w:p w14:paraId="28BCCC5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-22,2%</w:t>
            </w:r>
          </w:p>
        </w:tc>
      </w:tr>
      <w:tr w:rsidR="006B2717" w14:paraId="4A72A0D7"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5D4612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1984" w:type="dxa"/>
            <w:vAlign w:val="bottom"/>
          </w:tcPr>
          <w:p w14:paraId="7FA0A75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2.248 €</w:t>
            </w:r>
          </w:p>
        </w:tc>
        <w:tc>
          <w:tcPr>
            <w:tcW w:w="1559" w:type="dxa"/>
            <w:vAlign w:val="bottom"/>
          </w:tcPr>
          <w:p w14:paraId="5140334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0,3%</w:t>
            </w:r>
          </w:p>
        </w:tc>
        <w:tc>
          <w:tcPr>
            <w:tcW w:w="1701" w:type="dxa"/>
            <w:vAlign w:val="bottom"/>
          </w:tcPr>
          <w:p w14:paraId="26FB3AA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11,8%</w:t>
            </w:r>
          </w:p>
        </w:tc>
        <w:tc>
          <w:tcPr>
            <w:tcW w:w="1700" w:type="dxa"/>
            <w:vAlign w:val="bottom"/>
          </w:tcPr>
          <w:p w14:paraId="0F04E93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-28,7%</w:t>
            </w:r>
          </w:p>
        </w:tc>
      </w:tr>
      <w:tr w:rsidR="006B2717" w14:paraId="3E704F5D"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A91401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Albacete</w:t>
            </w:r>
          </w:p>
        </w:tc>
        <w:tc>
          <w:tcPr>
            <w:tcW w:w="1984" w:type="dxa"/>
            <w:vAlign w:val="bottom"/>
          </w:tcPr>
          <w:p w14:paraId="21552A2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1.676 €</w:t>
            </w:r>
          </w:p>
        </w:tc>
        <w:tc>
          <w:tcPr>
            <w:tcW w:w="1559" w:type="dxa"/>
            <w:vAlign w:val="bottom"/>
          </w:tcPr>
          <w:p w14:paraId="5B3E9B3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0,8%</w:t>
            </w:r>
          </w:p>
        </w:tc>
        <w:tc>
          <w:tcPr>
            <w:tcW w:w="1701" w:type="dxa"/>
            <w:vAlign w:val="bottom"/>
          </w:tcPr>
          <w:p w14:paraId="0BD57BA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11,3%</w:t>
            </w:r>
          </w:p>
        </w:tc>
        <w:tc>
          <w:tcPr>
            <w:tcW w:w="1700" w:type="dxa"/>
            <w:vAlign w:val="bottom"/>
          </w:tcPr>
          <w:p w14:paraId="17F5740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-46,9%</w:t>
            </w:r>
          </w:p>
        </w:tc>
      </w:tr>
      <w:tr w:rsidR="006B2717" w14:paraId="13317A7F"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5A1661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Girona</w:t>
            </w:r>
          </w:p>
        </w:tc>
        <w:tc>
          <w:tcPr>
            <w:tcW w:w="1984" w:type="dxa"/>
            <w:vAlign w:val="bottom"/>
          </w:tcPr>
          <w:p w14:paraId="4BD59EB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3.244 €</w:t>
            </w:r>
          </w:p>
        </w:tc>
        <w:tc>
          <w:tcPr>
            <w:tcW w:w="1559" w:type="dxa"/>
            <w:vAlign w:val="bottom"/>
          </w:tcPr>
          <w:p w14:paraId="5D37057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w:t>
            </w:r>
          </w:p>
        </w:tc>
        <w:tc>
          <w:tcPr>
            <w:tcW w:w="1701" w:type="dxa"/>
            <w:vAlign w:val="bottom"/>
          </w:tcPr>
          <w:p w14:paraId="22DA3D9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11,3%</w:t>
            </w:r>
          </w:p>
        </w:tc>
        <w:tc>
          <w:tcPr>
            <w:tcW w:w="1700" w:type="dxa"/>
            <w:vAlign w:val="bottom"/>
          </w:tcPr>
          <w:p w14:paraId="29789D2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2,9%</w:t>
            </w:r>
          </w:p>
        </w:tc>
      </w:tr>
      <w:tr w:rsidR="006B2717" w14:paraId="3EDFA674"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C351CBF"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4" w:type="dxa"/>
            <w:vAlign w:val="bottom"/>
          </w:tcPr>
          <w:p w14:paraId="4C9CB79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1.117 €</w:t>
            </w:r>
          </w:p>
        </w:tc>
        <w:tc>
          <w:tcPr>
            <w:tcW w:w="1559" w:type="dxa"/>
            <w:vAlign w:val="bottom"/>
          </w:tcPr>
          <w:p w14:paraId="333BB40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0,4%</w:t>
            </w:r>
          </w:p>
        </w:tc>
        <w:tc>
          <w:tcPr>
            <w:tcW w:w="1701" w:type="dxa"/>
            <w:vAlign w:val="bottom"/>
          </w:tcPr>
          <w:p w14:paraId="147770A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10,8%</w:t>
            </w:r>
          </w:p>
        </w:tc>
        <w:tc>
          <w:tcPr>
            <w:tcW w:w="1700" w:type="dxa"/>
            <w:vAlign w:val="bottom"/>
          </w:tcPr>
          <w:p w14:paraId="4528876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-64,6%</w:t>
            </w:r>
          </w:p>
        </w:tc>
      </w:tr>
      <w:tr w:rsidR="006B2717" w14:paraId="0E4D4C22"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5018BC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Toledo</w:t>
            </w:r>
          </w:p>
        </w:tc>
        <w:tc>
          <w:tcPr>
            <w:tcW w:w="1984" w:type="dxa"/>
            <w:vAlign w:val="bottom"/>
          </w:tcPr>
          <w:p w14:paraId="475C30C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1.341 €</w:t>
            </w:r>
          </w:p>
        </w:tc>
        <w:tc>
          <w:tcPr>
            <w:tcW w:w="1559" w:type="dxa"/>
            <w:vAlign w:val="bottom"/>
          </w:tcPr>
          <w:p w14:paraId="36C71F5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w:t>
            </w:r>
          </w:p>
        </w:tc>
        <w:tc>
          <w:tcPr>
            <w:tcW w:w="1701" w:type="dxa"/>
            <w:vAlign w:val="bottom"/>
          </w:tcPr>
          <w:p w14:paraId="10098A5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10,8%</w:t>
            </w:r>
          </w:p>
        </w:tc>
        <w:tc>
          <w:tcPr>
            <w:tcW w:w="1700" w:type="dxa"/>
            <w:vAlign w:val="bottom"/>
          </w:tcPr>
          <w:p w14:paraId="590E227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-57,5%</w:t>
            </w:r>
          </w:p>
        </w:tc>
      </w:tr>
      <w:tr w:rsidR="006B2717" w14:paraId="049D553F"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66E757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Córdoba</w:t>
            </w:r>
          </w:p>
        </w:tc>
        <w:tc>
          <w:tcPr>
            <w:tcW w:w="1984" w:type="dxa"/>
            <w:vAlign w:val="bottom"/>
          </w:tcPr>
          <w:p w14:paraId="169D2A2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1.695 €</w:t>
            </w:r>
          </w:p>
        </w:tc>
        <w:tc>
          <w:tcPr>
            <w:tcW w:w="1559" w:type="dxa"/>
            <w:vAlign w:val="bottom"/>
          </w:tcPr>
          <w:p w14:paraId="2666DE6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w:t>
            </w:r>
          </w:p>
        </w:tc>
        <w:tc>
          <w:tcPr>
            <w:tcW w:w="1701" w:type="dxa"/>
            <w:vAlign w:val="bottom"/>
          </w:tcPr>
          <w:p w14:paraId="536FE7A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10,7%</w:t>
            </w:r>
          </w:p>
        </w:tc>
        <w:tc>
          <w:tcPr>
            <w:tcW w:w="1700" w:type="dxa"/>
            <w:vAlign w:val="bottom"/>
          </w:tcPr>
          <w:p w14:paraId="07167BF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-46,3%</w:t>
            </w:r>
          </w:p>
        </w:tc>
      </w:tr>
      <w:tr w:rsidR="006B2717" w14:paraId="15DDEA80"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2DC081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1984" w:type="dxa"/>
            <w:vAlign w:val="bottom"/>
          </w:tcPr>
          <w:p w14:paraId="6E2E0DC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2.268 €</w:t>
            </w:r>
          </w:p>
        </w:tc>
        <w:tc>
          <w:tcPr>
            <w:tcW w:w="1559" w:type="dxa"/>
            <w:vAlign w:val="bottom"/>
          </w:tcPr>
          <w:p w14:paraId="77D44FF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0,6%</w:t>
            </w:r>
          </w:p>
        </w:tc>
        <w:tc>
          <w:tcPr>
            <w:tcW w:w="1701" w:type="dxa"/>
            <w:vAlign w:val="bottom"/>
          </w:tcPr>
          <w:p w14:paraId="270C45C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10,6%</w:t>
            </w:r>
          </w:p>
        </w:tc>
        <w:tc>
          <w:tcPr>
            <w:tcW w:w="1700" w:type="dxa"/>
            <w:vAlign w:val="bottom"/>
          </w:tcPr>
          <w:p w14:paraId="1CDE43D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-28,1%</w:t>
            </w:r>
          </w:p>
        </w:tc>
      </w:tr>
      <w:tr w:rsidR="006B2717" w14:paraId="5F2F5357"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D79DDF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Zamora</w:t>
            </w:r>
          </w:p>
        </w:tc>
        <w:tc>
          <w:tcPr>
            <w:tcW w:w="1984" w:type="dxa"/>
            <w:vAlign w:val="bottom"/>
          </w:tcPr>
          <w:p w14:paraId="4745C9D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1.332 €</w:t>
            </w:r>
          </w:p>
        </w:tc>
        <w:tc>
          <w:tcPr>
            <w:tcW w:w="1559" w:type="dxa"/>
            <w:vAlign w:val="bottom"/>
          </w:tcPr>
          <w:p w14:paraId="5B5D070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w:t>
            </w:r>
          </w:p>
        </w:tc>
        <w:tc>
          <w:tcPr>
            <w:tcW w:w="1701" w:type="dxa"/>
            <w:vAlign w:val="bottom"/>
          </w:tcPr>
          <w:p w14:paraId="1AE4AF0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10,3%</w:t>
            </w:r>
          </w:p>
        </w:tc>
        <w:tc>
          <w:tcPr>
            <w:tcW w:w="1700" w:type="dxa"/>
            <w:vAlign w:val="bottom"/>
          </w:tcPr>
          <w:p w14:paraId="521A8A0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-57,8%</w:t>
            </w:r>
          </w:p>
        </w:tc>
      </w:tr>
      <w:tr w:rsidR="006B2717" w14:paraId="7212E40D"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59D0E0B"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Salamanca</w:t>
            </w:r>
          </w:p>
        </w:tc>
        <w:tc>
          <w:tcPr>
            <w:tcW w:w="1984" w:type="dxa"/>
            <w:vAlign w:val="bottom"/>
          </w:tcPr>
          <w:p w14:paraId="653082E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2.014 €</w:t>
            </w:r>
          </w:p>
        </w:tc>
        <w:tc>
          <w:tcPr>
            <w:tcW w:w="1559" w:type="dxa"/>
            <w:vAlign w:val="bottom"/>
          </w:tcPr>
          <w:p w14:paraId="1119C52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-0,3%</w:t>
            </w:r>
          </w:p>
        </w:tc>
        <w:tc>
          <w:tcPr>
            <w:tcW w:w="1701" w:type="dxa"/>
            <w:vAlign w:val="bottom"/>
          </w:tcPr>
          <w:p w14:paraId="24AC899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9,7%</w:t>
            </w:r>
          </w:p>
        </w:tc>
        <w:tc>
          <w:tcPr>
            <w:tcW w:w="1700" w:type="dxa"/>
            <w:vAlign w:val="bottom"/>
          </w:tcPr>
          <w:p w14:paraId="0A26157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-36,1%</w:t>
            </w:r>
          </w:p>
        </w:tc>
      </w:tr>
      <w:tr w:rsidR="006B2717" w14:paraId="35BCC293"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9C3B4CB"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4" w:type="dxa"/>
            <w:vAlign w:val="bottom"/>
          </w:tcPr>
          <w:p w14:paraId="43FBA32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3.738 €</w:t>
            </w:r>
          </w:p>
        </w:tc>
        <w:tc>
          <w:tcPr>
            <w:tcW w:w="1559" w:type="dxa"/>
            <w:vAlign w:val="bottom"/>
          </w:tcPr>
          <w:p w14:paraId="27AE7C4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0,6%</w:t>
            </w:r>
          </w:p>
        </w:tc>
        <w:tc>
          <w:tcPr>
            <w:tcW w:w="1701" w:type="dxa"/>
            <w:vAlign w:val="bottom"/>
          </w:tcPr>
          <w:p w14:paraId="6BE2DF0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9,7%</w:t>
            </w:r>
          </w:p>
        </w:tc>
        <w:tc>
          <w:tcPr>
            <w:tcW w:w="1700" w:type="dxa"/>
            <w:vAlign w:val="bottom"/>
          </w:tcPr>
          <w:p w14:paraId="7993CA1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18,5%</w:t>
            </w:r>
          </w:p>
        </w:tc>
      </w:tr>
      <w:tr w:rsidR="006B2717" w14:paraId="0D7B81F1"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58162B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Bizkaia</w:t>
            </w:r>
          </w:p>
        </w:tc>
        <w:tc>
          <w:tcPr>
            <w:tcW w:w="1984" w:type="dxa"/>
            <w:vAlign w:val="bottom"/>
          </w:tcPr>
          <w:p w14:paraId="6FB59E4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3.716 €</w:t>
            </w:r>
          </w:p>
        </w:tc>
        <w:tc>
          <w:tcPr>
            <w:tcW w:w="1559" w:type="dxa"/>
            <w:vAlign w:val="bottom"/>
          </w:tcPr>
          <w:p w14:paraId="2585539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w:t>
            </w:r>
          </w:p>
        </w:tc>
        <w:tc>
          <w:tcPr>
            <w:tcW w:w="1701" w:type="dxa"/>
            <w:vAlign w:val="bottom"/>
          </w:tcPr>
          <w:p w14:paraId="06E5C82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9,6%</w:t>
            </w:r>
          </w:p>
        </w:tc>
        <w:tc>
          <w:tcPr>
            <w:tcW w:w="1700" w:type="dxa"/>
            <w:vAlign w:val="bottom"/>
          </w:tcPr>
          <w:p w14:paraId="383CBF1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17,8%</w:t>
            </w:r>
          </w:p>
        </w:tc>
      </w:tr>
      <w:tr w:rsidR="006B2717" w14:paraId="734466FC"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5634B0F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Huesca</w:t>
            </w:r>
          </w:p>
        </w:tc>
        <w:tc>
          <w:tcPr>
            <w:tcW w:w="1984" w:type="dxa"/>
            <w:vAlign w:val="bottom"/>
          </w:tcPr>
          <w:p w14:paraId="3E752F2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1.950 €</w:t>
            </w:r>
          </w:p>
        </w:tc>
        <w:tc>
          <w:tcPr>
            <w:tcW w:w="1559" w:type="dxa"/>
            <w:vAlign w:val="bottom"/>
          </w:tcPr>
          <w:p w14:paraId="309F7D1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0,0%</w:t>
            </w:r>
          </w:p>
        </w:tc>
        <w:tc>
          <w:tcPr>
            <w:tcW w:w="1701" w:type="dxa"/>
            <w:vAlign w:val="bottom"/>
          </w:tcPr>
          <w:p w14:paraId="718F51A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9,5%</w:t>
            </w:r>
          </w:p>
        </w:tc>
        <w:tc>
          <w:tcPr>
            <w:tcW w:w="1700" w:type="dxa"/>
            <w:vAlign w:val="bottom"/>
          </w:tcPr>
          <w:p w14:paraId="223C02C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-38,2%</w:t>
            </w:r>
          </w:p>
        </w:tc>
      </w:tr>
      <w:tr w:rsidR="006B2717" w14:paraId="072C61C9"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22FBCB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1984" w:type="dxa"/>
            <w:vAlign w:val="bottom"/>
          </w:tcPr>
          <w:p w14:paraId="1C66C8E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4.651 €</w:t>
            </w:r>
          </w:p>
        </w:tc>
        <w:tc>
          <w:tcPr>
            <w:tcW w:w="1559" w:type="dxa"/>
            <w:vAlign w:val="bottom"/>
          </w:tcPr>
          <w:p w14:paraId="2E36811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-0,8%</w:t>
            </w:r>
          </w:p>
        </w:tc>
        <w:tc>
          <w:tcPr>
            <w:tcW w:w="1701" w:type="dxa"/>
            <w:vAlign w:val="bottom"/>
          </w:tcPr>
          <w:p w14:paraId="7C031F2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9,1%</w:t>
            </w:r>
          </w:p>
        </w:tc>
        <w:tc>
          <w:tcPr>
            <w:tcW w:w="1700" w:type="dxa"/>
            <w:vAlign w:val="bottom"/>
          </w:tcPr>
          <w:p w14:paraId="1ECF062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47,5%</w:t>
            </w:r>
          </w:p>
        </w:tc>
      </w:tr>
      <w:tr w:rsidR="006B2717" w14:paraId="368B93F6"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CB01E6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1984" w:type="dxa"/>
            <w:vAlign w:val="bottom"/>
          </w:tcPr>
          <w:p w14:paraId="1B8B531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2.707 €</w:t>
            </w:r>
          </w:p>
        </w:tc>
        <w:tc>
          <w:tcPr>
            <w:tcW w:w="1559" w:type="dxa"/>
            <w:vAlign w:val="bottom"/>
          </w:tcPr>
          <w:p w14:paraId="4AFECAD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w:t>
            </w:r>
          </w:p>
        </w:tc>
        <w:tc>
          <w:tcPr>
            <w:tcW w:w="1701" w:type="dxa"/>
            <w:vAlign w:val="bottom"/>
          </w:tcPr>
          <w:p w14:paraId="2BB8196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c>
          <w:tcPr>
            <w:tcW w:w="1700" w:type="dxa"/>
            <w:vAlign w:val="bottom"/>
          </w:tcPr>
          <w:p w14:paraId="50B478D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-14,2%</w:t>
            </w:r>
          </w:p>
        </w:tc>
      </w:tr>
      <w:tr w:rsidR="006B2717" w14:paraId="35A583D8"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3B81A6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Araba - Álava</w:t>
            </w:r>
          </w:p>
        </w:tc>
        <w:tc>
          <w:tcPr>
            <w:tcW w:w="1984" w:type="dxa"/>
            <w:vAlign w:val="bottom"/>
          </w:tcPr>
          <w:p w14:paraId="68D90F8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3.072 €</w:t>
            </w:r>
          </w:p>
        </w:tc>
        <w:tc>
          <w:tcPr>
            <w:tcW w:w="1559" w:type="dxa"/>
            <w:vAlign w:val="bottom"/>
          </w:tcPr>
          <w:p w14:paraId="6A354D1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-0,8%</w:t>
            </w:r>
          </w:p>
        </w:tc>
        <w:tc>
          <w:tcPr>
            <w:tcW w:w="1701" w:type="dxa"/>
            <w:vAlign w:val="bottom"/>
          </w:tcPr>
          <w:p w14:paraId="19DA404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8,2%</w:t>
            </w:r>
          </w:p>
        </w:tc>
        <w:tc>
          <w:tcPr>
            <w:tcW w:w="1700" w:type="dxa"/>
            <w:vAlign w:val="bottom"/>
          </w:tcPr>
          <w:p w14:paraId="64E1632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-2,6%</w:t>
            </w:r>
          </w:p>
        </w:tc>
      </w:tr>
      <w:tr w:rsidR="006B2717" w14:paraId="7027DCD4"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9BFC38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Cáceres</w:t>
            </w:r>
          </w:p>
        </w:tc>
        <w:tc>
          <w:tcPr>
            <w:tcW w:w="1984" w:type="dxa"/>
            <w:vAlign w:val="bottom"/>
          </w:tcPr>
          <w:p w14:paraId="3CBD8FA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1.388 €</w:t>
            </w:r>
          </w:p>
        </w:tc>
        <w:tc>
          <w:tcPr>
            <w:tcW w:w="1559" w:type="dxa"/>
            <w:vAlign w:val="bottom"/>
          </w:tcPr>
          <w:p w14:paraId="4F3DB41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1,5%</w:t>
            </w:r>
          </w:p>
        </w:tc>
        <w:tc>
          <w:tcPr>
            <w:tcW w:w="1701" w:type="dxa"/>
            <w:vAlign w:val="bottom"/>
          </w:tcPr>
          <w:p w14:paraId="0D31D05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8,2%</w:t>
            </w:r>
          </w:p>
        </w:tc>
        <w:tc>
          <w:tcPr>
            <w:tcW w:w="1700" w:type="dxa"/>
            <w:vAlign w:val="bottom"/>
          </w:tcPr>
          <w:p w14:paraId="4B11424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-56,0%</w:t>
            </w:r>
          </w:p>
        </w:tc>
      </w:tr>
      <w:tr w:rsidR="006B2717" w14:paraId="72AD97F4"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44F9EB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Burgos</w:t>
            </w:r>
          </w:p>
        </w:tc>
        <w:tc>
          <w:tcPr>
            <w:tcW w:w="1984" w:type="dxa"/>
            <w:vAlign w:val="bottom"/>
          </w:tcPr>
          <w:p w14:paraId="3D8882F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1.824 €</w:t>
            </w:r>
          </w:p>
        </w:tc>
        <w:tc>
          <w:tcPr>
            <w:tcW w:w="1559" w:type="dxa"/>
            <w:vAlign w:val="bottom"/>
          </w:tcPr>
          <w:p w14:paraId="3914DED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-2,1%</w:t>
            </w:r>
          </w:p>
        </w:tc>
        <w:tc>
          <w:tcPr>
            <w:tcW w:w="1701" w:type="dxa"/>
            <w:vAlign w:val="bottom"/>
          </w:tcPr>
          <w:p w14:paraId="70B60F9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7,5%</w:t>
            </w:r>
          </w:p>
        </w:tc>
        <w:tc>
          <w:tcPr>
            <w:tcW w:w="1700" w:type="dxa"/>
            <w:vAlign w:val="bottom"/>
          </w:tcPr>
          <w:p w14:paraId="1381B94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-42,2%</w:t>
            </w:r>
          </w:p>
        </w:tc>
      </w:tr>
      <w:tr w:rsidR="006B2717" w14:paraId="4A7D91D1"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08AB709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1984" w:type="dxa"/>
            <w:vAlign w:val="bottom"/>
          </w:tcPr>
          <w:p w14:paraId="340A272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1.339 €</w:t>
            </w:r>
          </w:p>
        </w:tc>
        <w:tc>
          <w:tcPr>
            <w:tcW w:w="1559" w:type="dxa"/>
            <w:vAlign w:val="bottom"/>
          </w:tcPr>
          <w:p w14:paraId="048C805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-0,2%</w:t>
            </w:r>
          </w:p>
        </w:tc>
        <w:tc>
          <w:tcPr>
            <w:tcW w:w="1701" w:type="dxa"/>
            <w:vAlign w:val="bottom"/>
          </w:tcPr>
          <w:p w14:paraId="1D23A76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6,9%</w:t>
            </w:r>
          </w:p>
        </w:tc>
        <w:tc>
          <w:tcPr>
            <w:tcW w:w="1700" w:type="dxa"/>
            <w:vAlign w:val="bottom"/>
          </w:tcPr>
          <w:p w14:paraId="7BD8E2B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-57,5%</w:t>
            </w:r>
          </w:p>
        </w:tc>
      </w:tr>
      <w:tr w:rsidR="006B2717" w14:paraId="4008A97A"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E4FDFF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1984" w:type="dxa"/>
            <w:vAlign w:val="bottom"/>
          </w:tcPr>
          <w:p w14:paraId="694F9C7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2.532 €</w:t>
            </w:r>
          </w:p>
        </w:tc>
        <w:tc>
          <w:tcPr>
            <w:tcW w:w="1559" w:type="dxa"/>
            <w:vAlign w:val="bottom"/>
          </w:tcPr>
          <w:p w14:paraId="2E32284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w:t>
            </w:r>
          </w:p>
        </w:tc>
        <w:tc>
          <w:tcPr>
            <w:tcW w:w="1701" w:type="dxa"/>
            <w:vAlign w:val="bottom"/>
          </w:tcPr>
          <w:p w14:paraId="553FAAE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6,7%</w:t>
            </w:r>
          </w:p>
        </w:tc>
        <w:tc>
          <w:tcPr>
            <w:tcW w:w="1700" w:type="dxa"/>
            <w:vAlign w:val="bottom"/>
          </w:tcPr>
          <w:p w14:paraId="068BE62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-19,7%</w:t>
            </w:r>
          </w:p>
        </w:tc>
      </w:tr>
      <w:tr w:rsidR="006B2717" w14:paraId="63EDF222"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275A823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4" w:type="dxa"/>
            <w:vAlign w:val="bottom"/>
          </w:tcPr>
          <w:p w14:paraId="56424A1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5.401 €</w:t>
            </w:r>
          </w:p>
        </w:tc>
        <w:tc>
          <w:tcPr>
            <w:tcW w:w="1559" w:type="dxa"/>
            <w:vAlign w:val="bottom"/>
          </w:tcPr>
          <w:p w14:paraId="4821A44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-0,7%</w:t>
            </w:r>
          </w:p>
        </w:tc>
        <w:tc>
          <w:tcPr>
            <w:tcW w:w="1701" w:type="dxa"/>
            <w:vAlign w:val="bottom"/>
          </w:tcPr>
          <w:p w14:paraId="4DA83A0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c>
          <w:tcPr>
            <w:tcW w:w="1700" w:type="dxa"/>
            <w:vAlign w:val="bottom"/>
          </w:tcPr>
          <w:p w14:paraId="49C69FD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71,2%</w:t>
            </w:r>
          </w:p>
        </w:tc>
      </w:tr>
      <w:tr w:rsidR="006B2717" w14:paraId="1E886057"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A6F010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Valladolid</w:t>
            </w:r>
          </w:p>
        </w:tc>
        <w:tc>
          <w:tcPr>
            <w:tcW w:w="1984" w:type="dxa"/>
            <w:vAlign w:val="bottom"/>
          </w:tcPr>
          <w:p w14:paraId="4F8855D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2.068 €</w:t>
            </w:r>
          </w:p>
        </w:tc>
        <w:tc>
          <w:tcPr>
            <w:tcW w:w="1559" w:type="dxa"/>
            <w:vAlign w:val="bottom"/>
          </w:tcPr>
          <w:p w14:paraId="3C521E8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0,4%</w:t>
            </w:r>
          </w:p>
        </w:tc>
        <w:tc>
          <w:tcPr>
            <w:tcW w:w="1701" w:type="dxa"/>
            <w:vAlign w:val="bottom"/>
          </w:tcPr>
          <w:p w14:paraId="356AF45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5,6%</w:t>
            </w:r>
          </w:p>
        </w:tc>
        <w:tc>
          <w:tcPr>
            <w:tcW w:w="1700" w:type="dxa"/>
            <w:vAlign w:val="bottom"/>
          </w:tcPr>
          <w:p w14:paraId="632BB33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-34,4%</w:t>
            </w:r>
          </w:p>
        </w:tc>
      </w:tr>
      <w:tr w:rsidR="006B2717" w14:paraId="57FA819A"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70E4A50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Segovia</w:t>
            </w:r>
          </w:p>
        </w:tc>
        <w:tc>
          <w:tcPr>
            <w:tcW w:w="1984" w:type="dxa"/>
            <w:vAlign w:val="bottom"/>
          </w:tcPr>
          <w:p w14:paraId="0E9BB29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1.867 €</w:t>
            </w:r>
          </w:p>
        </w:tc>
        <w:tc>
          <w:tcPr>
            <w:tcW w:w="1559" w:type="dxa"/>
            <w:vAlign w:val="bottom"/>
          </w:tcPr>
          <w:p w14:paraId="061F3BC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-1,4%</w:t>
            </w:r>
          </w:p>
        </w:tc>
        <w:tc>
          <w:tcPr>
            <w:tcW w:w="1701" w:type="dxa"/>
            <w:vAlign w:val="bottom"/>
          </w:tcPr>
          <w:p w14:paraId="7744EA8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4,9%</w:t>
            </w:r>
          </w:p>
        </w:tc>
        <w:tc>
          <w:tcPr>
            <w:tcW w:w="1700" w:type="dxa"/>
            <w:vAlign w:val="bottom"/>
          </w:tcPr>
          <w:p w14:paraId="29E52CF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-40,8%</w:t>
            </w:r>
          </w:p>
        </w:tc>
      </w:tr>
      <w:tr w:rsidR="006B2717" w14:paraId="03C9B22D"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04ADF8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Lugo</w:t>
            </w:r>
          </w:p>
        </w:tc>
        <w:tc>
          <w:tcPr>
            <w:tcW w:w="1984" w:type="dxa"/>
            <w:vAlign w:val="bottom"/>
          </w:tcPr>
          <w:p w14:paraId="136E8ED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1.603 €</w:t>
            </w:r>
          </w:p>
        </w:tc>
        <w:tc>
          <w:tcPr>
            <w:tcW w:w="1559" w:type="dxa"/>
            <w:vAlign w:val="bottom"/>
          </w:tcPr>
          <w:p w14:paraId="136BBD6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0,6%</w:t>
            </w:r>
          </w:p>
        </w:tc>
        <w:tc>
          <w:tcPr>
            <w:tcW w:w="1701" w:type="dxa"/>
            <w:vAlign w:val="bottom"/>
          </w:tcPr>
          <w:p w14:paraId="274E01B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4,8%</w:t>
            </w:r>
          </w:p>
        </w:tc>
        <w:tc>
          <w:tcPr>
            <w:tcW w:w="1700" w:type="dxa"/>
            <w:vAlign w:val="bottom"/>
          </w:tcPr>
          <w:p w14:paraId="76A3C50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-49,2%</w:t>
            </w:r>
          </w:p>
        </w:tc>
      </w:tr>
      <w:tr w:rsidR="006B2717" w14:paraId="0E9C15E6"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BC510BB"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Palencia</w:t>
            </w:r>
          </w:p>
        </w:tc>
        <w:tc>
          <w:tcPr>
            <w:tcW w:w="1984" w:type="dxa"/>
            <w:vAlign w:val="bottom"/>
          </w:tcPr>
          <w:p w14:paraId="021FD27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1.675 €</w:t>
            </w:r>
          </w:p>
        </w:tc>
        <w:tc>
          <w:tcPr>
            <w:tcW w:w="1559" w:type="dxa"/>
            <w:vAlign w:val="bottom"/>
          </w:tcPr>
          <w:p w14:paraId="19D9F4E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-9,0%</w:t>
            </w:r>
          </w:p>
        </w:tc>
        <w:tc>
          <w:tcPr>
            <w:tcW w:w="1701" w:type="dxa"/>
            <w:vAlign w:val="bottom"/>
          </w:tcPr>
          <w:p w14:paraId="5994007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4,1%</w:t>
            </w:r>
          </w:p>
        </w:tc>
        <w:tc>
          <w:tcPr>
            <w:tcW w:w="1700" w:type="dxa"/>
            <w:vAlign w:val="bottom"/>
          </w:tcPr>
          <w:p w14:paraId="1DE2532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-46,9%</w:t>
            </w:r>
          </w:p>
        </w:tc>
      </w:tr>
      <w:tr w:rsidR="006B2717" w14:paraId="686D473C"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1500C42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1984" w:type="dxa"/>
            <w:vAlign w:val="bottom"/>
          </w:tcPr>
          <w:p w14:paraId="59724E2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3.703 €</w:t>
            </w:r>
          </w:p>
        </w:tc>
        <w:tc>
          <w:tcPr>
            <w:tcW w:w="1559" w:type="dxa"/>
            <w:vAlign w:val="bottom"/>
          </w:tcPr>
          <w:p w14:paraId="112D38A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0,2%</w:t>
            </w:r>
          </w:p>
        </w:tc>
        <w:tc>
          <w:tcPr>
            <w:tcW w:w="1701" w:type="dxa"/>
            <w:vAlign w:val="bottom"/>
          </w:tcPr>
          <w:p w14:paraId="0EE2927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c>
          <w:tcPr>
            <w:tcW w:w="1700" w:type="dxa"/>
            <w:vAlign w:val="bottom"/>
          </w:tcPr>
          <w:p w14:paraId="2519C37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17,4%</w:t>
            </w:r>
          </w:p>
        </w:tc>
      </w:tr>
      <w:tr w:rsidR="006B2717" w14:paraId="01ABCE33"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4352A4CF"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Cuenca</w:t>
            </w:r>
          </w:p>
        </w:tc>
        <w:tc>
          <w:tcPr>
            <w:tcW w:w="1984" w:type="dxa"/>
            <w:vAlign w:val="bottom"/>
          </w:tcPr>
          <w:p w14:paraId="5489752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1.249 €</w:t>
            </w:r>
          </w:p>
        </w:tc>
        <w:tc>
          <w:tcPr>
            <w:tcW w:w="1559" w:type="dxa"/>
            <w:vAlign w:val="bottom"/>
          </w:tcPr>
          <w:p w14:paraId="385F94A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0,8%</w:t>
            </w:r>
          </w:p>
        </w:tc>
        <w:tc>
          <w:tcPr>
            <w:tcW w:w="1701" w:type="dxa"/>
            <w:vAlign w:val="bottom"/>
          </w:tcPr>
          <w:p w14:paraId="45D7D6A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1,3%</w:t>
            </w:r>
          </w:p>
        </w:tc>
        <w:tc>
          <w:tcPr>
            <w:tcW w:w="1700" w:type="dxa"/>
            <w:vAlign w:val="bottom"/>
          </w:tcPr>
          <w:p w14:paraId="0453107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-60,4%</w:t>
            </w:r>
          </w:p>
        </w:tc>
      </w:tr>
      <w:tr w:rsidR="006B2717" w14:paraId="3347E26F"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37121EA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Soria</w:t>
            </w:r>
          </w:p>
        </w:tc>
        <w:tc>
          <w:tcPr>
            <w:tcW w:w="1984" w:type="dxa"/>
            <w:vAlign w:val="bottom"/>
          </w:tcPr>
          <w:p w14:paraId="4D2E688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1.621 €</w:t>
            </w:r>
          </w:p>
        </w:tc>
        <w:tc>
          <w:tcPr>
            <w:tcW w:w="1559" w:type="dxa"/>
            <w:vAlign w:val="bottom"/>
          </w:tcPr>
          <w:p w14:paraId="086DB41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2,1%</w:t>
            </w:r>
          </w:p>
        </w:tc>
        <w:tc>
          <w:tcPr>
            <w:tcW w:w="1701" w:type="dxa"/>
            <w:vAlign w:val="bottom"/>
          </w:tcPr>
          <w:p w14:paraId="73A2285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0,7%</w:t>
            </w:r>
          </w:p>
        </w:tc>
        <w:tc>
          <w:tcPr>
            <w:tcW w:w="1700" w:type="dxa"/>
            <w:vAlign w:val="bottom"/>
          </w:tcPr>
          <w:p w14:paraId="2EF2CA4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-48,6%</w:t>
            </w:r>
          </w:p>
        </w:tc>
      </w:tr>
      <w:tr w:rsidR="006B2717" w14:paraId="2C951490" w14:textId="77777777" w:rsidTr="006B271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7C69CD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1984" w:type="dxa"/>
            <w:vAlign w:val="bottom"/>
          </w:tcPr>
          <w:p w14:paraId="497B6F6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1.646 €</w:t>
            </w:r>
          </w:p>
        </w:tc>
        <w:tc>
          <w:tcPr>
            <w:tcW w:w="1559" w:type="dxa"/>
            <w:vAlign w:val="bottom"/>
          </w:tcPr>
          <w:p w14:paraId="1F6E461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0,2%</w:t>
            </w:r>
          </w:p>
        </w:tc>
        <w:tc>
          <w:tcPr>
            <w:tcW w:w="1701" w:type="dxa"/>
            <w:vAlign w:val="bottom"/>
          </w:tcPr>
          <w:p w14:paraId="6484DC7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-2,3%</w:t>
            </w:r>
          </w:p>
        </w:tc>
        <w:tc>
          <w:tcPr>
            <w:tcW w:w="1700" w:type="dxa"/>
            <w:vAlign w:val="bottom"/>
          </w:tcPr>
          <w:p w14:paraId="580AACD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-47,8%</w:t>
            </w:r>
          </w:p>
        </w:tc>
      </w:tr>
      <w:tr w:rsidR="006B2717" w14:paraId="4478DADC" w14:textId="77777777" w:rsidTr="006B2717">
        <w:trPr>
          <w:trHeight w:val="280"/>
        </w:trPr>
        <w:tc>
          <w:tcPr>
            <w:cnfStyle w:val="001000000000" w:firstRow="0" w:lastRow="0" w:firstColumn="1" w:lastColumn="0" w:oddVBand="0" w:evenVBand="0" w:oddHBand="0" w:evenHBand="0" w:firstRowFirstColumn="0" w:firstRowLastColumn="0" w:lastRowFirstColumn="0" w:lastRowLastColumn="0"/>
            <w:tcW w:w="2127" w:type="dxa"/>
            <w:vAlign w:val="bottom"/>
          </w:tcPr>
          <w:p w14:paraId="6E42A01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Teruel</w:t>
            </w:r>
          </w:p>
        </w:tc>
        <w:tc>
          <w:tcPr>
            <w:tcW w:w="1984" w:type="dxa"/>
            <w:vAlign w:val="bottom"/>
          </w:tcPr>
          <w:p w14:paraId="0D04930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1.186 €</w:t>
            </w:r>
          </w:p>
        </w:tc>
        <w:tc>
          <w:tcPr>
            <w:tcW w:w="1559" w:type="dxa"/>
            <w:vAlign w:val="bottom"/>
          </w:tcPr>
          <w:p w14:paraId="038888E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0,9%</w:t>
            </w:r>
          </w:p>
        </w:tc>
        <w:tc>
          <w:tcPr>
            <w:tcW w:w="1701" w:type="dxa"/>
            <w:vAlign w:val="bottom"/>
          </w:tcPr>
          <w:p w14:paraId="27F98D5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-8,4%</w:t>
            </w:r>
          </w:p>
        </w:tc>
        <w:tc>
          <w:tcPr>
            <w:tcW w:w="1700" w:type="dxa"/>
            <w:vAlign w:val="bottom"/>
          </w:tcPr>
          <w:p w14:paraId="2BB11B8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-62,4%</w:t>
            </w:r>
          </w:p>
        </w:tc>
      </w:tr>
    </w:tbl>
    <w:p w14:paraId="3A6FD798" w14:textId="77777777" w:rsidR="008A4E93" w:rsidRDefault="008A4E93">
      <w:pPr>
        <w:pBdr>
          <w:top w:val="nil"/>
          <w:left w:val="nil"/>
          <w:bottom w:val="nil"/>
          <w:right w:val="nil"/>
          <w:between w:val="nil"/>
        </w:pBdr>
        <w:shd w:val="clear" w:color="auto" w:fill="FFFFFF"/>
        <w:spacing w:before="280" w:after="280" w:line="276" w:lineRule="auto"/>
        <w:jc w:val="both"/>
        <w:rPr>
          <w:rFonts w:ascii="Open Sans Light" w:eastAsia="Open Sans Light" w:hAnsi="Open Sans Light" w:cs="Open Sans Light"/>
          <w:b/>
          <w:bCs/>
          <w:color w:val="303AB2"/>
          <w:sz w:val="28"/>
          <w:szCs w:val="28"/>
        </w:rPr>
      </w:pPr>
    </w:p>
    <w:p w14:paraId="1B4975F4" w14:textId="77777777" w:rsidR="008A4E93" w:rsidRDefault="008A4E93">
      <w:pPr>
        <w:pBdr>
          <w:top w:val="nil"/>
          <w:left w:val="nil"/>
          <w:bottom w:val="nil"/>
          <w:right w:val="nil"/>
          <w:between w:val="nil"/>
        </w:pBdr>
        <w:shd w:val="clear" w:color="auto" w:fill="FFFFFF"/>
        <w:spacing w:before="280" w:after="280" w:line="276" w:lineRule="auto"/>
        <w:jc w:val="both"/>
        <w:rPr>
          <w:rFonts w:ascii="Open Sans Light" w:eastAsia="Open Sans Light" w:hAnsi="Open Sans Light" w:cs="Open Sans Light"/>
          <w:b/>
          <w:bCs/>
          <w:color w:val="303AB2"/>
          <w:sz w:val="28"/>
          <w:szCs w:val="28"/>
        </w:rPr>
      </w:pPr>
    </w:p>
    <w:p w14:paraId="6B711032" w14:textId="6FAEADAB" w:rsidR="006B2717" w:rsidRDefault="00000000">
      <w:pPr>
        <w:pBdr>
          <w:top w:val="nil"/>
          <w:left w:val="nil"/>
          <w:bottom w:val="nil"/>
          <w:right w:val="nil"/>
          <w:between w:val="nil"/>
        </w:pBdr>
        <w:shd w:val="clear" w:color="auto" w:fill="FFFFFF"/>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lastRenderedPageBreak/>
        <w:t>Capitales de provincias</w:t>
      </w:r>
    </w:p>
    <w:p w14:paraId="6B874C0B" w14:textId="77777777" w:rsidR="006B2717" w:rsidRDefault="00000000">
      <w:pPr>
        <w:pBdr>
          <w:top w:val="nil"/>
          <w:left w:val="nil"/>
          <w:bottom w:val="nil"/>
          <w:right w:val="nil"/>
          <w:between w:val="nil"/>
        </w:pBdr>
        <w:spacing w:before="280" w:after="280" w:line="276" w:lineRule="auto"/>
        <w:jc w:val="both"/>
        <w:rPr>
          <w:rFonts w:ascii="Open Sans" w:eastAsia="Open Sans" w:hAnsi="Open Sans" w:cs="Open Sans"/>
          <w:color w:val="000000"/>
        </w:rPr>
      </w:pPr>
      <w:r>
        <w:rPr>
          <w:rFonts w:ascii="Open Sans" w:eastAsia="Open Sans" w:hAnsi="Open Sans" w:cs="Open Sans"/>
          <w:color w:val="000000"/>
        </w:rPr>
        <w:t xml:space="preserve">En 46 de las 47 capitales de provincia con variación interanual sube el precio en mayo respecto al año anterior, de los cuales </w:t>
      </w:r>
      <w:r>
        <w:rPr>
          <w:rFonts w:ascii="Open Sans" w:eastAsia="Open Sans" w:hAnsi="Open Sans" w:cs="Open Sans"/>
          <w:b/>
          <w:bCs/>
          <w:color w:val="000000"/>
        </w:rPr>
        <w:t xml:space="preserve">14 de las capitales tienen un incremento superior al 10% y son:  </w:t>
      </w:r>
      <w:r>
        <w:rPr>
          <w:rFonts w:ascii="Open Sans" w:eastAsia="Open Sans" w:hAnsi="Open Sans" w:cs="Open Sans"/>
          <w:color w:val="000000"/>
        </w:rPr>
        <w:t>León capital (25,6%), Ávila capital (19,8%), Ciudad Real capital  (19,8%), Ourense capital (17,6%), Salamanca capital (17,0%), Guadalajara capital (15,6%), Jaén capital (15,4%), Zamora capital (14,7%), Palencia capital (13,9%), Oviedo (12,5%), Pontevedra capital (12,5%), Logroño (12,4%), Santander (11,4%) y Córdoba capital (11,4%). Por otro lado, la única capital con descenso interanual es Santa Cruz de Tenerife capital (-1,3%).</w:t>
      </w:r>
    </w:p>
    <w:p w14:paraId="407D21D4" w14:textId="77777777" w:rsidR="006B2717" w:rsidRDefault="00000000">
      <w:pPr>
        <w:pBdr>
          <w:top w:val="nil"/>
          <w:left w:val="nil"/>
          <w:bottom w:val="nil"/>
          <w:right w:val="nil"/>
          <w:between w:val="nil"/>
        </w:pBdr>
        <w:spacing w:before="280" w:after="280" w:line="276" w:lineRule="auto"/>
        <w:jc w:val="both"/>
        <w:rPr>
          <w:rFonts w:ascii="Open Sans" w:eastAsia="Open Sans" w:hAnsi="Open Sans" w:cs="Open Sans"/>
          <w:color w:val="000000"/>
        </w:rPr>
      </w:pPr>
      <w:r>
        <w:rPr>
          <w:rFonts w:ascii="Open Sans" w:eastAsia="Open Sans" w:hAnsi="Open Sans" w:cs="Open Sans"/>
          <w:color w:val="000000"/>
        </w:rPr>
        <w:t xml:space="preserve">Respecto a los precios, </w:t>
      </w:r>
      <w:r>
        <w:rPr>
          <w:rFonts w:ascii="Open Sans" w:eastAsia="Open Sans" w:hAnsi="Open Sans" w:cs="Open Sans"/>
          <w:b/>
          <w:bCs/>
          <w:color w:val="000000"/>
        </w:rPr>
        <w:t>la capital de provincia más cara es Donostia - San Sebastián con 7.120 euros/m</w:t>
      </w:r>
      <w:r>
        <w:rPr>
          <w:rFonts w:ascii="Open Sans" w:eastAsia="Open Sans" w:hAnsi="Open Sans" w:cs="Open Sans"/>
          <w:b/>
          <w:bCs/>
          <w:color w:val="000000"/>
          <w:vertAlign w:val="superscript"/>
        </w:rPr>
        <w:t>2</w:t>
      </w:r>
      <w:r>
        <w:rPr>
          <w:rFonts w:ascii="Open Sans" w:eastAsia="Open Sans" w:hAnsi="Open Sans" w:cs="Open Sans"/>
          <w:b/>
          <w:bCs/>
          <w:color w:val="000000"/>
        </w:rPr>
        <w:t>, seguida de Madrid capital con 6.624 euros/m</w:t>
      </w:r>
      <w:r>
        <w:rPr>
          <w:rFonts w:ascii="Open Sans" w:eastAsia="Open Sans" w:hAnsi="Open Sans" w:cs="Open Sans"/>
          <w:b/>
          <w:bCs/>
          <w:color w:val="000000"/>
          <w:vertAlign w:val="superscript"/>
        </w:rPr>
        <w:t>2</w:t>
      </w:r>
      <w:r>
        <w:rPr>
          <w:rFonts w:ascii="Open Sans" w:eastAsia="Open Sans" w:hAnsi="Open Sans" w:cs="Open Sans"/>
          <w:b/>
          <w:bCs/>
          <w:color w:val="000000"/>
        </w:rPr>
        <w:t>, Barcelona capital con 5.304 euros/m</w:t>
      </w:r>
      <w:r>
        <w:rPr>
          <w:rFonts w:ascii="Open Sans" w:eastAsia="Open Sans" w:hAnsi="Open Sans" w:cs="Open Sans"/>
          <w:b/>
          <w:bCs/>
          <w:color w:val="000000"/>
          <w:vertAlign w:val="superscript"/>
        </w:rPr>
        <w:t>2</w:t>
      </w:r>
      <w:r>
        <w:rPr>
          <w:rFonts w:ascii="Open Sans" w:eastAsia="Open Sans" w:hAnsi="Open Sans" w:cs="Open Sans"/>
          <w:b/>
          <w:bCs/>
          <w:color w:val="000000"/>
        </w:rPr>
        <w:t>, Palma de Mallorca con 5.200 euros/m</w:t>
      </w:r>
      <w:r>
        <w:rPr>
          <w:rFonts w:ascii="Open Sans" w:eastAsia="Open Sans" w:hAnsi="Open Sans" w:cs="Open Sans"/>
          <w:b/>
          <w:bCs/>
          <w:color w:val="000000"/>
          <w:vertAlign w:val="superscript"/>
        </w:rPr>
        <w:t>2</w:t>
      </w:r>
      <w:r>
        <w:rPr>
          <w:rFonts w:ascii="Open Sans" w:eastAsia="Open Sans" w:hAnsi="Open Sans" w:cs="Open Sans"/>
          <w:b/>
          <w:bCs/>
          <w:color w:val="000000"/>
        </w:rPr>
        <w:t>,</w:t>
      </w:r>
      <w:r>
        <w:rPr>
          <w:rFonts w:ascii="Open Sans" w:eastAsia="Open Sans" w:hAnsi="Open Sans" w:cs="Open Sans"/>
          <w:color w:val="000000"/>
        </w:rPr>
        <w:t xml:space="preserve"> </w:t>
      </w:r>
      <w:r>
        <w:rPr>
          <w:rFonts w:ascii="Open Sans" w:eastAsia="Open Sans" w:hAnsi="Open Sans" w:cs="Open Sans"/>
          <w:b/>
          <w:bCs/>
          <w:color w:val="000000"/>
        </w:rPr>
        <w:t>Málaga capital con 4.331 euros/m</w:t>
      </w:r>
      <w:r>
        <w:rPr>
          <w:rFonts w:ascii="Open Sans" w:eastAsia="Open Sans" w:hAnsi="Open Sans" w:cs="Open Sans"/>
          <w:b/>
          <w:bCs/>
          <w:color w:val="000000"/>
          <w:vertAlign w:val="superscript"/>
        </w:rPr>
        <w:t>2</w:t>
      </w:r>
      <w:r>
        <w:rPr>
          <w:rFonts w:ascii="Open Sans" w:eastAsia="Open Sans" w:hAnsi="Open Sans" w:cs="Open Sans"/>
          <w:color w:val="000000"/>
        </w:rPr>
        <w:t>, Bilbao con 4.177 euros/m</w:t>
      </w:r>
      <w:r>
        <w:rPr>
          <w:rFonts w:ascii="Open Sans" w:eastAsia="Open Sans" w:hAnsi="Open Sans" w:cs="Open Sans"/>
          <w:color w:val="000000"/>
          <w:vertAlign w:val="superscript"/>
        </w:rPr>
        <w:t>2</w:t>
      </w:r>
      <w:r>
        <w:rPr>
          <w:rFonts w:ascii="Open Sans" w:eastAsia="Open Sans" w:hAnsi="Open Sans" w:cs="Open Sans"/>
          <w:color w:val="000000"/>
        </w:rPr>
        <w:t>, Valencia capital con 3.631 euros/m</w:t>
      </w:r>
      <w:r>
        <w:rPr>
          <w:rFonts w:ascii="Open Sans" w:eastAsia="Open Sans" w:hAnsi="Open Sans" w:cs="Open Sans"/>
          <w:color w:val="000000"/>
          <w:vertAlign w:val="superscript"/>
        </w:rPr>
        <w:t>2</w:t>
      </w:r>
      <w:r>
        <w:rPr>
          <w:rFonts w:ascii="Open Sans" w:eastAsia="Open Sans" w:hAnsi="Open Sans" w:cs="Open Sans"/>
          <w:color w:val="000000"/>
        </w:rPr>
        <w:t>, A Coruña capital con 3.567 euros/m</w:t>
      </w:r>
      <w:r>
        <w:rPr>
          <w:rFonts w:ascii="Open Sans" w:eastAsia="Open Sans" w:hAnsi="Open Sans" w:cs="Open Sans"/>
          <w:color w:val="000000"/>
          <w:vertAlign w:val="superscript"/>
        </w:rPr>
        <w:t>2</w:t>
      </w:r>
      <w:r>
        <w:rPr>
          <w:rFonts w:ascii="Open Sans" w:eastAsia="Open Sans" w:hAnsi="Open Sans" w:cs="Open Sans"/>
          <w:color w:val="000000"/>
        </w:rPr>
        <w:t>, Cádiz capital con 3.396 euros/m</w:t>
      </w:r>
      <w:r>
        <w:rPr>
          <w:rFonts w:ascii="Open Sans" w:eastAsia="Open Sans" w:hAnsi="Open Sans" w:cs="Open Sans"/>
          <w:color w:val="000000"/>
          <w:vertAlign w:val="superscript"/>
        </w:rPr>
        <w:t>2</w:t>
      </w:r>
      <w:r>
        <w:rPr>
          <w:rFonts w:ascii="Open Sans" w:eastAsia="Open Sans" w:hAnsi="Open Sans" w:cs="Open Sans"/>
          <w:color w:val="000000"/>
        </w:rPr>
        <w:t>, Pamplona / Iruña con 3.348 euros/m</w:t>
      </w:r>
      <w:r>
        <w:rPr>
          <w:rFonts w:ascii="Open Sans" w:eastAsia="Open Sans" w:hAnsi="Open Sans" w:cs="Open Sans"/>
          <w:color w:val="000000"/>
          <w:vertAlign w:val="superscript"/>
        </w:rPr>
        <w:t>2</w:t>
      </w:r>
      <w:r>
        <w:rPr>
          <w:rFonts w:ascii="Open Sans" w:eastAsia="Open Sans" w:hAnsi="Open Sans" w:cs="Open Sans"/>
          <w:color w:val="000000"/>
        </w:rPr>
        <w:t>, Vitoria – Gasteiz con 3.292 euros/m</w:t>
      </w:r>
      <w:r>
        <w:rPr>
          <w:rFonts w:ascii="Open Sans" w:eastAsia="Open Sans" w:hAnsi="Open Sans" w:cs="Open Sans"/>
          <w:color w:val="000000"/>
          <w:vertAlign w:val="superscript"/>
        </w:rPr>
        <w:t>2</w:t>
      </w:r>
      <w:r>
        <w:rPr>
          <w:rFonts w:ascii="Open Sans" w:eastAsia="Open Sans" w:hAnsi="Open Sans" w:cs="Open Sans"/>
          <w:color w:val="000000"/>
        </w:rPr>
        <w:t>, Santander con 3.225 euros/m</w:t>
      </w:r>
      <w:r>
        <w:rPr>
          <w:rFonts w:ascii="Open Sans" w:eastAsia="Open Sans" w:hAnsi="Open Sans" w:cs="Open Sans"/>
          <w:color w:val="000000"/>
          <w:vertAlign w:val="superscript"/>
        </w:rPr>
        <w:t>2</w:t>
      </w:r>
      <w:r>
        <w:rPr>
          <w:rFonts w:ascii="Open Sans" w:eastAsia="Open Sans" w:hAnsi="Open Sans" w:cs="Open Sans"/>
          <w:color w:val="000000"/>
        </w:rPr>
        <w:t>, Las Palmas de Gran Canaria con 3.171 euros/m</w:t>
      </w:r>
      <w:r>
        <w:rPr>
          <w:rFonts w:ascii="Open Sans" w:eastAsia="Open Sans" w:hAnsi="Open Sans" w:cs="Open Sans"/>
          <w:color w:val="000000"/>
          <w:vertAlign w:val="superscript"/>
        </w:rPr>
        <w:t>2</w:t>
      </w:r>
      <w:r>
        <w:rPr>
          <w:rFonts w:ascii="Open Sans" w:eastAsia="Open Sans" w:hAnsi="Open Sans" w:cs="Open Sans"/>
          <w:color w:val="000000"/>
        </w:rPr>
        <w:t>, Girona capital con 3.159 euros/m</w:t>
      </w:r>
      <w:r>
        <w:rPr>
          <w:rFonts w:ascii="Open Sans" w:eastAsia="Open Sans" w:hAnsi="Open Sans" w:cs="Open Sans"/>
          <w:color w:val="000000"/>
          <w:vertAlign w:val="superscript"/>
        </w:rPr>
        <w:t>2</w:t>
      </w:r>
      <w:r>
        <w:rPr>
          <w:rFonts w:ascii="Open Sans" w:eastAsia="Open Sans" w:hAnsi="Open Sans" w:cs="Open Sans"/>
          <w:color w:val="000000"/>
        </w:rPr>
        <w:t xml:space="preserve"> y Alicante / Alacant con 3.002 euros/m</w:t>
      </w:r>
      <w:r>
        <w:rPr>
          <w:rFonts w:ascii="Open Sans" w:eastAsia="Open Sans" w:hAnsi="Open Sans" w:cs="Open Sans"/>
          <w:color w:val="000000"/>
          <w:vertAlign w:val="superscript"/>
        </w:rPr>
        <w:t>2</w:t>
      </w:r>
      <w:r>
        <w:rPr>
          <w:rFonts w:ascii="Open Sans" w:eastAsia="Open Sans" w:hAnsi="Open Sans" w:cs="Open Sans"/>
          <w:color w:val="000000"/>
        </w:rPr>
        <w:t>, toda ellas por encima de los 3.000 euros el metro cuadrado.</w:t>
      </w:r>
    </w:p>
    <w:p w14:paraId="1B87A825" w14:textId="77777777" w:rsidR="006B2717" w:rsidRDefault="00000000">
      <w:pPr>
        <w:pBdr>
          <w:top w:val="nil"/>
          <w:left w:val="nil"/>
          <w:bottom w:val="nil"/>
          <w:right w:val="nil"/>
          <w:between w:val="nil"/>
        </w:pBdr>
        <w:shd w:val="clear" w:color="auto" w:fill="FFFFFF"/>
        <w:spacing w:before="280" w:after="280" w:line="276" w:lineRule="auto"/>
        <w:rPr>
          <w:rFonts w:ascii="Open Sans Light" w:eastAsia="Open Sans Light" w:hAnsi="Open Sans Light" w:cs="Open Sans Light"/>
          <w:b/>
          <w:bCs/>
          <w:color w:val="303AB2"/>
          <w:sz w:val="28"/>
          <w:szCs w:val="28"/>
        </w:rPr>
      </w:pPr>
      <w:bookmarkStart w:id="4" w:name="_heading=h.hrydhjsso2rq" w:colFirst="0" w:colLast="0"/>
      <w:bookmarkEnd w:id="4"/>
      <w:r>
        <w:rPr>
          <w:rFonts w:ascii="Open Sans Light" w:eastAsia="Open Sans Light" w:hAnsi="Open Sans Light" w:cs="Open Sans Light"/>
          <w:b/>
          <w:bCs/>
          <w:color w:val="303AB2"/>
          <w:sz w:val="28"/>
          <w:szCs w:val="28"/>
        </w:rPr>
        <w:t>Capitales de provincia de mayor a menor incremento interanual</w:t>
      </w:r>
    </w:p>
    <w:tbl>
      <w:tblPr>
        <w:tblStyle w:val="a1"/>
        <w:tblW w:w="9063"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2410"/>
        <w:gridCol w:w="1701"/>
        <w:gridCol w:w="1559"/>
        <w:gridCol w:w="1692"/>
      </w:tblGrid>
      <w:tr w:rsidR="006B2717" w14:paraId="0BB352C3" w14:textId="77777777" w:rsidTr="006B271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E4A5D0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2410" w:type="dxa"/>
            <w:vAlign w:val="center"/>
          </w:tcPr>
          <w:p w14:paraId="45DF70E4" w14:textId="77777777" w:rsidR="006B2717"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701" w:type="dxa"/>
            <w:vAlign w:val="center"/>
          </w:tcPr>
          <w:p w14:paraId="27FAC022"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59A9A201"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559" w:type="dxa"/>
            <w:vAlign w:val="center"/>
          </w:tcPr>
          <w:p w14:paraId="5BB8EF68"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692" w:type="dxa"/>
            <w:vAlign w:val="center"/>
          </w:tcPr>
          <w:p w14:paraId="60C549F6"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6B2717" w14:paraId="210CF236"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97AC7FF"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León</w:t>
            </w:r>
          </w:p>
        </w:tc>
        <w:tc>
          <w:tcPr>
            <w:tcW w:w="2410" w:type="dxa"/>
            <w:vAlign w:val="bottom"/>
          </w:tcPr>
          <w:p w14:paraId="76577493"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León capital</w:t>
            </w:r>
          </w:p>
        </w:tc>
        <w:tc>
          <w:tcPr>
            <w:tcW w:w="1701" w:type="dxa"/>
            <w:vAlign w:val="bottom"/>
          </w:tcPr>
          <w:p w14:paraId="14201DD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2.399 €</w:t>
            </w:r>
          </w:p>
        </w:tc>
        <w:tc>
          <w:tcPr>
            <w:tcW w:w="1559" w:type="dxa"/>
            <w:vAlign w:val="bottom"/>
          </w:tcPr>
          <w:p w14:paraId="2F24C2D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0,0%</w:t>
            </w:r>
          </w:p>
        </w:tc>
        <w:tc>
          <w:tcPr>
            <w:tcW w:w="1692" w:type="dxa"/>
            <w:vAlign w:val="bottom"/>
          </w:tcPr>
          <w:p w14:paraId="3053FC9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25,6%</w:t>
            </w:r>
          </w:p>
        </w:tc>
      </w:tr>
      <w:tr w:rsidR="006B2717" w14:paraId="050295B0"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8B4C98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Ávila</w:t>
            </w:r>
          </w:p>
        </w:tc>
        <w:tc>
          <w:tcPr>
            <w:tcW w:w="2410" w:type="dxa"/>
            <w:vAlign w:val="bottom"/>
          </w:tcPr>
          <w:p w14:paraId="1AA4E816"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Ávila capital</w:t>
            </w:r>
          </w:p>
        </w:tc>
        <w:tc>
          <w:tcPr>
            <w:tcW w:w="1701" w:type="dxa"/>
            <w:vAlign w:val="bottom"/>
          </w:tcPr>
          <w:p w14:paraId="436860D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1.749 €</w:t>
            </w:r>
          </w:p>
        </w:tc>
        <w:tc>
          <w:tcPr>
            <w:tcW w:w="1559" w:type="dxa"/>
            <w:vAlign w:val="bottom"/>
          </w:tcPr>
          <w:p w14:paraId="16590C6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10,5%</w:t>
            </w:r>
          </w:p>
        </w:tc>
        <w:tc>
          <w:tcPr>
            <w:tcW w:w="1692" w:type="dxa"/>
            <w:vAlign w:val="bottom"/>
          </w:tcPr>
          <w:p w14:paraId="713E7B0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19,8%</w:t>
            </w:r>
          </w:p>
        </w:tc>
      </w:tr>
      <w:tr w:rsidR="006B2717" w14:paraId="2B16826B"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F3521D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2410" w:type="dxa"/>
            <w:vAlign w:val="bottom"/>
          </w:tcPr>
          <w:p w14:paraId="445FB841"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Ciudad Real capital</w:t>
            </w:r>
          </w:p>
        </w:tc>
        <w:tc>
          <w:tcPr>
            <w:tcW w:w="1701" w:type="dxa"/>
            <w:vAlign w:val="bottom"/>
          </w:tcPr>
          <w:p w14:paraId="272C613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1.812 €</w:t>
            </w:r>
          </w:p>
        </w:tc>
        <w:tc>
          <w:tcPr>
            <w:tcW w:w="1559" w:type="dxa"/>
            <w:vAlign w:val="bottom"/>
          </w:tcPr>
          <w:p w14:paraId="6C9A5F6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-0,1%</w:t>
            </w:r>
          </w:p>
        </w:tc>
        <w:tc>
          <w:tcPr>
            <w:tcW w:w="1692" w:type="dxa"/>
            <w:vAlign w:val="bottom"/>
          </w:tcPr>
          <w:p w14:paraId="794A1BB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19,8%</w:t>
            </w:r>
          </w:p>
        </w:tc>
      </w:tr>
      <w:tr w:rsidR="006B2717" w14:paraId="0C52E10E"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996003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Ourense</w:t>
            </w:r>
          </w:p>
        </w:tc>
        <w:tc>
          <w:tcPr>
            <w:tcW w:w="2410" w:type="dxa"/>
            <w:vAlign w:val="bottom"/>
          </w:tcPr>
          <w:p w14:paraId="2A93F4EF"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Ourense capital</w:t>
            </w:r>
          </w:p>
        </w:tc>
        <w:tc>
          <w:tcPr>
            <w:tcW w:w="1701" w:type="dxa"/>
            <w:vAlign w:val="bottom"/>
          </w:tcPr>
          <w:p w14:paraId="0928475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2.168 €</w:t>
            </w:r>
          </w:p>
        </w:tc>
        <w:tc>
          <w:tcPr>
            <w:tcW w:w="1559" w:type="dxa"/>
            <w:vAlign w:val="bottom"/>
          </w:tcPr>
          <w:p w14:paraId="6944EE1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-1,0%</w:t>
            </w:r>
          </w:p>
        </w:tc>
        <w:tc>
          <w:tcPr>
            <w:tcW w:w="1692" w:type="dxa"/>
            <w:vAlign w:val="bottom"/>
          </w:tcPr>
          <w:p w14:paraId="146F491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17,6%</w:t>
            </w:r>
          </w:p>
        </w:tc>
      </w:tr>
      <w:tr w:rsidR="006B2717" w14:paraId="162B6719"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2907B5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Salamanca</w:t>
            </w:r>
          </w:p>
        </w:tc>
        <w:tc>
          <w:tcPr>
            <w:tcW w:w="2410" w:type="dxa"/>
            <w:vAlign w:val="bottom"/>
          </w:tcPr>
          <w:p w14:paraId="5BD8038E"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Salamanca capital</w:t>
            </w:r>
          </w:p>
        </w:tc>
        <w:tc>
          <w:tcPr>
            <w:tcW w:w="1701" w:type="dxa"/>
            <w:vAlign w:val="bottom"/>
          </w:tcPr>
          <w:p w14:paraId="090D47B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2.703 €</w:t>
            </w:r>
          </w:p>
        </w:tc>
        <w:tc>
          <w:tcPr>
            <w:tcW w:w="1559" w:type="dxa"/>
            <w:vAlign w:val="bottom"/>
          </w:tcPr>
          <w:p w14:paraId="5D84E4E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0,5%</w:t>
            </w:r>
          </w:p>
        </w:tc>
        <w:tc>
          <w:tcPr>
            <w:tcW w:w="1692" w:type="dxa"/>
            <w:vAlign w:val="bottom"/>
          </w:tcPr>
          <w:p w14:paraId="4E4DB52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17,0%</w:t>
            </w:r>
          </w:p>
        </w:tc>
      </w:tr>
      <w:tr w:rsidR="006B2717" w14:paraId="09A98AE3"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A1ED9F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Guadalajara</w:t>
            </w:r>
          </w:p>
        </w:tc>
        <w:tc>
          <w:tcPr>
            <w:tcW w:w="2410" w:type="dxa"/>
            <w:vAlign w:val="bottom"/>
          </w:tcPr>
          <w:p w14:paraId="2C9C8ED5"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Guadalajara capital</w:t>
            </w:r>
          </w:p>
        </w:tc>
        <w:tc>
          <w:tcPr>
            <w:tcW w:w="1701" w:type="dxa"/>
            <w:vAlign w:val="bottom"/>
          </w:tcPr>
          <w:p w14:paraId="0D203A6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2.459 €</w:t>
            </w:r>
          </w:p>
        </w:tc>
        <w:tc>
          <w:tcPr>
            <w:tcW w:w="1559" w:type="dxa"/>
            <w:vAlign w:val="bottom"/>
          </w:tcPr>
          <w:p w14:paraId="286D3DA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0,0%</w:t>
            </w:r>
          </w:p>
        </w:tc>
        <w:tc>
          <w:tcPr>
            <w:tcW w:w="1692" w:type="dxa"/>
            <w:vAlign w:val="bottom"/>
          </w:tcPr>
          <w:p w14:paraId="01E357B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15,6%</w:t>
            </w:r>
          </w:p>
        </w:tc>
      </w:tr>
      <w:tr w:rsidR="006B2717" w14:paraId="613DD413"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841D3C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2410" w:type="dxa"/>
            <w:vAlign w:val="bottom"/>
          </w:tcPr>
          <w:p w14:paraId="206725D3"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Jaén capital</w:t>
            </w:r>
          </w:p>
        </w:tc>
        <w:tc>
          <w:tcPr>
            <w:tcW w:w="1701" w:type="dxa"/>
            <w:vAlign w:val="bottom"/>
          </w:tcPr>
          <w:p w14:paraId="3022C95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1.756 €</w:t>
            </w:r>
          </w:p>
        </w:tc>
        <w:tc>
          <w:tcPr>
            <w:tcW w:w="1559" w:type="dxa"/>
            <w:vAlign w:val="bottom"/>
          </w:tcPr>
          <w:p w14:paraId="41932FE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0,3%</w:t>
            </w:r>
          </w:p>
        </w:tc>
        <w:tc>
          <w:tcPr>
            <w:tcW w:w="1692" w:type="dxa"/>
            <w:vAlign w:val="bottom"/>
          </w:tcPr>
          <w:p w14:paraId="46A273B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15,4%</w:t>
            </w:r>
          </w:p>
        </w:tc>
      </w:tr>
      <w:tr w:rsidR="006B2717" w14:paraId="07617F40"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BFDB74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Zamora</w:t>
            </w:r>
          </w:p>
        </w:tc>
        <w:tc>
          <w:tcPr>
            <w:tcW w:w="2410" w:type="dxa"/>
            <w:vAlign w:val="bottom"/>
          </w:tcPr>
          <w:p w14:paraId="6F6C87CA"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Zamora capital</w:t>
            </w:r>
          </w:p>
        </w:tc>
        <w:tc>
          <w:tcPr>
            <w:tcW w:w="1701" w:type="dxa"/>
            <w:vAlign w:val="bottom"/>
          </w:tcPr>
          <w:p w14:paraId="31A2334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1.585 €</w:t>
            </w:r>
          </w:p>
        </w:tc>
        <w:tc>
          <w:tcPr>
            <w:tcW w:w="1559" w:type="dxa"/>
            <w:vAlign w:val="bottom"/>
          </w:tcPr>
          <w:p w14:paraId="36966EB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3,5%</w:t>
            </w:r>
          </w:p>
        </w:tc>
        <w:tc>
          <w:tcPr>
            <w:tcW w:w="1692" w:type="dxa"/>
            <w:vAlign w:val="bottom"/>
          </w:tcPr>
          <w:p w14:paraId="4422D56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14,7%</w:t>
            </w:r>
          </w:p>
        </w:tc>
      </w:tr>
      <w:tr w:rsidR="006B2717" w14:paraId="52757008"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25B81E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Palencia</w:t>
            </w:r>
          </w:p>
        </w:tc>
        <w:tc>
          <w:tcPr>
            <w:tcW w:w="2410" w:type="dxa"/>
            <w:vAlign w:val="bottom"/>
          </w:tcPr>
          <w:p w14:paraId="4B928774"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Palencia capital</w:t>
            </w:r>
          </w:p>
        </w:tc>
        <w:tc>
          <w:tcPr>
            <w:tcW w:w="1701" w:type="dxa"/>
            <w:vAlign w:val="bottom"/>
          </w:tcPr>
          <w:p w14:paraId="4F634A8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2.011 €</w:t>
            </w:r>
          </w:p>
        </w:tc>
        <w:tc>
          <w:tcPr>
            <w:tcW w:w="1559" w:type="dxa"/>
            <w:vAlign w:val="bottom"/>
          </w:tcPr>
          <w:p w14:paraId="2F2DF6C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-1,3%</w:t>
            </w:r>
          </w:p>
        </w:tc>
        <w:tc>
          <w:tcPr>
            <w:tcW w:w="1692" w:type="dxa"/>
            <w:vAlign w:val="bottom"/>
          </w:tcPr>
          <w:p w14:paraId="116107D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13,9%</w:t>
            </w:r>
          </w:p>
        </w:tc>
      </w:tr>
      <w:tr w:rsidR="006B2717" w14:paraId="286CDFDC"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E57C8F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Asturias</w:t>
            </w:r>
          </w:p>
        </w:tc>
        <w:tc>
          <w:tcPr>
            <w:tcW w:w="2410" w:type="dxa"/>
            <w:vAlign w:val="bottom"/>
          </w:tcPr>
          <w:p w14:paraId="08C547FB"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Oviedo</w:t>
            </w:r>
          </w:p>
        </w:tc>
        <w:tc>
          <w:tcPr>
            <w:tcW w:w="1701" w:type="dxa"/>
            <w:vAlign w:val="bottom"/>
          </w:tcPr>
          <w:p w14:paraId="13672E1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2.683 €</w:t>
            </w:r>
          </w:p>
        </w:tc>
        <w:tc>
          <w:tcPr>
            <w:tcW w:w="1559" w:type="dxa"/>
            <w:vAlign w:val="bottom"/>
          </w:tcPr>
          <w:p w14:paraId="7860144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w:t>
            </w:r>
          </w:p>
        </w:tc>
        <w:tc>
          <w:tcPr>
            <w:tcW w:w="1692" w:type="dxa"/>
            <w:vAlign w:val="bottom"/>
          </w:tcPr>
          <w:p w14:paraId="18F5CAA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12,5%</w:t>
            </w:r>
          </w:p>
        </w:tc>
      </w:tr>
      <w:tr w:rsidR="006B2717" w14:paraId="637DBB8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3D4B75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2410" w:type="dxa"/>
            <w:vAlign w:val="bottom"/>
          </w:tcPr>
          <w:p w14:paraId="42896156"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Pontevedra capital</w:t>
            </w:r>
          </w:p>
        </w:tc>
        <w:tc>
          <w:tcPr>
            <w:tcW w:w="1701" w:type="dxa"/>
            <w:vAlign w:val="bottom"/>
          </w:tcPr>
          <w:p w14:paraId="2B68020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2.817 €</w:t>
            </w:r>
          </w:p>
        </w:tc>
        <w:tc>
          <w:tcPr>
            <w:tcW w:w="1559" w:type="dxa"/>
            <w:vAlign w:val="bottom"/>
          </w:tcPr>
          <w:p w14:paraId="50227B9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2,1%</w:t>
            </w:r>
          </w:p>
        </w:tc>
        <w:tc>
          <w:tcPr>
            <w:tcW w:w="1692" w:type="dxa"/>
            <w:vAlign w:val="bottom"/>
          </w:tcPr>
          <w:p w14:paraId="55EC40C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12,5%</w:t>
            </w:r>
          </w:p>
        </w:tc>
      </w:tr>
      <w:tr w:rsidR="006B2717" w14:paraId="71099365"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98F19F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La Rioja</w:t>
            </w:r>
          </w:p>
        </w:tc>
        <w:tc>
          <w:tcPr>
            <w:tcW w:w="2410" w:type="dxa"/>
            <w:vAlign w:val="bottom"/>
          </w:tcPr>
          <w:p w14:paraId="31E39A88"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Logroño</w:t>
            </w:r>
          </w:p>
        </w:tc>
        <w:tc>
          <w:tcPr>
            <w:tcW w:w="1701" w:type="dxa"/>
            <w:vAlign w:val="bottom"/>
          </w:tcPr>
          <w:p w14:paraId="03AC14A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2.419 €</w:t>
            </w:r>
          </w:p>
        </w:tc>
        <w:tc>
          <w:tcPr>
            <w:tcW w:w="1559" w:type="dxa"/>
            <w:vAlign w:val="bottom"/>
          </w:tcPr>
          <w:p w14:paraId="7BA1C5F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0,2%</w:t>
            </w:r>
          </w:p>
        </w:tc>
        <w:tc>
          <w:tcPr>
            <w:tcW w:w="1692" w:type="dxa"/>
            <w:vAlign w:val="bottom"/>
          </w:tcPr>
          <w:p w14:paraId="0834EA3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12,4%</w:t>
            </w:r>
          </w:p>
        </w:tc>
      </w:tr>
      <w:tr w:rsidR="006B2717" w14:paraId="257C7888"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76886F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Cantabria</w:t>
            </w:r>
          </w:p>
        </w:tc>
        <w:tc>
          <w:tcPr>
            <w:tcW w:w="2410" w:type="dxa"/>
            <w:vAlign w:val="bottom"/>
          </w:tcPr>
          <w:p w14:paraId="200ECCE9"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Santander</w:t>
            </w:r>
          </w:p>
        </w:tc>
        <w:tc>
          <w:tcPr>
            <w:tcW w:w="1701" w:type="dxa"/>
            <w:vAlign w:val="bottom"/>
          </w:tcPr>
          <w:p w14:paraId="72D7C0F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3.225 €</w:t>
            </w:r>
          </w:p>
        </w:tc>
        <w:tc>
          <w:tcPr>
            <w:tcW w:w="1559" w:type="dxa"/>
            <w:vAlign w:val="bottom"/>
          </w:tcPr>
          <w:p w14:paraId="5A119D2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w:t>
            </w:r>
          </w:p>
        </w:tc>
        <w:tc>
          <w:tcPr>
            <w:tcW w:w="1692" w:type="dxa"/>
            <w:vAlign w:val="bottom"/>
          </w:tcPr>
          <w:p w14:paraId="70C7365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11,4%</w:t>
            </w:r>
          </w:p>
        </w:tc>
      </w:tr>
      <w:tr w:rsidR="006B2717" w14:paraId="5FBCF9FF"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328B37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Córdoba</w:t>
            </w:r>
          </w:p>
        </w:tc>
        <w:tc>
          <w:tcPr>
            <w:tcW w:w="2410" w:type="dxa"/>
            <w:vAlign w:val="bottom"/>
          </w:tcPr>
          <w:p w14:paraId="3B7A2065"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Córdoba capital</w:t>
            </w:r>
          </w:p>
        </w:tc>
        <w:tc>
          <w:tcPr>
            <w:tcW w:w="1701" w:type="dxa"/>
            <w:vAlign w:val="bottom"/>
          </w:tcPr>
          <w:p w14:paraId="57398AB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2.105 €</w:t>
            </w:r>
          </w:p>
        </w:tc>
        <w:tc>
          <w:tcPr>
            <w:tcW w:w="1559" w:type="dxa"/>
            <w:vAlign w:val="bottom"/>
          </w:tcPr>
          <w:p w14:paraId="558ABDD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0,1%</w:t>
            </w:r>
          </w:p>
        </w:tc>
        <w:tc>
          <w:tcPr>
            <w:tcW w:w="1692" w:type="dxa"/>
            <w:vAlign w:val="bottom"/>
          </w:tcPr>
          <w:p w14:paraId="46A269A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11,4%</w:t>
            </w:r>
          </w:p>
        </w:tc>
      </w:tr>
      <w:tr w:rsidR="006B2717" w14:paraId="0BB069F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FCF97E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Girona</w:t>
            </w:r>
          </w:p>
        </w:tc>
        <w:tc>
          <w:tcPr>
            <w:tcW w:w="2410" w:type="dxa"/>
            <w:vAlign w:val="bottom"/>
          </w:tcPr>
          <w:p w14:paraId="0A038B2E"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Girona capital</w:t>
            </w:r>
          </w:p>
        </w:tc>
        <w:tc>
          <w:tcPr>
            <w:tcW w:w="1701" w:type="dxa"/>
            <w:vAlign w:val="bottom"/>
          </w:tcPr>
          <w:p w14:paraId="44FF2CC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3.159 €</w:t>
            </w:r>
          </w:p>
        </w:tc>
        <w:tc>
          <w:tcPr>
            <w:tcW w:w="1559" w:type="dxa"/>
            <w:vAlign w:val="bottom"/>
          </w:tcPr>
          <w:p w14:paraId="0C6538D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1,7%</w:t>
            </w:r>
          </w:p>
        </w:tc>
        <w:tc>
          <w:tcPr>
            <w:tcW w:w="1692" w:type="dxa"/>
            <w:vAlign w:val="bottom"/>
          </w:tcPr>
          <w:p w14:paraId="2243521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9,9%</w:t>
            </w:r>
          </w:p>
        </w:tc>
      </w:tr>
      <w:tr w:rsidR="006B2717" w14:paraId="2D1079DF"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9DCD72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Albacete</w:t>
            </w:r>
          </w:p>
        </w:tc>
        <w:tc>
          <w:tcPr>
            <w:tcW w:w="2410" w:type="dxa"/>
            <w:vAlign w:val="bottom"/>
          </w:tcPr>
          <w:p w14:paraId="7836F17E"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Albacete capital</w:t>
            </w:r>
          </w:p>
        </w:tc>
        <w:tc>
          <w:tcPr>
            <w:tcW w:w="1701" w:type="dxa"/>
            <w:vAlign w:val="bottom"/>
          </w:tcPr>
          <w:p w14:paraId="6EDB786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2.193 €</w:t>
            </w:r>
          </w:p>
        </w:tc>
        <w:tc>
          <w:tcPr>
            <w:tcW w:w="1559" w:type="dxa"/>
            <w:vAlign w:val="bottom"/>
          </w:tcPr>
          <w:p w14:paraId="74A76E4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1,5%</w:t>
            </w:r>
          </w:p>
        </w:tc>
        <w:tc>
          <w:tcPr>
            <w:tcW w:w="1692" w:type="dxa"/>
            <w:vAlign w:val="bottom"/>
          </w:tcPr>
          <w:p w14:paraId="563E3F5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9,6%</w:t>
            </w:r>
          </w:p>
        </w:tc>
      </w:tr>
      <w:tr w:rsidR="006B2717" w14:paraId="4B623BCD"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C20194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Cáceres</w:t>
            </w:r>
          </w:p>
        </w:tc>
        <w:tc>
          <w:tcPr>
            <w:tcW w:w="2410" w:type="dxa"/>
            <w:vAlign w:val="bottom"/>
          </w:tcPr>
          <w:p w14:paraId="2675CA20"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Cáceres capital</w:t>
            </w:r>
          </w:p>
        </w:tc>
        <w:tc>
          <w:tcPr>
            <w:tcW w:w="1701" w:type="dxa"/>
            <w:vAlign w:val="bottom"/>
          </w:tcPr>
          <w:p w14:paraId="0FD7FCA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1.788 €</w:t>
            </w:r>
          </w:p>
        </w:tc>
        <w:tc>
          <w:tcPr>
            <w:tcW w:w="1559" w:type="dxa"/>
            <w:vAlign w:val="bottom"/>
          </w:tcPr>
          <w:p w14:paraId="6C05448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w:t>
            </w:r>
          </w:p>
        </w:tc>
        <w:tc>
          <w:tcPr>
            <w:tcW w:w="1692" w:type="dxa"/>
            <w:vAlign w:val="bottom"/>
          </w:tcPr>
          <w:p w14:paraId="2122B40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9,5%</w:t>
            </w:r>
          </w:p>
        </w:tc>
      </w:tr>
      <w:tr w:rsidR="006B2717" w14:paraId="68D75D79"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29D029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2410" w:type="dxa"/>
            <w:vAlign w:val="bottom"/>
          </w:tcPr>
          <w:p w14:paraId="2C79098A"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Madrid capital</w:t>
            </w:r>
          </w:p>
        </w:tc>
        <w:tc>
          <w:tcPr>
            <w:tcW w:w="1701" w:type="dxa"/>
            <w:vAlign w:val="bottom"/>
          </w:tcPr>
          <w:p w14:paraId="3A6FACD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6.624 €</w:t>
            </w:r>
          </w:p>
        </w:tc>
        <w:tc>
          <w:tcPr>
            <w:tcW w:w="1559" w:type="dxa"/>
            <w:vAlign w:val="bottom"/>
          </w:tcPr>
          <w:p w14:paraId="6946159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-0,1%</w:t>
            </w:r>
          </w:p>
        </w:tc>
        <w:tc>
          <w:tcPr>
            <w:tcW w:w="1692" w:type="dxa"/>
            <w:vAlign w:val="bottom"/>
          </w:tcPr>
          <w:p w14:paraId="40B7DE4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9,2%</w:t>
            </w:r>
          </w:p>
        </w:tc>
      </w:tr>
      <w:tr w:rsidR="006B2717" w14:paraId="7B869A4E"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929EBB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2410" w:type="dxa"/>
            <w:vAlign w:val="bottom"/>
          </w:tcPr>
          <w:p w14:paraId="484374A9"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 Coruña capital</w:t>
            </w:r>
          </w:p>
        </w:tc>
        <w:tc>
          <w:tcPr>
            <w:tcW w:w="1701" w:type="dxa"/>
            <w:vAlign w:val="bottom"/>
          </w:tcPr>
          <w:p w14:paraId="5EDF5A4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3.567 €</w:t>
            </w:r>
          </w:p>
        </w:tc>
        <w:tc>
          <w:tcPr>
            <w:tcW w:w="1559" w:type="dxa"/>
            <w:vAlign w:val="bottom"/>
          </w:tcPr>
          <w:p w14:paraId="39980CD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-1,1%</w:t>
            </w:r>
          </w:p>
        </w:tc>
        <w:tc>
          <w:tcPr>
            <w:tcW w:w="1692" w:type="dxa"/>
            <w:vAlign w:val="bottom"/>
          </w:tcPr>
          <w:p w14:paraId="1930ADC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9,2%</w:t>
            </w:r>
          </w:p>
        </w:tc>
      </w:tr>
      <w:tr w:rsidR="006B2717" w14:paraId="562894B3"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5DA905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Araba - Álava</w:t>
            </w:r>
          </w:p>
        </w:tc>
        <w:tc>
          <w:tcPr>
            <w:tcW w:w="2410" w:type="dxa"/>
            <w:vAlign w:val="bottom"/>
          </w:tcPr>
          <w:p w14:paraId="5CDFD93B"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Vitoria - Gasteiz</w:t>
            </w:r>
          </w:p>
        </w:tc>
        <w:tc>
          <w:tcPr>
            <w:tcW w:w="1701" w:type="dxa"/>
            <w:vAlign w:val="bottom"/>
          </w:tcPr>
          <w:p w14:paraId="129D89D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3.292 €</w:t>
            </w:r>
          </w:p>
        </w:tc>
        <w:tc>
          <w:tcPr>
            <w:tcW w:w="1559" w:type="dxa"/>
            <w:vAlign w:val="bottom"/>
          </w:tcPr>
          <w:p w14:paraId="40BEF6E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-1,5%</w:t>
            </w:r>
          </w:p>
        </w:tc>
        <w:tc>
          <w:tcPr>
            <w:tcW w:w="1692" w:type="dxa"/>
            <w:vAlign w:val="bottom"/>
          </w:tcPr>
          <w:p w14:paraId="7912829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9,1%</w:t>
            </w:r>
          </w:p>
        </w:tc>
      </w:tr>
      <w:tr w:rsidR="006B2717" w14:paraId="1C136C15"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DDD798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Lleida</w:t>
            </w:r>
          </w:p>
        </w:tc>
        <w:tc>
          <w:tcPr>
            <w:tcW w:w="2410" w:type="dxa"/>
            <w:vAlign w:val="bottom"/>
          </w:tcPr>
          <w:p w14:paraId="648D3751"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Lleida capital</w:t>
            </w:r>
          </w:p>
        </w:tc>
        <w:tc>
          <w:tcPr>
            <w:tcW w:w="1701" w:type="dxa"/>
            <w:vAlign w:val="bottom"/>
          </w:tcPr>
          <w:p w14:paraId="18900CA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1.787 €</w:t>
            </w:r>
          </w:p>
        </w:tc>
        <w:tc>
          <w:tcPr>
            <w:tcW w:w="1559" w:type="dxa"/>
            <w:vAlign w:val="bottom"/>
          </w:tcPr>
          <w:p w14:paraId="6941F73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0,5%</w:t>
            </w:r>
          </w:p>
        </w:tc>
        <w:tc>
          <w:tcPr>
            <w:tcW w:w="1692" w:type="dxa"/>
            <w:vAlign w:val="bottom"/>
          </w:tcPr>
          <w:p w14:paraId="22B5308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8,8%</w:t>
            </w:r>
          </w:p>
        </w:tc>
      </w:tr>
      <w:tr w:rsidR="006B2717" w14:paraId="43482F31"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0262E9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Navarra</w:t>
            </w:r>
          </w:p>
        </w:tc>
        <w:tc>
          <w:tcPr>
            <w:tcW w:w="2410" w:type="dxa"/>
            <w:vAlign w:val="bottom"/>
          </w:tcPr>
          <w:p w14:paraId="43D5D282"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Pamplona / Iruña</w:t>
            </w:r>
          </w:p>
        </w:tc>
        <w:tc>
          <w:tcPr>
            <w:tcW w:w="1701" w:type="dxa"/>
            <w:vAlign w:val="bottom"/>
          </w:tcPr>
          <w:p w14:paraId="7CF9B0E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3.348 €</w:t>
            </w:r>
          </w:p>
        </w:tc>
        <w:tc>
          <w:tcPr>
            <w:tcW w:w="1559" w:type="dxa"/>
            <w:vAlign w:val="bottom"/>
          </w:tcPr>
          <w:p w14:paraId="1204421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w:t>
            </w:r>
          </w:p>
        </w:tc>
        <w:tc>
          <w:tcPr>
            <w:tcW w:w="1692" w:type="dxa"/>
            <w:vAlign w:val="bottom"/>
          </w:tcPr>
          <w:p w14:paraId="4867703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6B2717" w14:paraId="2C46312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3473C6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Badajoz</w:t>
            </w:r>
          </w:p>
        </w:tc>
        <w:tc>
          <w:tcPr>
            <w:tcW w:w="2410" w:type="dxa"/>
            <w:vAlign w:val="bottom"/>
          </w:tcPr>
          <w:p w14:paraId="1EE4E77A"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Badajoz capital</w:t>
            </w:r>
          </w:p>
        </w:tc>
        <w:tc>
          <w:tcPr>
            <w:tcW w:w="1701" w:type="dxa"/>
            <w:vAlign w:val="bottom"/>
          </w:tcPr>
          <w:p w14:paraId="4E9105A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1.900 €</w:t>
            </w:r>
          </w:p>
        </w:tc>
        <w:tc>
          <w:tcPr>
            <w:tcW w:w="1559" w:type="dxa"/>
            <w:vAlign w:val="bottom"/>
          </w:tcPr>
          <w:p w14:paraId="2C933C8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1,1%</w:t>
            </w:r>
          </w:p>
        </w:tc>
        <w:tc>
          <w:tcPr>
            <w:tcW w:w="1692" w:type="dxa"/>
            <w:vAlign w:val="bottom"/>
          </w:tcPr>
          <w:p w14:paraId="2784CA0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8,3%</w:t>
            </w:r>
          </w:p>
        </w:tc>
      </w:tr>
      <w:tr w:rsidR="006B2717" w14:paraId="39693A28"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BD76B4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Las Palmas</w:t>
            </w:r>
          </w:p>
        </w:tc>
        <w:tc>
          <w:tcPr>
            <w:tcW w:w="2410" w:type="dxa"/>
            <w:vAlign w:val="bottom"/>
          </w:tcPr>
          <w:p w14:paraId="323B1D52"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Las Palmas de Gran Canaria</w:t>
            </w:r>
          </w:p>
        </w:tc>
        <w:tc>
          <w:tcPr>
            <w:tcW w:w="1701" w:type="dxa"/>
            <w:vAlign w:val="bottom"/>
          </w:tcPr>
          <w:p w14:paraId="20E091C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3.171 €</w:t>
            </w:r>
          </w:p>
        </w:tc>
        <w:tc>
          <w:tcPr>
            <w:tcW w:w="1559" w:type="dxa"/>
            <w:vAlign w:val="bottom"/>
          </w:tcPr>
          <w:p w14:paraId="62465C7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w:t>
            </w:r>
          </w:p>
        </w:tc>
        <w:tc>
          <w:tcPr>
            <w:tcW w:w="1692" w:type="dxa"/>
            <w:vAlign w:val="bottom"/>
          </w:tcPr>
          <w:p w14:paraId="4055DF6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8,1%</w:t>
            </w:r>
          </w:p>
        </w:tc>
      </w:tr>
      <w:tr w:rsidR="006B2717" w14:paraId="399D4518"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4E8D70B"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Bizkaia</w:t>
            </w:r>
          </w:p>
        </w:tc>
        <w:tc>
          <w:tcPr>
            <w:tcW w:w="2410" w:type="dxa"/>
            <w:vAlign w:val="bottom"/>
          </w:tcPr>
          <w:p w14:paraId="438E718D"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Bilbao</w:t>
            </w:r>
          </w:p>
        </w:tc>
        <w:tc>
          <w:tcPr>
            <w:tcW w:w="1701" w:type="dxa"/>
            <w:vAlign w:val="bottom"/>
          </w:tcPr>
          <w:p w14:paraId="4AA6FCA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4.177 €</w:t>
            </w:r>
          </w:p>
        </w:tc>
        <w:tc>
          <w:tcPr>
            <w:tcW w:w="1559" w:type="dxa"/>
            <w:vAlign w:val="bottom"/>
          </w:tcPr>
          <w:p w14:paraId="0338332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0,5%</w:t>
            </w:r>
          </w:p>
        </w:tc>
        <w:tc>
          <w:tcPr>
            <w:tcW w:w="1692" w:type="dxa"/>
            <w:vAlign w:val="bottom"/>
          </w:tcPr>
          <w:p w14:paraId="1E0ED20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7,9%</w:t>
            </w:r>
          </w:p>
        </w:tc>
      </w:tr>
      <w:tr w:rsidR="006B2717" w14:paraId="4B479881"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1708AA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410" w:type="dxa"/>
            <w:vAlign w:val="bottom"/>
          </w:tcPr>
          <w:p w14:paraId="3584EA56"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Valencia capital</w:t>
            </w:r>
          </w:p>
        </w:tc>
        <w:tc>
          <w:tcPr>
            <w:tcW w:w="1701" w:type="dxa"/>
            <w:vAlign w:val="bottom"/>
          </w:tcPr>
          <w:p w14:paraId="471EB6C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3.631 €</w:t>
            </w:r>
          </w:p>
        </w:tc>
        <w:tc>
          <w:tcPr>
            <w:tcW w:w="1559" w:type="dxa"/>
            <w:vAlign w:val="bottom"/>
          </w:tcPr>
          <w:p w14:paraId="005648A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0,1%</w:t>
            </w:r>
          </w:p>
        </w:tc>
        <w:tc>
          <w:tcPr>
            <w:tcW w:w="1692" w:type="dxa"/>
            <w:vAlign w:val="bottom"/>
          </w:tcPr>
          <w:p w14:paraId="092E2B8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7,9%</w:t>
            </w:r>
          </w:p>
        </w:tc>
      </w:tr>
      <w:tr w:rsidR="006B2717" w14:paraId="51188612"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4B26E4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2410" w:type="dxa"/>
            <w:vAlign w:val="bottom"/>
          </w:tcPr>
          <w:p w14:paraId="1C3CCFFE"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Murcia capital</w:t>
            </w:r>
          </w:p>
        </w:tc>
        <w:tc>
          <w:tcPr>
            <w:tcW w:w="1701" w:type="dxa"/>
            <w:vAlign w:val="bottom"/>
          </w:tcPr>
          <w:p w14:paraId="6403F9F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2.037 €</w:t>
            </w:r>
          </w:p>
        </w:tc>
        <w:tc>
          <w:tcPr>
            <w:tcW w:w="1559" w:type="dxa"/>
            <w:vAlign w:val="bottom"/>
          </w:tcPr>
          <w:p w14:paraId="07998FD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w:t>
            </w:r>
          </w:p>
        </w:tc>
        <w:tc>
          <w:tcPr>
            <w:tcW w:w="1692" w:type="dxa"/>
            <w:vAlign w:val="bottom"/>
          </w:tcPr>
          <w:p w14:paraId="2930D2E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7,8%</w:t>
            </w:r>
          </w:p>
        </w:tc>
      </w:tr>
      <w:tr w:rsidR="006B2717" w14:paraId="4EBB28DF"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4DC2E5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Cádiz</w:t>
            </w:r>
          </w:p>
        </w:tc>
        <w:tc>
          <w:tcPr>
            <w:tcW w:w="2410" w:type="dxa"/>
            <w:vAlign w:val="bottom"/>
          </w:tcPr>
          <w:p w14:paraId="7DE9A1BA"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Cádiz capital</w:t>
            </w:r>
          </w:p>
        </w:tc>
        <w:tc>
          <w:tcPr>
            <w:tcW w:w="1701" w:type="dxa"/>
            <w:vAlign w:val="bottom"/>
          </w:tcPr>
          <w:p w14:paraId="06EE67A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3.396 €</w:t>
            </w:r>
          </w:p>
        </w:tc>
        <w:tc>
          <w:tcPr>
            <w:tcW w:w="1559" w:type="dxa"/>
            <w:vAlign w:val="bottom"/>
          </w:tcPr>
          <w:p w14:paraId="030AB6D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0,0%</w:t>
            </w:r>
          </w:p>
        </w:tc>
        <w:tc>
          <w:tcPr>
            <w:tcW w:w="1692" w:type="dxa"/>
            <w:vAlign w:val="bottom"/>
          </w:tcPr>
          <w:p w14:paraId="4D158C7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7,7%</w:t>
            </w:r>
          </w:p>
        </w:tc>
      </w:tr>
      <w:tr w:rsidR="006B2717" w14:paraId="67589EB6"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D1BC9D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Lugo</w:t>
            </w:r>
          </w:p>
        </w:tc>
        <w:tc>
          <w:tcPr>
            <w:tcW w:w="2410" w:type="dxa"/>
            <w:vAlign w:val="bottom"/>
          </w:tcPr>
          <w:p w14:paraId="2E1B9E0B"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Lugo capital</w:t>
            </w:r>
          </w:p>
        </w:tc>
        <w:tc>
          <w:tcPr>
            <w:tcW w:w="1701" w:type="dxa"/>
            <w:vAlign w:val="bottom"/>
          </w:tcPr>
          <w:p w14:paraId="748ACA8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1.843 €</w:t>
            </w:r>
          </w:p>
        </w:tc>
        <w:tc>
          <w:tcPr>
            <w:tcW w:w="1559" w:type="dxa"/>
            <w:vAlign w:val="bottom"/>
          </w:tcPr>
          <w:p w14:paraId="0B89C37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-0,2%</w:t>
            </w:r>
          </w:p>
        </w:tc>
        <w:tc>
          <w:tcPr>
            <w:tcW w:w="1692" w:type="dxa"/>
            <w:vAlign w:val="bottom"/>
          </w:tcPr>
          <w:p w14:paraId="3F1D6FD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7,3%</w:t>
            </w:r>
          </w:p>
        </w:tc>
      </w:tr>
      <w:tr w:rsidR="006B2717" w14:paraId="0EB23AF8"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DCDA5E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Sevilla</w:t>
            </w:r>
          </w:p>
        </w:tc>
        <w:tc>
          <w:tcPr>
            <w:tcW w:w="2410" w:type="dxa"/>
            <w:vAlign w:val="bottom"/>
          </w:tcPr>
          <w:p w14:paraId="65616295"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Sevilla capital</w:t>
            </w:r>
          </w:p>
        </w:tc>
        <w:tc>
          <w:tcPr>
            <w:tcW w:w="1701" w:type="dxa"/>
            <w:vAlign w:val="bottom"/>
          </w:tcPr>
          <w:p w14:paraId="640FD0A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2.899 €</w:t>
            </w:r>
          </w:p>
        </w:tc>
        <w:tc>
          <w:tcPr>
            <w:tcW w:w="1559" w:type="dxa"/>
            <w:vAlign w:val="bottom"/>
          </w:tcPr>
          <w:p w14:paraId="4DC4B7C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-1,0%</w:t>
            </w:r>
          </w:p>
        </w:tc>
        <w:tc>
          <w:tcPr>
            <w:tcW w:w="1692" w:type="dxa"/>
            <w:vAlign w:val="bottom"/>
          </w:tcPr>
          <w:p w14:paraId="0ECAA1E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7,1%</w:t>
            </w:r>
          </w:p>
        </w:tc>
      </w:tr>
      <w:tr w:rsidR="006B2717" w14:paraId="71CEDFEA"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68CEEF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Castellón</w:t>
            </w:r>
          </w:p>
        </w:tc>
        <w:tc>
          <w:tcPr>
            <w:tcW w:w="2410" w:type="dxa"/>
            <w:vAlign w:val="bottom"/>
          </w:tcPr>
          <w:p w14:paraId="47B886BF"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Castellón de la Plana / Castelló de la Plana</w:t>
            </w:r>
          </w:p>
        </w:tc>
        <w:tc>
          <w:tcPr>
            <w:tcW w:w="1701" w:type="dxa"/>
            <w:vAlign w:val="bottom"/>
          </w:tcPr>
          <w:p w14:paraId="0D16216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1.952 €</w:t>
            </w:r>
          </w:p>
        </w:tc>
        <w:tc>
          <w:tcPr>
            <w:tcW w:w="1559" w:type="dxa"/>
            <w:vAlign w:val="bottom"/>
          </w:tcPr>
          <w:p w14:paraId="250B77D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-0,3%</w:t>
            </w:r>
          </w:p>
        </w:tc>
        <w:tc>
          <w:tcPr>
            <w:tcW w:w="1692" w:type="dxa"/>
            <w:vAlign w:val="bottom"/>
          </w:tcPr>
          <w:p w14:paraId="4400E7F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7,1%</w:t>
            </w:r>
          </w:p>
        </w:tc>
      </w:tr>
      <w:tr w:rsidR="006B2717" w14:paraId="57E07648"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8710C4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Zaragoza</w:t>
            </w:r>
          </w:p>
        </w:tc>
        <w:tc>
          <w:tcPr>
            <w:tcW w:w="2410" w:type="dxa"/>
            <w:vAlign w:val="bottom"/>
          </w:tcPr>
          <w:p w14:paraId="13F07B13"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Zaragoza capital</w:t>
            </w:r>
          </w:p>
        </w:tc>
        <w:tc>
          <w:tcPr>
            <w:tcW w:w="1701" w:type="dxa"/>
            <w:vAlign w:val="bottom"/>
          </w:tcPr>
          <w:p w14:paraId="0BAE50B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2.473 €</w:t>
            </w:r>
          </w:p>
        </w:tc>
        <w:tc>
          <w:tcPr>
            <w:tcW w:w="1559" w:type="dxa"/>
            <w:vAlign w:val="bottom"/>
          </w:tcPr>
          <w:p w14:paraId="395C050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0,2%</w:t>
            </w:r>
          </w:p>
        </w:tc>
        <w:tc>
          <w:tcPr>
            <w:tcW w:w="1692" w:type="dxa"/>
            <w:vAlign w:val="bottom"/>
          </w:tcPr>
          <w:p w14:paraId="1A3AABE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6,5%</w:t>
            </w:r>
          </w:p>
        </w:tc>
      </w:tr>
      <w:tr w:rsidR="006B2717" w14:paraId="70108E87"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926940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2410" w:type="dxa"/>
            <w:vAlign w:val="bottom"/>
          </w:tcPr>
          <w:p w14:paraId="380AA624"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Palma de Mallorca</w:t>
            </w:r>
          </w:p>
        </w:tc>
        <w:tc>
          <w:tcPr>
            <w:tcW w:w="1701" w:type="dxa"/>
            <w:vAlign w:val="bottom"/>
          </w:tcPr>
          <w:p w14:paraId="0B9490B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5.200 €</w:t>
            </w:r>
          </w:p>
        </w:tc>
        <w:tc>
          <w:tcPr>
            <w:tcW w:w="1559" w:type="dxa"/>
            <w:vAlign w:val="bottom"/>
          </w:tcPr>
          <w:p w14:paraId="5D817E7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-1,4%</w:t>
            </w:r>
          </w:p>
        </w:tc>
        <w:tc>
          <w:tcPr>
            <w:tcW w:w="1692" w:type="dxa"/>
            <w:vAlign w:val="bottom"/>
          </w:tcPr>
          <w:p w14:paraId="4BDCC8C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6,3%</w:t>
            </w:r>
          </w:p>
        </w:tc>
      </w:tr>
      <w:tr w:rsidR="006B2717" w14:paraId="4CB9F647"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638CF5F"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2410" w:type="dxa"/>
            <w:vAlign w:val="bottom"/>
          </w:tcPr>
          <w:p w14:paraId="0C7852F2"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Alicante / Alacant</w:t>
            </w:r>
          </w:p>
        </w:tc>
        <w:tc>
          <w:tcPr>
            <w:tcW w:w="1701" w:type="dxa"/>
            <w:vAlign w:val="bottom"/>
          </w:tcPr>
          <w:p w14:paraId="7F12C2C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3.002 €</w:t>
            </w:r>
          </w:p>
        </w:tc>
        <w:tc>
          <w:tcPr>
            <w:tcW w:w="1559" w:type="dxa"/>
            <w:vAlign w:val="bottom"/>
          </w:tcPr>
          <w:p w14:paraId="0DC8888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w:t>
            </w:r>
          </w:p>
        </w:tc>
        <w:tc>
          <w:tcPr>
            <w:tcW w:w="1692" w:type="dxa"/>
            <w:vAlign w:val="bottom"/>
          </w:tcPr>
          <w:p w14:paraId="612B146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6,0%</w:t>
            </w:r>
          </w:p>
        </w:tc>
      </w:tr>
      <w:tr w:rsidR="006B2717" w14:paraId="717F389B"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529D33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2410" w:type="dxa"/>
            <w:vAlign w:val="bottom"/>
          </w:tcPr>
          <w:p w14:paraId="0099B603"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Tarragona capital</w:t>
            </w:r>
          </w:p>
        </w:tc>
        <w:tc>
          <w:tcPr>
            <w:tcW w:w="1701" w:type="dxa"/>
            <w:vAlign w:val="bottom"/>
          </w:tcPr>
          <w:p w14:paraId="23E8455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1.914 €</w:t>
            </w:r>
          </w:p>
        </w:tc>
        <w:tc>
          <w:tcPr>
            <w:tcW w:w="1559" w:type="dxa"/>
            <w:vAlign w:val="bottom"/>
          </w:tcPr>
          <w:p w14:paraId="20B7FF0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w:t>
            </w:r>
          </w:p>
        </w:tc>
        <w:tc>
          <w:tcPr>
            <w:tcW w:w="1692" w:type="dxa"/>
            <w:vAlign w:val="bottom"/>
          </w:tcPr>
          <w:p w14:paraId="4DC09E2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6,0%</w:t>
            </w:r>
          </w:p>
        </w:tc>
      </w:tr>
      <w:tr w:rsidR="006B2717" w14:paraId="58C3A136"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8AB87F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Almería</w:t>
            </w:r>
          </w:p>
        </w:tc>
        <w:tc>
          <w:tcPr>
            <w:tcW w:w="2410" w:type="dxa"/>
            <w:vAlign w:val="bottom"/>
          </w:tcPr>
          <w:p w14:paraId="278B2FA6"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Almería capital</w:t>
            </w:r>
          </w:p>
        </w:tc>
        <w:tc>
          <w:tcPr>
            <w:tcW w:w="1701" w:type="dxa"/>
            <w:vAlign w:val="bottom"/>
          </w:tcPr>
          <w:p w14:paraId="21AFB9E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1.891 €</w:t>
            </w:r>
          </w:p>
        </w:tc>
        <w:tc>
          <w:tcPr>
            <w:tcW w:w="1559" w:type="dxa"/>
            <w:vAlign w:val="bottom"/>
          </w:tcPr>
          <w:p w14:paraId="6D7B175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1,5%</w:t>
            </w:r>
          </w:p>
        </w:tc>
        <w:tc>
          <w:tcPr>
            <w:tcW w:w="1692" w:type="dxa"/>
            <w:vAlign w:val="bottom"/>
          </w:tcPr>
          <w:p w14:paraId="263BA20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5,8%</w:t>
            </w:r>
          </w:p>
        </w:tc>
      </w:tr>
      <w:tr w:rsidR="006B2717" w14:paraId="6C72319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40C771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Segovia</w:t>
            </w:r>
          </w:p>
        </w:tc>
        <w:tc>
          <w:tcPr>
            <w:tcW w:w="2410" w:type="dxa"/>
            <w:vAlign w:val="bottom"/>
          </w:tcPr>
          <w:p w14:paraId="4D40E14E"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Segovia capital</w:t>
            </w:r>
          </w:p>
        </w:tc>
        <w:tc>
          <w:tcPr>
            <w:tcW w:w="1701" w:type="dxa"/>
            <w:vAlign w:val="bottom"/>
          </w:tcPr>
          <w:p w14:paraId="4D10392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2.408 €</w:t>
            </w:r>
          </w:p>
        </w:tc>
        <w:tc>
          <w:tcPr>
            <w:tcW w:w="1559" w:type="dxa"/>
            <w:vAlign w:val="bottom"/>
          </w:tcPr>
          <w:p w14:paraId="026DD33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2,4%</w:t>
            </w:r>
          </w:p>
        </w:tc>
        <w:tc>
          <w:tcPr>
            <w:tcW w:w="1692" w:type="dxa"/>
            <w:vAlign w:val="bottom"/>
          </w:tcPr>
          <w:p w14:paraId="4A4C4EA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5,6%</w:t>
            </w:r>
          </w:p>
        </w:tc>
      </w:tr>
      <w:tr w:rsidR="006B2717" w14:paraId="1A03D499"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3E44A6F"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Valladolid</w:t>
            </w:r>
          </w:p>
        </w:tc>
        <w:tc>
          <w:tcPr>
            <w:tcW w:w="2410" w:type="dxa"/>
            <w:vAlign w:val="bottom"/>
          </w:tcPr>
          <w:p w14:paraId="18087E89"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Valladolid capital</w:t>
            </w:r>
          </w:p>
        </w:tc>
        <w:tc>
          <w:tcPr>
            <w:tcW w:w="1701" w:type="dxa"/>
            <w:vAlign w:val="bottom"/>
          </w:tcPr>
          <w:p w14:paraId="18EB0B2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2.380 €</w:t>
            </w:r>
          </w:p>
        </w:tc>
        <w:tc>
          <w:tcPr>
            <w:tcW w:w="1559" w:type="dxa"/>
            <w:vAlign w:val="bottom"/>
          </w:tcPr>
          <w:p w14:paraId="0C170E7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0,6%</w:t>
            </w:r>
          </w:p>
        </w:tc>
        <w:tc>
          <w:tcPr>
            <w:tcW w:w="1692" w:type="dxa"/>
            <w:vAlign w:val="bottom"/>
          </w:tcPr>
          <w:p w14:paraId="6B93A3E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6B2717" w14:paraId="62E5C731"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FFFB8D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Burgos</w:t>
            </w:r>
          </w:p>
        </w:tc>
        <w:tc>
          <w:tcPr>
            <w:tcW w:w="2410" w:type="dxa"/>
            <w:vAlign w:val="bottom"/>
          </w:tcPr>
          <w:p w14:paraId="3062DFFB"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Burgos capital</w:t>
            </w:r>
          </w:p>
        </w:tc>
        <w:tc>
          <w:tcPr>
            <w:tcW w:w="1701" w:type="dxa"/>
            <w:vAlign w:val="bottom"/>
          </w:tcPr>
          <w:p w14:paraId="5C376BC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2.404 €</w:t>
            </w:r>
          </w:p>
        </w:tc>
        <w:tc>
          <w:tcPr>
            <w:tcW w:w="1559" w:type="dxa"/>
            <w:vAlign w:val="bottom"/>
          </w:tcPr>
          <w:p w14:paraId="552EE26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-0,7%</w:t>
            </w:r>
          </w:p>
        </w:tc>
        <w:tc>
          <w:tcPr>
            <w:tcW w:w="1692" w:type="dxa"/>
            <w:vAlign w:val="bottom"/>
          </w:tcPr>
          <w:p w14:paraId="02B1325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6B2717" w14:paraId="142AFD90"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4177F7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Toledo</w:t>
            </w:r>
          </w:p>
        </w:tc>
        <w:tc>
          <w:tcPr>
            <w:tcW w:w="2410" w:type="dxa"/>
            <w:vAlign w:val="bottom"/>
          </w:tcPr>
          <w:p w14:paraId="3482C357"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Toledo capital</w:t>
            </w:r>
          </w:p>
        </w:tc>
        <w:tc>
          <w:tcPr>
            <w:tcW w:w="1701" w:type="dxa"/>
            <w:vAlign w:val="bottom"/>
          </w:tcPr>
          <w:p w14:paraId="178CADC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2.100 €</w:t>
            </w:r>
          </w:p>
        </w:tc>
        <w:tc>
          <w:tcPr>
            <w:tcW w:w="1559" w:type="dxa"/>
            <w:vAlign w:val="bottom"/>
          </w:tcPr>
          <w:p w14:paraId="0AF3AEF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0,9%</w:t>
            </w:r>
          </w:p>
        </w:tc>
        <w:tc>
          <w:tcPr>
            <w:tcW w:w="1692" w:type="dxa"/>
            <w:vAlign w:val="bottom"/>
          </w:tcPr>
          <w:p w14:paraId="418B32D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5,3%</w:t>
            </w:r>
          </w:p>
        </w:tc>
      </w:tr>
      <w:tr w:rsidR="006B2717" w14:paraId="4AD511FF"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04E366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2410" w:type="dxa"/>
            <w:vAlign w:val="bottom"/>
          </w:tcPr>
          <w:p w14:paraId="638A1D5A"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Málaga capital</w:t>
            </w:r>
          </w:p>
        </w:tc>
        <w:tc>
          <w:tcPr>
            <w:tcW w:w="1701" w:type="dxa"/>
            <w:vAlign w:val="bottom"/>
          </w:tcPr>
          <w:p w14:paraId="4495034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4.331 €</w:t>
            </w:r>
          </w:p>
        </w:tc>
        <w:tc>
          <w:tcPr>
            <w:tcW w:w="1559" w:type="dxa"/>
            <w:vAlign w:val="bottom"/>
          </w:tcPr>
          <w:p w14:paraId="23AB7EC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0,3%</w:t>
            </w:r>
          </w:p>
        </w:tc>
        <w:tc>
          <w:tcPr>
            <w:tcW w:w="1692" w:type="dxa"/>
            <w:vAlign w:val="bottom"/>
          </w:tcPr>
          <w:p w14:paraId="052A824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4,5%</w:t>
            </w:r>
          </w:p>
        </w:tc>
      </w:tr>
      <w:tr w:rsidR="006B2717" w14:paraId="2609E15D"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B20378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2410" w:type="dxa"/>
            <w:vAlign w:val="bottom"/>
          </w:tcPr>
          <w:p w14:paraId="4E002D35"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Huelva capital</w:t>
            </w:r>
          </w:p>
        </w:tc>
        <w:tc>
          <w:tcPr>
            <w:tcW w:w="1701" w:type="dxa"/>
            <w:vAlign w:val="bottom"/>
          </w:tcPr>
          <w:p w14:paraId="77D3365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1.707 €</w:t>
            </w:r>
          </w:p>
        </w:tc>
        <w:tc>
          <w:tcPr>
            <w:tcW w:w="1559" w:type="dxa"/>
            <w:vAlign w:val="bottom"/>
          </w:tcPr>
          <w:p w14:paraId="7CD9DED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-1,7%</w:t>
            </w:r>
          </w:p>
        </w:tc>
        <w:tc>
          <w:tcPr>
            <w:tcW w:w="1692" w:type="dxa"/>
            <w:vAlign w:val="bottom"/>
          </w:tcPr>
          <w:p w14:paraId="4D46893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r>
      <w:tr w:rsidR="006B2717" w14:paraId="43603265"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41767F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Gipuzkoa</w:t>
            </w:r>
          </w:p>
        </w:tc>
        <w:tc>
          <w:tcPr>
            <w:tcW w:w="2410" w:type="dxa"/>
            <w:vAlign w:val="bottom"/>
          </w:tcPr>
          <w:p w14:paraId="70FCCEB0"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Donostia - San Sebastián</w:t>
            </w:r>
          </w:p>
        </w:tc>
        <w:tc>
          <w:tcPr>
            <w:tcW w:w="1701" w:type="dxa"/>
            <w:vAlign w:val="bottom"/>
          </w:tcPr>
          <w:p w14:paraId="2D92333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7.120 €</w:t>
            </w:r>
          </w:p>
        </w:tc>
        <w:tc>
          <w:tcPr>
            <w:tcW w:w="1559" w:type="dxa"/>
            <w:vAlign w:val="bottom"/>
          </w:tcPr>
          <w:p w14:paraId="5CC3B9C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-0,5%</w:t>
            </w:r>
          </w:p>
        </w:tc>
        <w:tc>
          <w:tcPr>
            <w:tcW w:w="1692" w:type="dxa"/>
            <w:vAlign w:val="bottom"/>
          </w:tcPr>
          <w:p w14:paraId="5BBB816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3,6%</w:t>
            </w:r>
          </w:p>
        </w:tc>
      </w:tr>
      <w:tr w:rsidR="006B2717" w14:paraId="3ABADD96"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C7A2EB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410" w:type="dxa"/>
            <w:vAlign w:val="bottom"/>
          </w:tcPr>
          <w:p w14:paraId="565E52FB"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Granada capital</w:t>
            </w:r>
          </w:p>
        </w:tc>
        <w:tc>
          <w:tcPr>
            <w:tcW w:w="1701" w:type="dxa"/>
            <w:vAlign w:val="bottom"/>
          </w:tcPr>
          <w:p w14:paraId="7BA24BB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2.948 €</w:t>
            </w:r>
          </w:p>
        </w:tc>
        <w:tc>
          <w:tcPr>
            <w:tcW w:w="1559" w:type="dxa"/>
            <w:vAlign w:val="bottom"/>
          </w:tcPr>
          <w:p w14:paraId="1C40625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1,9%</w:t>
            </w:r>
          </w:p>
        </w:tc>
        <w:tc>
          <w:tcPr>
            <w:tcW w:w="1692" w:type="dxa"/>
            <w:vAlign w:val="bottom"/>
          </w:tcPr>
          <w:p w14:paraId="6D0A2F0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3,1%</w:t>
            </w:r>
          </w:p>
        </w:tc>
      </w:tr>
      <w:tr w:rsidR="006B2717" w14:paraId="1B8C8984"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DD3864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410" w:type="dxa"/>
            <w:vAlign w:val="bottom"/>
          </w:tcPr>
          <w:p w14:paraId="26D23F63"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Barcelona capital</w:t>
            </w:r>
          </w:p>
        </w:tc>
        <w:tc>
          <w:tcPr>
            <w:tcW w:w="1701" w:type="dxa"/>
            <w:vAlign w:val="bottom"/>
          </w:tcPr>
          <w:p w14:paraId="6AD66F4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5.304 €</w:t>
            </w:r>
          </w:p>
        </w:tc>
        <w:tc>
          <w:tcPr>
            <w:tcW w:w="1559" w:type="dxa"/>
            <w:vAlign w:val="bottom"/>
          </w:tcPr>
          <w:p w14:paraId="3F7837C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-1,2%</w:t>
            </w:r>
          </w:p>
        </w:tc>
        <w:tc>
          <w:tcPr>
            <w:tcW w:w="1692" w:type="dxa"/>
            <w:vAlign w:val="bottom"/>
          </w:tcPr>
          <w:p w14:paraId="0201D67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3,0%</w:t>
            </w:r>
          </w:p>
        </w:tc>
      </w:tr>
      <w:tr w:rsidR="006B2717" w14:paraId="18A41038"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98445F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Cuenca</w:t>
            </w:r>
          </w:p>
        </w:tc>
        <w:tc>
          <w:tcPr>
            <w:tcW w:w="2410" w:type="dxa"/>
            <w:vAlign w:val="bottom"/>
          </w:tcPr>
          <w:p w14:paraId="627D5B10"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Cuenca capital</w:t>
            </w:r>
          </w:p>
        </w:tc>
        <w:tc>
          <w:tcPr>
            <w:tcW w:w="1701" w:type="dxa"/>
            <w:vAlign w:val="bottom"/>
          </w:tcPr>
          <w:p w14:paraId="7E1B6D8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1.818 €</w:t>
            </w:r>
          </w:p>
        </w:tc>
        <w:tc>
          <w:tcPr>
            <w:tcW w:w="1559" w:type="dxa"/>
            <w:vAlign w:val="bottom"/>
          </w:tcPr>
          <w:p w14:paraId="7D45790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1,3%</w:t>
            </w:r>
          </w:p>
        </w:tc>
        <w:tc>
          <w:tcPr>
            <w:tcW w:w="1692" w:type="dxa"/>
            <w:vAlign w:val="bottom"/>
          </w:tcPr>
          <w:p w14:paraId="6D42041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0,8%</w:t>
            </w:r>
          </w:p>
        </w:tc>
      </w:tr>
      <w:tr w:rsidR="006B2717" w14:paraId="17133C2B"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90F05C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Santa Cruz de Tenerife</w:t>
            </w:r>
          </w:p>
        </w:tc>
        <w:tc>
          <w:tcPr>
            <w:tcW w:w="2410" w:type="dxa"/>
            <w:vAlign w:val="bottom"/>
          </w:tcPr>
          <w:p w14:paraId="005E013C"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Santa Cruz de Tenerife capital</w:t>
            </w:r>
          </w:p>
        </w:tc>
        <w:tc>
          <w:tcPr>
            <w:tcW w:w="1701" w:type="dxa"/>
            <w:vAlign w:val="bottom"/>
          </w:tcPr>
          <w:p w14:paraId="31620F0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2.920 €</w:t>
            </w:r>
          </w:p>
        </w:tc>
        <w:tc>
          <w:tcPr>
            <w:tcW w:w="1559" w:type="dxa"/>
            <w:vAlign w:val="bottom"/>
          </w:tcPr>
          <w:p w14:paraId="19E723D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-1,9%</w:t>
            </w:r>
          </w:p>
        </w:tc>
        <w:tc>
          <w:tcPr>
            <w:tcW w:w="1692" w:type="dxa"/>
            <w:vAlign w:val="bottom"/>
          </w:tcPr>
          <w:p w14:paraId="5355A12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9C0006"/>
                <w:sz w:val="22"/>
                <w:szCs w:val="22"/>
              </w:rPr>
              <w:t>-1,3%</w:t>
            </w:r>
          </w:p>
        </w:tc>
      </w:tr>
    </w:tbl>
    <w:p w14:paraId="57F7F48B"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Municipios</w:t>
      </w:r>
    </w:p>
    <w:p w14:paraId="5E6D57CE" w14:textId="77777777" w:rsidR="006B2717" w:rsidRDefault="00000000">
      <w:pPr>
        <w:spacing w:line="276" w:lineRule="auto"/>
        <w:jc w:val="both"/>
        <w:rPr>
          <w:rFonts w:ascii="Open Sans" w:eastAsia="Open Sans" w:hAnsi="Open Sans" w:cs="Open Sans"/>
          <w:color w:val="000000"/>
        </w:rPr>
      </w:pPr>
      <w:r>
        <w:rPr>
          <w:rFonts w:ascii="Open Sans" w:eastAsia="Open Sans" w:hAnsi="Open Sans" w:cs="Open Sans"/>
          <w:color w:val="000000"/>
        </w:rPr>
        <w:t xml:space="preserve">El precio medio de la vivienda de segunda mano sube en el 93% de los 404 municipios con variación interanual analizados </w:t>
      </w:r>
      <w:r>
        <w:rPr>
          <w:rFonts w:ascii="Open Sans" w:eastAsia="Open Sans" w:hAnsi="Open Sans" w:cs="Open Sans"/>
        </w:rPr>
        <w:t xml:space="preserve">por </w:t>
      </w:r>
      <w:hyperlink r:id="rId14">
        <w:r>
          <w:rPr>
            <w:rFonts w:ascii="Open Sans" w:eastAsia="Open Sans" w:hAnsi="Open Sans" w:cs="Open Sans"/>
            <w:color w:val="0000FF"/>
            <w:u w:val="single"/>
          </w:rPr>
          <w:t>Fotocasa</w:t>
        </w:r>
      </w:hyperlink>
      <w:r>
        <w:rPr>
          <w:rFonts w:ascii="Open Sans" w:eastAsia="Open Sans" w:hAnsi="Open Sans" w:cs="Open Sans"/>
        </w:rPr>
        <w:t xml:space="preserve">. </w:t>
      </w:r>
      <w:r>
        <w:rPr>
          <w:rFonts w:ascii="Open Sans" w:eastAsia="Open Sans" w:hAnsi="Open Sans" w:cs="Open Sans"/>
          <w:b/>
          <w:bCs/>
        </w:rPr>
        <w:t xml:space="preserve">En 20 (5%) </w:t>
      </w:r>
      <w:r>
        <w:rPr>
          <w:rFonts w:ascii="Open Sans" w:eastAsia="Open Sans" w:hAnsi="Open Sans" w:cs="Open Sans"/>
          <w:b/>
          <w:bCs/>
          <w:color w:val="000000"/>
        </w:rPr>
        <w:t>de los municipios sube el valor interanual de la vivienda por encima del 30% y son:</w:t>
      </w:r>
      <w:r>
        <w:rPr>
          <w:b/>
          <w:bCs/>
        </w:rPr>
        <w:t xml:space="preserve"> </w:t>
      </w:r>
      <w:r>
        <w:rPr>
          <w:rFonts w:ascii="Open Sans" w:eastAsia="Open Sans" w:hAnsi="Open Sans" w:cs="Open Sans"/>
        </w:rPr>
        <w:t>Catral</w:t>
      </w:r>
      <w:r>
        <w:rPr>
          <w:rFonts w:ascii="Open Sans" w:eastAsia="Open Sans" w:hAnsi="Open Sans" w:cs="Open Sans"/>
          <w:color w:val="000000"/>
        </w:rPr>
        <w:t xml:space="preserve"> (</w:t>
      </w:r>
      <w:r>
        <w:rPr>
          <w:rFonts w:ascii="Open Sans" w:eastAsia="Open Sans" w:hAnsi="Open Sans" w:cs="Open Sans"/>
        </w:rPr>
        <w:t>129,7%), Bigastro</w:t>
      </w:r>
      <w:r>
        <w:rPr>
          <w:rFonts w:ascii="Open Sans" w:eastAsia="Open Sans" w:hAnsi="Open Sans" w:cs="Open Sans"/>
          <w:color w:val="000000"/>
        </w:rPr>
        <w:t xml:space="preserve"> (</w:t>
      </w:r>
      <w:r>
        <w:rPr>
          <w:rFonts w:ascii="Open Sans" w:eastAsia="Open Sans" w:hAnsi="Open Sans" w:cs="Open Sans"/>
        </w:rPr>
        <w:t>92,9%), Narón</w:t>
      </w:r>
      <w:r>
        <w:rPr>
          <w:rFonts w:ascii="Open Sans" w:eastAsia="Open Sans" w:hAnsi="Open Sans" w:cs="Open Sans"/>
          <w:color w:val="000000"/>
        </w:rPr>
        <w:t xml:space="preserve"> (</w:t>
      </w:r>
      <w:r>
        <w:rPr>
          <w:rFonts w:ascii="Open Sans" w:eastAsia="Open Sans" w:hAnsi="Open Sans" w:cs="Open Sans"/>
        </w:rPr>
        <w:t>62,5%), Santa Fe</w:t>
      </w:r>
      <w:r>
        <w:rPr>
          <w:rFonts w:ascii="Open Sans" w:eastAsia="Open Sans" w:hAnsi="Open Sans" w:cs="Open Sans"/>
          <w:color w:val="000000"/>
        </w:rPr>
        <w:t xml:space="preserve"> (</w:t>
      </w:r>
      <w:r>
        <w:rPr>
          <w:rFonts w:ascii="Open Sans" w:eastAsia="Open Sans" w:hAnsi="Open Sans" w:cs="Open Sans"/>
        </w:rPr>
        <w:t>54,9%), Cubelles</w:t>
      </w:r>
      <w:r>
        <w:rPr>
          <w:rFonts w:ascii="Open Sans" w:eastAsia="Open Sans" w:hAnsi="Open Sans" w:cs="Open Sans"/>
          <w:color w:val="000000"/>
        </w:rPr>
        <w:t xml:space="preserve"> (</w:t>
      </w:r>
      <w:r>
        <w:rPr>
          <w:rFonts w:ascii="Open Sans" w:eastAsia="Open Sans" w:hAnsi="Open Sans" w:cs="Open Sans"/>
        </w:rPr>
        <w:t>51,2%), Igualada</w:t>
      </w:r>
      <w:r>
        <w:rPr>
          <w:rFonts w:ascii="Open Sans" w:eastAsia="Open Sans" w:hAnsi="Open Sans" w:cs="Open Sans"/>
          <w:color w:val="000000"/>
        </w:rPr>
        <w:t xml:space="preserve"> (</w:t>
      </w:r>
      <w:r>
        <w:rPr>
          <w:rFonts w:ascii="Open Sans" w:eastAsia="Open Sans" w:hAnsi="Open Sans" w:cs="Open Sans"/>
        </w:rPr>
        <w:t>44,1%), Motril</w:t>
      </w:r>
      <w:r>
        <w:rPr>
          <w:rFonts w:ascii="Open Sans" w:eastAsia="Open Sans" w:hAnsi="Open Sans" w:cs="Open Sans"/>
          <w:color w:val="000000"/>
        </w:rPr>
        <w:t xml:space="preserve"> (</w:t>
      </w:r>
      <w:r>
        <w:rPr>
          <w:rFonts w:ascii="Open Sans" w:eastAsia="Open Sans" w:hAnsi="Open Sans" w:cs="Open Sans"/>
        </w:rPr>
        <w:t>42,3%), Vilagarcía de Arousa</w:t>
      </w:r>
      <w:r>
        <w:rPr>
          <w:rFonts w:ascii="Open Sans" w:eastAsia="Open Sans" w:hAnsi="Open Sans" w:cs="Open Sans"/>
          <w:color w:val="000000"/>
        </w:rPr>
        <w:t xml:space="preserve"> (</w:t>
      </w:r>
      <w:r>
        <w:rPr>
          <w:rFonts w:ascii="Open Sans" w:eastAsia="Open Sans" w:hAnsi="Open Sans" w:cs="Open Sans"/>
        </w:rPr>
        <w:t>41,8%), Llançà</w:t>
      </w:r>
      <w:r>
        <w:rPr>
          <w:rFonts w:ascii="Open Sans" w:eastAsia="Open Sans" w:hAnsi="Open Sans" w:cs="Open Sans"/>
          <w:color w:val="000000"/>
        </w:rPr>
        <w:t xml:space="preserve"> </w:t>
      </w:r>
      <w:r>
        <w:rPr>
          <w:rFonts w:ascii="Open Sans" w:eastAsia="Open Sans" w:hAnsi="Open Sans" w:cs="Open Sans"/>
          <w:color w:val="000000"/>
        </w:rPr>
        <w:lastRenderedPageBreak/>
        <w:t>(</w:t>
      </w:r>
      <w:r>
        <w:rPr>
          <w:rFonts w:ascii="Open Sans" w:eastAsia="Open Sans" w:hAnsi="Open Sans" w:cs="Open Sans"/>
        </w:rPr>
        <w:t xml:space="preserve">41,5%), </w:t>
      </w:r>
      <w:proofErr w:type="spellStart"/>
      <w:r>
        <w:rPr>
          <w:rFonts w:ascii="Open Sans" w:eastAsia="Open Sans" w:hAnsi="Open Sans" w:cs="Open Sans"/>
        </w:rPr>
        <w:t>Benitachell</w:t>
      </w:r>
      <w:proofErr w:type="spellEnd"/>
      <w:r>
        <w:rPr>
          <w:rFonts w:ascii="Open Sans" w:eastAsia="Open Sans" w:hAnsi="Open Sans" w:cs="Open Sans"/>
        </w:rPr>
        <w:t xml:space="preserve"> / El Poble Nou de </w:t>
      </w:r>
      <w:proofErr w:type="spellStart"/>
      <w:r>
        <w:rPr>
          <w:rFonts w:ascii="Open Sans" w:eastAsia="Open Sans" w:hAnsi="Open Sans" w:cs="Open Sans"/>
        </w:rPr>
        <w:t>Benitatxell</w:t>
      </w:r>
      <w:proofErr w:type="spellEnd"/>
      <w:r>
        <w:rPr>
          <w:rFonts w:ascii="Open Sans" w:eastAsia="Open Sans" w:hAnsi="Open Sans" w:cs="Open Sans"/>
          <w:color w:val="000000"/>
        </w:rPr>
        <w:t xml:space="preserve"> (</w:t>
      </w:r>
      <w:r>
        <w:rPr>
          <w:rFonts w:ascii="Open Sans" w:eastAsia="Open Sans" w:hAnsi="Open Sans" w:cs="Open Sans"/>
        </w:rPr>
        <w:t>41,5%), Ribeira</w:t>
      </w:r>
      <w:r>
        <w:rPr>
          <w:rFonts w:ascii="Open Sans" w:eastAsia="Open Sans" w:hAnsi="Open Sans" w:cs="Open Sans"/>
          <w:color w:val="000000"/>
        </w:rPr>
        <w:t xml:space="preserve"> (</w:t>
      </w:r>
      <w:r>
        <w:rPr>
          <w:rFonts w:ascii="Open Sans" w:eastAsia="Open Sans" w:hAnsi="Open Sans" w:cs="Open Sans"/>
        </w:rPr>
        <w:t>35,4%), Inca</w:t>
      </w:r>
      <w:r>
        <w:rPr>
          <w:rFonts w:ascii="Open Sans" w:eastAsia="Open Sans" w:hAnsi="Open Sans" w:cs="Open Sans"/>
          <w:color w:val="000000"/>
        </w:rPr>
        <w:t xml:space="preserve"> (</w:t>
      </w:r>
      <w:r>
        <w:rPr>
          <w:rFonts w:ascii="Open Sans" w:eastAsia="Open Sans" w:hAnsi="Open Sans" w:cs="Open Sans"/>
        </w:rPr>
        <w:t>35,0%), San Javier</w:t>
      </w:r>
      <w:r>
        <w:rPr>
          <w:rFonts w:ascii="Open Sans" w:eastAsia="Open Sans" w:hAnsi="Open Sans" w:cs="Open Sans"/>
          <w:color w:val="000000"/>
        </w:rPr>
        <w:t xml:space="preserve"> (</w:t>
      </w:r>
      <w:r>
        <w:rPr>
          <w:rFonts w:ascii="Open Sans" w:eastAsia="Open Sans" w:hAnsi="Open Sans" w:cs="Open Sans"/>
        </w:rPr>
        <w:t xml:space="preserve">35,0%), Ferrol </w:t>
      </w:r>
      <w:r>
        <w:rPr>
          <w:rFonts w:ascii="Open Sans" w:eastAsia="Open Sans" w:hAnsi="Open Sans" w:cs="Open Sans"/>
          <w:color w:val="000000"/>
        </w:rPr>
        <w:t>(</w:t>
      </w:r>
      <w:r>
        <w:rPr>
          <w:rFonts w:ascii="Open Sans" w:eastAsia="Open Sans" w:hAnsi="Open Sans" w:cs="Open Sans"/>
        </w:rPr>
        <w:t>34,9%), Petrer</w:t>
      </w:r>
      <w:r>
        <w:rPr>
          <w:rFonts w:ascii="Open Sans" w:eastAsia="Open Sans" w:hAnsi="Open Sans" w:cs="Open Sans"/>
          <w:color w:val="000000"/>
        </w:rPr>
        <w:t xml:space="preserve"> (</w:t>
      </w:r>
      <w:r>
        <w:rPr>
          <w:rFonts w:ascii="Open Sans" w:eastAsia="Open Sans" w:hAnsi="Open Sans" w:cs="Open Sans"/>
        </w:rPr>
        <w:t>34,8%), Manilva</w:t>
      </w:r>
      <w:r>
        <w:rPr>
          <w:rFonts w:ascii="Open Sans" w:eastAsia="Open Sans" w:hAnsi="Open Sans" w:cs="Open Sans"/>
          <w:color w:val="000000"/>
        </w:rPr>
        <w:t xml:space="preserve"> (</w:t>
      </w:r>
      <w:r>
        <w:rPr>
          <w:rFonts w:ascii="Open Sans" w:eastAsia="Open Sans" w:hAnsi="Open Sans" w:cs="Open Sans"/>
        </w:rPr>
        <w:t xml:space="preserve">34,8%), Sant Pere de Ribes </w:t>
      </w:r>
      <w:r>
        <w:rPr>
          <w:rFonts w:ascii="Open Sans" w:eastAsia="Open Sans" w:hAnsi="Open Sans" w:cs="Open Sans"/>
          <w:color w:val="000000"/>
        </w:rPr>
        <w:t>(</w:t>
      </w:r>
      <w:r>
        <w:rPr>
          <w:rFonts w:ascii="Open Sans" w:eastAsia="Open Sans" w:hAnsi="Open Sans" w:cs="Open Sans"/>
        </w:rPr>
        <w:t>34,5%), Capdepera</w:t>
      </w:r>
      <w:r>
        <w:rPr>
          <w:rFonts w:ascii="Open Sans" w:eastAsia="Open Sans" w:hAnsi="Open Sans" w:cs="Open Sans"/>
          <w:color w:val="000000"/>
        </w:rPr>
        <w:t xml:space="preserve"> (</w:t>
      </w:r>
      <w:r>
        <w:rPr>
          <w:rFonts w:ascii="Open Sans" w:eastAsia="Open Sans" w:hAnsi="Open Sans" w:cs="Open Sans"/>
        </w:rPr>
        <w:t>34,2%), Alhama de Murcia</w:t>
      </w:r>
      <w:r>
        <w:rPr>
          <w:rFonts w:ascii="Open Sans" w:eastAsia="Open Sans" w:hAnsi="Open Sans" w:cs="Open Sans"/>
          <w:color w:val="000000"/>
        </w:rPr>
        <w:t xml:space="preserve"> (</w:t>
      </w:r>
      <w:r>
        <w:rPr>
          <w:rFonts w:ascii="Open Sans" w:eastAsia="Open Sans" w:hAnsi="Open Sans" w:cs="Open Sans"/>
        </w:rPr>
        <w:t>31,7%) y Castalla</w:t>
      </w:r>
      <w:r>
        <w:rPr>
          <w:rFonts w:ascii="Open Sans" w:eastAsia="Open Sans" w:hAnsi="Open Sans" w:cs="Open Sans"/>
          <w:color w:val="000000"/>
        </w:rPr>
        <w:t xml:space="preserve"> (</w:t>
      </w:r>
      <w:r>
        <w:rPr>
          <w:rFonts w:ascii="Open Sans" w:eastAsia="Open Sans" w:hAnsi="Open Sans" w:cs="Open Sans"/>
        </w:rPr>
        <w:t>31,3%). Por otro lado, las ciudades con los mayores descensos interanuales son: Ayamonte (-15,3%) y Armilla (-11,1%).</w:t>
      </w:r>
    </w:p>
    <w:p w14:paraId="23CE557A" w14:textId="77777777" w:rsidR="006B2717" w:rsidRDefault="00000000">
      <w:pPr>
        <w:pBdr>
          <w:top w:val="nil"/>
          <w:left w:val="nil"/>
          <w:bottom w:val="nil"/>
          <w:right w:val="nil"/>
          <w:between w:val="nil"/>
        </w:pBdr>
        <w:spacing w:before="280" w:after="280" w:line="276" w:lineRule="auto"/>
        <w:jc w:val="both"/>
        <w:rPr>
          <w:rFonts w:ascii="Open Sans" w:eastAsia="Open Sans" w:hAnsi="Open Sans" w:cs="Open Sans"/>
          <w:b/>
          <w:bCs/>
          <w:color w:val="000000"/>
        </w:rPr>
      </w:pPr>
      <w:r>
        <w:rPr>
          <w:rFonts w:ascii="Open Sans" w:eastAsia="Open Sans" w:hAnsi="Open Sans" w:cs="Open Sans"/>
          <w:color w:val="000000"/>
        </w:rPr>
        <w:t xml:space="preserve">En cuanto al precio por metro cuadrado en julio, vemos que el orden de las ciudades con un precio </w:t>
      </w:r>
      <w:r>
        <w:rPr>
          <w:rFonts w:ascii="Open Sans" w:eastAsia="Open Sans" w:hAnsi="Open Sans" w:cs="Open Sans"/>
          <w:b/>
          <w:bCs/>
          <w:color w:val="000000"/>
        </w:rPr>
        <w:t>superior a los 7.000 euros/m</w:t>
      </w:r>
      <w:r>
        <w:rPr>
          <w:rFonts w:ascii="Open Sans" w:eastAsia="Open Sans" w:hAnsi="Open Sans" w:cs="Open Sans"/>
          <w:b/>
          <w:bCs/>
          <w:color w:val="000000"/>
          <w:vertAlign w:val="superscript"/>
        </w:rPr>
        <w:t xml:space="preserve">2 </w:t>
      </w:r>
      <w:r>
        <w:rPr>
          <w:rFonts w:ascii="Open Sans" w:eastAsia="Open Sans" w:hAnsi="Open Sans" w:cs="Open Sans"/>
          <w:b/>
          <w:bCs/>
          <w:color w:val="000000"/>
        </w:rPr>
        <w:t>son: Santa Eulària des Riu con 8.494 euros/m</w:t>
      </w:r>
      <w:r>
        <w:rPr>
          <w:rFonts w:ascii="Open Sans" w:eastAsia="Open Sans" w:hAnsi="Open Sans" w:cs="Open Sans"/>
          <w:b/>
          <w:bCs/>
          <w:color w:val="000000"/>
          <w:vertAlign w:val="superscript"/>
        </w:rPr>
        <w:t>2</w:t>
      </w:r>
      <w:r>
        <w:rPr>
          <w:rFonts w:ascii="Open Sans" w:eastAsia="Open Sans" w:hAnsi="Open Sans" w:cs="Open Sans"/>
          <w:b/>
          <w:bCs/>
          <w:color w:val="000000"/>
        </w:rPr>
        <w:t>, Sant Antoni de Portmany con 8.266 euros/m</w:t>
      </w:r>
      <w:r>
        <w:rPr>
          <w:rFonts w:ascii="Open Sans" w:eastAsia="Open Sans" w:hAnsi="Open Sans" w:cs="Open Sans"/>
          <w:b/>
          <w:bCs/>
          <w:color w:val="000000"/>
          <w:vertAlign w:val="superscript"/>
        </w:rPr>
        <w:t>2</w:t>
      </w:r>
      <w:r>
        <w:rPr>
          <w:rFonts w:ascii="Open Sans" w:eastAsia="Open Sans" w:hAnsi="Open Sans" w:cs="Open Sans"/>
          <w:b/>
          <w:bCs/>
          <w:color w:val="000000"/>
        </w:rPr>
        <w:t>, Eivissa con 7.351 euros/m</w:t>
      </w:r>
      <w:r>
        <w:rPr>
          <w:rFonts w:ascii="Open Sans" w:eastAsia="Open Sans" w:hAnsi="Open Sans" w:cs="Open Sans"/>
          <w:b/>
          <w:bCs/>
          <w:color w:val="000000"/>
          <w:vertAlign w:val="superscript"/>
        </w:rPr>
        <w:t>2</w:t>
      </w:r>
      <w:r>
        <w:rPr>
          <w:rFonts w:ascii="Open Sans" w:eastAsia="Open Sans" w:hAnsi="Open Sans" w:cs="Open Sans"/>
          <w:b/>
          <w:bCs/>
          <w:color w:val="000000"/>
        </w:rPr>
        <w:t>, Calvià con 7.260 euros/m</w:t>
      </w:r>
      <w:r>
        <w:rPr>
          <w:rFonts w:ascii="Open Sans" w:eastAsia="Open Sans" w:hAnsi="Open Sans" w:cs="Open Sans"/>
          <w:b/>
          <w:bCs/>
          <w:color w:val="000000"/>
          <w:vertAlign w:val="superscript"/>
        </w:rPr>
        <w:t>2</w:t>
      </w:r>
      <w:r>
        <w:rPr>
          <w:rFonts w:ascii="Open Sans" w:eastAsia="Open Sans" w:hAnsi="Open Sans" w:cs="Open Sans"/>
          <w:b/>
          <w:bCs/>
          <w:color w:val="000000"/>
        </w:rPr>
        <w:t xml:space="preserve"> y Donostia - San Sebastián con 7.120 euros/m</w:t>
      </w:r>
      <w:r>
        <w:rPr>
          <w:rFonts w:ascii="Open Sans" w:eastAsia="Open Sans" w:hAnsi="Open Sans" w:cs="Open Sans"/>
          <w:b/>
          <w:bCs/>
          <w:color w:val="000000"/>
          <w:vertAlign w:val="superscript"/>
        </w:rPr>
        <w:t>2</w:t>
      </w:r>
      <w:r>
        <w:rPr>
          <w:rFonts w:ascii="Open Sans" w:eastAsia="Open Sans" w:hAnsi="Open Sans" w:cs="Open Sans"/>
          <w:b/>
          <w:bCs/>
          <w:color w:val="000000"/>
        </w:rPr>
        <w:t>.</w:t>
      </w:r>
    </w:p>
    <w:p w14:paraId="3DB1E26B" w14:textId="77777777" w:rsidR="006B2717" w:rsidRDefault="00000000">
      <w:pPr>
        <w:pBdr>
          <w:top w:val="nil"/>
          <w:left w:val="nil"/>
          <w:bottom w:val="nil"/>
          <w:right w:val="nil"/>
          <w:between w:val="nil"/>
        </w:pBdr>
        <w:spacing w:before="280" w:after="280" w:line="276" w:lineRule="auto"/>
        <w:jc w:val="both"/>
        <w:rPr>
          <w:rFonts w:ascii="Open Sans" w:eastAsia="Open Sans" w:hAnsi="Open Sans" w:cs="Open Sans"/>
          <w:color w:val="000000"/>
        </w:rPr>
      </w:pPr>
      <w:r>
        <w:rPr>
          <w:rFonts w:ascii="Open Sans" w:eastAsia="Open Sans" w:hAnsi="Open Sans" w:cs="Open Sans"/>
          <w:color w:val="000000"/>
        </w:rPr>
        <w:t>Por otro lado, los municipios más económicos con precios inferiores a los 800 euros el metro cuadrado son: Bailén con 729 euros/m</w:t>
      </w:r>
      <w:r>
        <w:rPr>
          <w:rFonts w:ascii="Open Sans" w:eastAsia="Open Sans" w:hAnsi="Open Sans" w:cs="Open Sans"/>
          <w:color w:val="000000"/>
          <w:vertAlign w:val="superscript"/>
        </w:rPr>
        <w:t>2</w:t>
      </w:r>
      <w:r>
        <w:rPr>
          <w:rFonts w:ascii="Open Sans" w:eastAsia="Open Sans" w:hAnsi="Open Sans" w:cs="Open Sans"/>
          <w:color w:val="000000"/>
        </w:rPr>
        <w:t>, Mengíbar con 739 euros/m</w:t>
      </w:r>
      <w:r>
        <w:rPr>
          <w:rFonts w:ascii="Open Sans" w:eastAsia="Open Sans" w:hAnsi="Open Sans" w:cs="Open Sans"/>
          <w:color w:val="000000"/>
          <w:vertAlign w:val="superscript"/>
        </w:rPr>
        <w:t>2</w:t>
      </w:r>
      <w:r>
        <w:rPr>
          <w:rFonts w:ascii="Open Sans" w:eastAsia="Open Sans" w:hAnsi="Open Sans" w:cs="Open Sans"/>
          <w:color w:val="000000"/>
        </w:rPr>
        <w:t xml:space="preserve"> y Torredonjimeno con 749 euros/m</w:t>
      </w:r>
      <w:r>
        <w:rPr>
          <w:rFonts w:ascii="Open Sans" w:eastAsia="Open Sans" w:hAnsi="Open Sans" w:cs="Open Sans"/>
          <w:color w:val="000000"/>
          <w:vertAlign w:val="superscript"/>
        </w:rPr>
        <w:t>2</w:t>
      </w:r>
      <w:r>
        <w:rPr>
          <w:rFonts w:ascii="Open Sans" w:eastAsia="Open Sans" w:hAnsi="Open Sans" w:cs="Open Sans"/>
          <w:color w:val="000000"/>
        </w:rPr>
        <w:t>.</w:t>
      </w:r>
    </w:p>
    <w:p w14:paraId="6C47E614"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w:eastAsia="Open Sans" w:hAnsi="Open Sans" w:cs="Open Sans"/>
          <w:color w:val="000000"/>
        </w:rPr>
      </w:pPr>
      <w:r>
        <w:rPr>
          <w:rFonts w:ascii="Open Sans Light" w:eastAsia="Open Sans Light" w:hAnsi="Open Sans Light" w:cs="Open Sans Light"/>
          <w:b/>
          <w:bCs/>
          <w:color w:val="303AB2"/>
          <w:sz w:val="28"/>
          <w:szCs w:val="28"/>
        </w:rPr>
        <w:t xml:space="preserve">Madrid: </w:t>
      </w:r>
      <w:r>
        <w:rPr>
          <w:rFonts w:ascii="Open Sans" w:eastAsia="Open Sans" w:hAnsi="Open Sans" w:cs="Open Sans"/>
          <w:b/>
          <w:bCs/>
          <w:color w:val="000000"/>
        </w:rPr>
        <w:t>La ciudad de</w:t>
      </w:r>
      <w:r>
        <w:rPr>
          <w:rFonts w:ascii="Open Sans Light" w:eastAsia="Open Sans Light" w:hAnsi="Open Sans Light" w:cs="Open Sans Light"/>
          <w:b/>
          <w:bCs/>
          <w:color w:val="303AB2"/>
          <w:sz w:val="28"/>
          <w:szCs w:val="28"/>
        </w:rPr>
        <w:t xml:space="preserve"> </w:t>
      </w:r>
      <w:r>
        <w:rPr>
          <w:rFonts w:ascii="Open Sans" w:eastAsia="Open Sans" w:hAnsi="Open Sans" w:cs="Open Sans"/>
          <w:b/>
          <w:bCs/>
          <w:color w:val="000000"/>
        </w:rPr>
        <w:t xml:space="preserve">Madrid ha experimentado en un año un incremento en el precio medio de las viviendas de 9,2%, pasando de 485.075 euros a 529.900 euros en julio de 2026 por un piso de 80 m². </w:t>
      </w:r>
      <w:r>
        <w:rPr>
          <w:rFonts w:ascii="Open Sans" w:eastAsia="Open Sans" w:hAnsi="Open Sans" w:cs="Open Sans"/>
          <w:color w:val="000000"/>
        </w:rPr>
        <w:t>Si calculamos este último incremento interanual (9,2%) en euros (560 euros) y lo multiplicamos por los 80 m</w:t>
      </w:r>
      <w:r>
        <w:rPr>
          <w:rFonts w:ascii="Open Sans" w:eastAsia="Open Sans" w:hAnsi="Open Sans" w:cs="Open Sans"/>
          <w:color w:val="000000"/>
          <w:vertAlign w:val="superscript"/>
        </w:rPr>
        <w:t>2</w:t>
      </w:r>
      <w:r>
        <w:rPr>
          <w:rFonts w:ascii="Open Sans" w:eastAsia="Open Sans" w:hAnsi="Open Sans" w:cs="Open Sans"/>
          <w:color w:val="000000"/>
        </w:rPr>
        <w:t xml:space="preserve"> de una vivienda estándar, vemos que </w:t>
      </w:r>
      <w:r>
        <w:rPr>
          <w:rFonts w:ascii="Open Sans" w:eastAsia="Open Sans" w:hAnsi="Open Sans" w:cs="Open Sans"/>
          <w:b/>
          <w:bCs/>
          <w:color w:val="000000"/>
        </w:rPr>
        <w:t>se están ofertando pisos 44.825 euros más caros que hace un año</w:t>
      </w:r>
      <w:r>
        <w:rPr>
          <w:rFonts w:ascii="Open Sans" w:eastAsia="Open Sans" w:hAnsi="Open Sans" w:cs="Open Sans"/>
          <w:color w:val="000000"/>
        </w:rPr>
        <w:t>.</w:t>
      </w:r>
    </w:p>
    <w:p w14:paraId="1D528AD9"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w:eastAsia="Open Sans" w:hAnsi="Open Sans" w:cs="Open Sans"/>
          <w:color w:val="000000"/>
        </w:rPr>
      </w:pPr>
      <w:r>
        <w:rPr>
          <w:rFonts w:ascii="Open Sans Light" w:eastAsia="Open Sans Light" w:hAnsi="Open Sans Light" w:cs="Open Sans Light"/>
          <w:b/>
          <w:bCs/>
          <w:color w:val="303AB2"/>
          <w:sz w:val="28"/>
          <w:szCs w:val="28"/>
        </w:rPr>
        <w:t xml:space="preserve">Barcelona: </w:t>
      </w:r>
      <w:r>
        <w:rPr>
          <w:rFonts w:ascii="Open Sans" w:eastAsia="Open Sans" w:hAnsi="Open Sans" w:cs="Open Sans"/>
          <w:b/>
          <w:bCs/>
          <w:color w:val="000000"/>
        </w:rPr>
        <w:t>La ciudad de</w:t>
      </w:r>
      <w:r>
        <w:rPr>
          <w:rFonts w:ascii="Open Sans Light" w:eastAsia="Open Sans Light" w:hAnsi="Open Sans Light" w:cs="Open Sans Light"/>
          <w:b/>
          <w:bCs/>
          <w:color w:val="303AB2"/>
          <w:sz w:val="28"/>
          <w:szCs w:val="28"/>
        </w:rPr>
        <w:t xml:space="preserve"> </w:t>
      </w:r>
      <w:r>
        <w:rPr>
          <w:rFonts w:ascii="Open Sans" w:eastAsia="Open Sans" w:hAnsi="Open Sans" w:cs="Open Sans"/>
          <w:b/>
          <w:bCs/>
          <w:color w:val="000000"/>
        </w:rPr>
        <w:t xml:space="preserve">Barcelona ha experimentado en un año un incremento en el precio medio de las viviendas de 3%, pasando de 412.086 euros a 424.280 euros en julio de 2026 por un piso de 80 m². </w:t>
      </w:r>
      <w:r>
        <w:rPr>
          <w:rFonts w:ascii="Open Sans" w:eastAsia="Open Sans" w:hAnsi="Open Sans" w:cs="Open Sans"/>
          <w:color w:val="000000"/>
        </w:rPr>
        <w:t>Si calculamos este último incremento interanual (3%) en euros (152 euros) y lo multiplicamos por los 80 m</w:t>
      </w:r>
      <w:r>
        <w:rPr>
          <w:rFonts w:ascii="Open Sans" w:eastAsia="Open Sans" w:hAnsi="Open Sans" w:cs="Open Sans"/>
          <w:color w:val="000000"/>
          <w:vertAlign w:val="superscript"/>
        </w:rPr>
        <w:t>2</w:t>
      </w:r>
      <w:r>
        <w:rPr>
          <w:rFonts w:ascii="Open Sans" w:eastAsia="Open Sans" w:hAnsi="Open Sans" w:cs="Open Sans"/>
          <w:color w:val="000000"/>
        </w:rPr>
        <w:t xml:space="preserve"> de una vivienda estándar, vemos que </w:t>
      </w:r>
      <w:r>
        <w:rPr>
          <w:rFonts w:ascii="Open Sans" w:eastAsia="Open Sans" w:hAnsi="Open Sans" w:cs="Open Sans"/>
          <w:b/>
          <w:bCs/>
          <w:color w:val="000000"/>
        </w:rPr>
        <w:t>se están ofertando pisos 12.194 euros más caros que hace un año</w:t>
      </w:r>
      <w:r>
        <w:rPr>
          <w:rFonts w:ascii="Open Sans" w:eastAsia="Open Sans" w:hAnsi="Open Sans" w:cs="Open Sans"/>
          <w:color w:val="000000"/>
        </w:rPr>
        <w:t>.</w:t>
      </w:r>
    </w:p>
    <w:p w14:paraId="1EFEBDEC" w14:textId="77777777" w:rsidR="006B2717" w:rsidRDefault="00000000">
      <w:pPr>
        <w:pBdr>
          <w:top w:val="nil"/>
          <w:left w:val="nil"/>
          <w:bottom w:val="nil"/>
          <w:right w:val="nil"/>
          <w:between w:val="nil"/>
        </w:pBdr>
        <w:spacing w:before="280" w:after="280" w:line="276" w:lineRule="auto"/>
        <w:jc w:val="both"/>
        <w:rPr>
          <w:rFonts w:ascii="Open Sans" w:eastAsia="Open Sans" w:hAnsi="Open Sans" w:cs="Open Sans"/>
          <w:color w:val="000000"/>
        </w:rPr>
      </w:pPr>
      <w:r>
        <w:rPr>
          <w:rFonts w:ascii="Open Sans Light" w:eastAsia="Open Sans Light" w:hAnsi="Open Sans Light" w:cs="Open Sans Light"/>
          <w:b/>
          <w:bCs/>
          <w:color w:val="303AB2"/>
          <w:sz w:val="28"/>
          <w:szCs w:val="28"/>
        </w:rPr>
        <w:t>Municipios con mayor incremento interanual</w:t>
      </w:r>
    </w:p>
    <w:tbl>
      <w:tblPr>
        <w:tblStyle w:val="a2"/>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1985"/>
        <w:gridCol w:w="1984"/>
        <w:gridCol w:w="1560"/>
        <w:gridCol w:w="1701"/>
      </w:tblGrid>
      <w:tr w:rsidR="006B2717" w14:paraId="5529EFE8" w14:textId="77777777" w:rsidTr="006B2717">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DC8C7D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5" w:type="dxa"/>
            <w:vAlign w:val="center"/>
          </w:tcPr>
          <w:p w14:paraId="0AA7BAC2" w14:textId="77777777" w:rsidR="006B2717"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984" w:type="dxa"/>
            <w:vAlign w:val="center"/>
          </w:tcPr>
          <w:p w14:paraId="5FB45FAB"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25C70FFE"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560" w:type="dxa"/>
            <w:vAlign w:val="center"/>
          </w:tcPr>
          <w:p w14:paraId="60BD5A30"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5B39D840"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6B2717" w14:paraId="37A0C98C"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4E57D4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1985" w:type="dxa"/>
            <w:vAlign w:val="bottom"/>
          </w:tcPr>
          <w:p w14:paraId="33032EFC"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Catral</w:t>
            </w:r>
          </w:p>
        </w:tc>
        <w:tc>
          <w:tcPr>
            <w:tcW w:w="1984" w:type="dxa"/>
            <w:vAlign w:val="bottom"/>
          </w:tcPr>
          <w:p w14:paraId="1C2E438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2.111 €</w:t>
            </w:r>
          </w:p>
        </w:tc>
        <w:tc>
          <w:tcPr>
            <w:tcW w:w="1560" w:type="dxa"/>
            <w:vAlign w:val="bottom"/>
          </w:tcPr>
          <w:p w14:paraId="35E06A0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4,3%</w:t>
            </w:r>
          </w:p>
        </w:tc>
        <w:tc>
          <w:tcPr>
            <w:tcW w:w="1701" w:type="dxa"/>
            <w:vAlign w:val="bottom"/>
          </w:tcPr>
          <w:p w14:paraId="7D516BC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129,7%</w:t>
            </w:r>
          </w:p>
        </w:tc>
      </w:tr>
      <w:tr w:rsidR="006B2717" w14:paraId="6ABB7F3A"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E60DD4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1985" w:type="dxa"/>
            <w:vAlign w:val="bottom"/>
          </w:tcPr>
          <w:p w14:paraId="5516737E"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Bigastro</w:t>
            </w:r>
          </w:p>
        </w:tc>
        <w:tc>
          <w:tcPr>
            <w:tcW w:w="1984" w:type="dxa"/>
            <w:vAlign w:val="bottom"/>
          </w:tcPr>
          <w:p w14:paraId="59597C2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2.011 €</w:t>
            </w:r>
          </w:p>
        </w:tc>
        <w:tc>
          <w:tcPr>
            <w:tcW w:w="1560" w:type="dxa"/>
            <w:vAlign w:val="bottom"/>
          </w:tcPr>
          <w:p w14:paraId="58FD5DD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-0,8%</w:t>
            </w:r>
          </w:p>
        </w:tc>
        <w:tc>
          <w:tcPr>
            <w:tcW w:w="1701" w:type="dxa"/>
            <w:vAlign w:val="bottom"/>
          </w:tcPr>
          <w:p w14:paraId="0B05708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92,9%</w:t>
            </w:r>
          </w:p>
        </w:tc>
      </w:tr>
      <w:tr w:rsidR="006B2717" w14:paraId="7008A273"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60CC22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 Coruña</w:t>
            </w:r>
          </w:p>
        </w:tc>
        <w:tc>
          <w:tcPr>
            <w:tcW w:w="1985" w:type="dxa"/>
            <w:vAlign w:val="bottom"/>
          </w:tcPr>
          <w:p w14:paraId="2280B267"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Narón</w:t>
            </w:r>
          </w:p>
        </w:tc>
        <w:tc>
          <w:tcPr>
            <w:tcW w:w="1984" w:type="dxa"/>
            <w:vAlign w:val="bottom"/>
          </w:tcPr>
          <w:p w14:paraId="3E48CC4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1.692 €</w:t>
            </w:r>
          </w:p>
        </w:tc>
        <w:tc>
          <w:tcPr>
            <w:tcW w:w="1560" w:type="dxa"/>
            <w:vAlign w:val="bottom"/>
          </w:tcPr>
          <w:p w14:paraId="09D23FE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-0,2%</w:t>
            </w:r>
          </w:p>
        </w:tc>
        <w:tc>
          <w:tcPr>
            <w:tcW w:w="1701" w:type="dxa"/>
            <w:vAlign w:val="bottom"/>
          </w:tcPr>
          <w:p w14:paraId="61EA2E8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62,5%</w:t>
            </w:r>
          </w:p>
        </w:tc>
      </w:tr>
      <w:tr w:rsidR="006B2717" w14:paraId="2FAEABEE"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64CFDB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1985" w:type="dxa"/>
            <w:vAlign w:val="bottom"/>
          </w:tcPr>
          <w:p w14:paraId="22ADB9D6"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 Fe</w:t>
            </w:r>
          </w:p>
        </w:tc>
        <w:tc>
          <w:tcPr>
            <w:tcW w:w="1984" w:type="dxa"/>
            <w:vAlign w:val="bottom"/>
          </w:tcPr>
          <w:p w14:paraId="7DBEF93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1.789 €</w:t>
            </w:r>
          </w:p>
        </w:tc>
        <w:tc>
          <w:tcPr>
            <w:tcW w:w="1560" w:type="dxa"/>
            <w:vAlign w:val="bottom"/>
          </w:tcPr>
          <w:p w14:paraId="226CA9B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-0,7%</w:t>
            </w:r>
          </w:p>
        </w:tc>
        <w:tc>
          <w:tcPr>
            <w:tcW w:w="1701" w:type="dxa"/>
            <w:vAlign w:val="bottom"/>
          </w:tcPr>
          <w:p w14:paraId="3DB6FA5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54,9%</w:t>
            </w:r>
          </w:p>
        </w:tc>
      </w:tr>
      <w:tr w:rsidR="006B2717" w14:paraId="543E0CC3"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B06988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5" w:type="dxa"/>
            <w:vAlign w:val="bottom"/>
          </w:tcPr>
          <w:p w14:paraId="2715A545"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Cubelles</w:t>
            </w:r>
          </w:p>
        </w:tc>
        <w:tc>
          <w:tcPr>
            <w:tcW w:w="1984" w:type="dxa"/>
            <w:vAlign w:val="bottom"/>
          </w:tcPr>
          <w:p w14:paraId="04720D1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4.424 €</w:t>
            </w:r>
          </w:p>
        </w:tc>
        <w:tc>
          <w:tcPr>
            <w:tcW w:w="1560" w:type="dxa"/>
            <w:vAlign w:val="bottom"/>
          </w:tcPr>
          <w:p w14:paraId="266C76E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8,4%</w:t>
            </w:r>
          </w:p>
        </w:tc>
        <w:tc>
          <w:tcPr>
            <w:tcW w:w="1701" w:type="dxa"/>
            <w:vAlign w:val="bottom"/>
          </w:tcPr>
          <w:p w14:paraId="2A1A766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51,2%</w:t>
            </w:r>
          </w:p>
        </w:tc>
      </w:tr>
      <w:tr w:rsidR="006B2717" w14:paraId="384296CB"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B7C748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Barcelona</w:t>
            </w:r>
          </w:p>
        </w:tc>
        <w:tc>
          <w:tcPr>
            <w:tcW w:w="1985" w:type="dxa"/>
            <w:vAlign w:val="bottom"/>
          </w:tcPr>
          <w:p w14:paraId="208F10CC"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Igualada</w:t>
            </w:r>
          </w:p>
        </w:tc>
        <w:tc>
          <w:tcPr>
            <w:tcW w:w="1984" w:type="dxa"/>
            <w:vAlign w:val="bottom"/>
          </w:tcPr>
          <w:p w14:paraId="2B842CF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2.624 €</w:t>
            </w:r>
          </w:p>
        </w:tc>
        <w:tc>
          <w:tcPr>
            <w:tcW w:w="1560" w:type="dxa"/>
            <w:vAlign w:val="bottom"/>
          </w:tcPr>
          <w:p w14:paraId="08BDC4D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11,3%</w:t>
            </w:r>
          </w:p>
        </w:tc>
        <w:tc>
          <w:tcPr>
            <w:tcW w:w="1701" w:type="dxa"/>
            <w:vAlign w:val="bottom"/>
          </w:tcPr>
          <w:p w14:paraId="73344B8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44,1%</w:t>
            </w:r>
          </w:p>
        </w:tc>
      </w:tr>
      <w:tr w:rsidR="006B2717" w14:paraId="18DF8378"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D9FC34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1985" w:type="dxa"/>
            <w:vAlign w:val="bottom"/>
          </w:tcPr>
          <w:p w14:paraId="2513A3AF"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Motril</w:t>
            </w:r>
          </w:p>
        </w:tc>
        <w:tc>
          <w:tcPr>
            <w:tcW w:w="1984" w:type="dxa"/>
            <w:vAlign w:val="bottom"/>
          </w:tcPr>
          <w:p w14:paraId="7D7B343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2.577 €</w:t>
            </w:r>
          </w:p>
        </w:tc>
        <w:tc>
          <w:tcPr>
            <w:tcW w:w="1560" w:type="dxa"/>
            <w:vAlign w:val="bottom"/>
          </w:tcPr>
          <w:p w14:paraId="7A8FBC7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-0,9%</w:t>
            </w:r>
          </w:p>
        </w:tc>
        <w:tc>
          <w:tcPr>
            <w:tcW w:w="1701" w:type="dxa"/>
            <w:vAlign w:val="bottom"/>
          </w:tcPr>
          <w:p w14:paraId="773DCC9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42,3%</w:t>
            </w:r>
          </w:p>
        </w:tc>
      </w:tr>
      <w:tr w:rsidR="006B2717" w14:paraId="27048A9F"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1C363B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Pontevedra</w:t>
            </w:r>
          </w:p>
        </w:tc>
        <w:tc>
          <w:tcPr>
            <w:tcW w:w="1985" w:type="dxa"/>
            <w:vAlign w:val="bottom"/>
          </w:tcPr>
          <w:p w14:paraId="4FD63EFF"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Vilagarcía de Arousa</w:t>
            </w:r>
          </w:p>
        </w:tc>
        <w:tc>
          <w:tcPr>
            <w:tcW w:w="1984" w:type="dxa"/>
            <w:vAlign w:val="bottom"/>
          </w:tcPr>
          <w:p w14:paraId="693BA7B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2.385 €</w:t>
            </w:r>
          </w:p>
        </w:tc>
        <w:tc>
          <w:tcPr>
            <w:tcW w:w="1560" w:type="dxa"/>
            <w:vAlign w:val="bottom"/>
          </w:tcPr>
          <w:p w14:paraId="309DBA4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7,9%</w:t>
            </w:r>
          </w:p>
        </w:tc>
        <w:tc>
          <w:tcPr>
            <w:tcW w:w="1701" w:type="dxa"/>
            <w:vAlign w:val="bottom"/>
          </w:tcPr>
          <w:p w14:paraId="2DFEE78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41,8%</w:t>
            </w:r>
          </w:p>
        </w:tc>
      </w:tr>
      <w:tr w:rsidR="006B2717" w14:paraId="25C6F398"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446BD2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Girona</w:t>
            </w:r>
          </w:p>
        </w:tc>
        <w:tc>
          <w:tcPr>
            <w:tcW w:w="1985" w:type="dxa"/>
            <w:vAlign w:val="bottom"/>
          </w:tcPr>
          <w:p w14:paraId="58D3F86E"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Llançà</w:t>
            </w:r>
          </w:p>
        </w:tc>
        <w:tc>
          <w:tcPr>
            <w:tcW w:w="1984" w:type="dxa"/>
            <w:vAlign w:val="bottom"/>
          </w:tcPr>
          <w:p w14:paraId="56EE7DA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3.392 €</w:t>
            </w:r>
          </w:p>
        </w:tc>
        <w:tc>
          <w:tcPr>
            <w:tcW w:w="1560" w:type="dxa"/>
            <w:vAlign w:val="bottom"/>
          </w:tcPr>
          <w:p w14:paraId="165887B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6,1%</w:t>
            </w:r>
          </w:p>
        </w:tc>
        <w:tc>
          <w:tcPr>
            <w:tcW w:w="1701" w:type="dxa"/>
            <w:vAlign w:val="bottom"/>
          </w:tcPr>
          <w:p w14:paraId="5D5BCCA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41,5%</w:t>
            </w:r>
          </w:p>
        </w:tc>
      </w:tr>
      <w:tr w:rsidR="006B2717" w14:paraId="1A4FFEA3"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C7BC84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Alicante</w:t>
            </w:r>
          </w:p>
        </w:tc>
        <w:tc>
          <w:tcPr>
            <w:tcW w:w="1985" w:type="dxa"/>
            <w:vAlign w:val="bottom"/>
          </w:tcPr>
          <w:p w14:paraId="13BF8FF5"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roofErr w:type="spellStart"/>
            <w:r>
              <w:rPr>
                <w:rFonts w:ascii="Open Sans" w:eastAsia="Open Sans" w:hAnsi="Open Sans" w:cs="Open Sans"/>
                <w:sz w:val="22"/>
                <w:szCs w:val="22"/>
              </w:rPr>
              <w:t>Benitachell</w:t>
            </w:r>
            <w:proofErr w:type="spellEnd"/>
            <w:r>
              <w:rPr>
                <w:rFonts w:ascii="Open Sans" w:eastAsia="Open Sans" w:hAnsi="Open Sans" w:cs="Open Sans"/>
                <w:sz w:val="22"/>
                <w:szCs w:val="22"/>
              </w:rPr>
              <w:t xml:space="preserve"> / El Poble Nou de </w:t>
            </w:r>
            <w:proofErr w:type="spellStart"/>
            <w:r>
              <w:rPr>
                <w:rFonts w:ascii="Open Sans" w:eastAsia="Open Sans" w:hAnsi="Open Sans" w:cs="Open Sans"/>
                <w:sz w:val="22"/>
                <w:szCs w:val="22"/>
              </w:rPr>
              <w:t>Benitatxell</w:t>
            </w:r>
            <w:proofErr w:type="spellEnd"/>
          </w:p>
        </w:tc>
        <w:tc>
          <w:tcPr>
            <w:tcW w:w="1984" w:type="dxa"/>
            <w:vAlign w:val="bottom"/>
          </w:tcPr>
          <w:p w14:paraId="3702720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3.937 €</w:t>
            </w:r>
          </w:p>
        </w:tc>
        <w:tc>
          <w:tcPr>
            <w:tcW w:w="1560" w:type="dxa"/>
            <w:vAlign w:val="bottom"/>
          </w:tcPr>
          <w:p w14:paraId="73DCA5EB" w14:textId="77777777" w:rsidR="006B2717" w:rsidRDefault="006B2717">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p>
        </w:tc>
        <w:tc>
          <w:tcPr>
            <w:tcW w:w="1701" w:type="dxa"/>
            <w:vAlign w:val="bottom"/>
          </w:tcPr>
          <w:p w14:paraId="72D6177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41,5%</w:t>
            </w:r>
          </w:p>
        </w:tc>
      </w:tr>
    </w:tbl>
    <w:p w14:paraId="09E8802B" w14:textId="77777777" w:rsidR="006B2717" w:rsidRDefault="00000000">
      <w:pPr>
        <w:pBdr>
          <w:top w:val="nil"/>
          <w:left w:val="nil"/>
          <w:bottom w:val="nil"/>
          <w:right w:val="nil"/>
          <w:between w:val="nil"/>
        </w:pBdr>
        <w:spacing w:before="280" w:after="280" w:line="276" w:lineRule="auto"/>
        <w:jc w:val="both"/>
        <w:rPr>
          <w:rFonts w:ascii="Open Sans" w:eastAsia="Open Sans" w:hAnsi="Open Sans" w:cs="Open Sans"/>
          <w:color w:val="000000"/>
        </w:rPr>
      </w:pPr>
      <w:r>
        <w:rPr>
          <w:rFonts w:ascii="Open Sans Light" w:eastAsia="Open Sans Light" w:hAnsi="Open Sans Light" w:cs="Open Sans Light"/>
          <w:b/>
          <w:bCs/>
          <w:color w:val="303AB2"/>
          <w:sz w:val="28"/>
          <w:szCs w:val="28"/>
        </w:rPr>
        <w:t>Municipios con mayor descenso interanual</w:t>
      </w:r>
    </w:p>
    <w:tbl>
      <w:tblPr>
        <w:tblStyle w:val="a3"/>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2009"/>
        <w:gridCol w:w="1973"/>
        <w:gridCol w:w="1554"/>
        <w:gridCol w:w="1694"/>
      </w:tblGrid>
      <w:tr w:rsidR="006B2717" w14:paraId="4402E2C8" w14:textId="77777777" w:rsidTr="006B2717">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789BA0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2009" w:type="dxa"/>
            <w:vAlign w:val="center"/>
          </w:tcPr>
          <w:p w14:paraId="39B17DAC" w14:textId="77777777" w:rsidR="006B2717"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973" w:type="dxa"/>
            <w:vAlign w:val="center"/>
          </w:tcPr>
          <w:p w14:paraId="692F09FF"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4C9F65A9"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554" w:type="dxa"/>
            <w:vAlign w:val="center"/>
          </w:tcPr>
          <w:p w14:paraId="1A0BDF0F"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694" w:type="dxa"/>
            <w:vAlign w:val="center"/>
          </w:tcPr>
          <w:p w14:paraId="5479140C"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6B2717" w14:paraId="542471D3"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DC2E50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Huelva</w:t>
            </w:r>
          </w:p>
        </w:tc>
        <w:tc>
          <w:tcPr>
            <w:tcW w:w="2009" w:type="dxa"/>
            <w:vAlign w:val="bottom"/>
          </w:tcPr>
          <w:p w14:paraId="78D822BD"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Ayamonte</w:t>
            </w:r>
          </w:p>
        </w:tc>
        <w:tc>
          <w:tcPr>
            <w:tcW w:w="1973" w:type="dxa"/>
            <w:vAlign w:val="bottom"/>
          </w:tcPr>
          <w:p w14:paraId="16B9A28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2.277 €</w:t>
            </w:r>
          </w:p>
        </w:tc>
        <w:tc>
          <w:tcPr>
            <w:tcW w:w="1554" w:type="dxa"/>
            <w:vAlign w:val="bottom"/>
          </w:tcPr>
          <w:p w14:paraId="6A9CBDE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4,8%</w:t>
            </w:r>
          </w:p>
        </w:tc>
        <w:tc>
          <w:tcPr>
            <w:tcW w:w="1694" w:type="dxa"/>
            <w:vAlign w:val="bottom"/>
          </w:tcPr>
          <w:p w14:paraId="1A2D3A5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-15,3%</w:t>
            </w:r>
          </w:p>
        </w:tc>
      </w:tr>
      <w:tr w:rsidR="006B2717" w14:paraId="118AA0C8"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52F916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2009" w:type="dxa"/>
            <w:vAlign w:val="bottom"/>
          </w:tcPr>
          <w:p w14:paraId="5CEA0FE2"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Armilla</w:t>
            </w:r>
          </w:p>
        </w:tc>
        <w:tc>
          <w:tcPr>
            <w:tcW w:w="1973" w:type="dxa"/>
            <w:vAlign w:val="bottom"/>
          </w:tcPr>
          <w:p w14:paraId="1A70276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2.541 €</w:t>
            </w:r>
          </w:p>
        </w:tc>
        <w:tc>
          <w:tcPr>
            <w:tcW w:w="1554" w:type="dxa"/>
            <w:vAlign w:val="bottom"/>
          </w:tcPr>
          <w:p w14:paraId="5BA5174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-1,2%</w:t>
            </w:r>
          </w:p>
        </w:tc>
        <w:tc>
          <w:tcPr>
            <w:tcW w:w="1694" w:type="dxa"/>
            <w:vAlign w:val="bottom"/>
          </w:tcPr>
          <w:p w14:paraId="677BC03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-11,1%</w:t>
            </w:r>
          </w:p>
        </w:tc>
      </w:tr>
      <w:tr w:rsidR="006B2717" w14:paraId="5122DA02" w14:textId="77777777" w:rsidTr="006B271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E46CA1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009" w:type="dxa"/>
            <w:vAlign w:val="bottom"/>
          </w:tcPr>
          <w:p w14:paraId="4CC46984"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Oliva</w:t>
            </w:r>
          </w:p>
        </w:tc>
        <w:tc>
          <w:tcPr>
            <w:tcW w:w="1973" w:type="dxa"/>
            <w:vAlign w:val="bottom"/>
          </w:tcPr>
          <w:p w14:paraId="2610C28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sz w:val="22"/>
                <w:szCs w:val="22"/>
              </w:rPr>
              <w:t>1.734 €</w:t>
            </w:r>
          </w:p>
        </w:tc>
        <w:tc>
          <w:tcPr>
            <w:tcW w:w="1554" w:type="dxa"/>
            <w:vAlign w:val="bottom"/>
          </w:tcPr>
          <w:p w14:paraId="6C0352C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-1,6%</w:t>
            </w:r>
          </w:p>
        </w:tc>
        <w:tc>
          <w:tcPr>
            <w:tcW w:w="1694" w:type="dxa"/>
            <w:vAlign w:val="bottom"/>
          </w:tcPr>
          <w:p w14:paraId="568BED7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-11,0%</w:t>
            </w:r>
          </w:p>
        </w:tc>
      </w:tr>
      <w:tr w:rsidR="006B2717" w14:paraId="146066B4"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112536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009" w:type="dxa"/>
            <w:vAlign w:val="bottom"/>
          </w:tcPr>
          <w:p w14:paraId="77162D45"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 Coloma de Gramenet</w:t>
            </w:r>
          </w:p>
        </w:tc>
        <w:tc>
          <w:tcPr>
            <w:tcW w:w="1973" w:type="dxa"/>
            <w:vAlign w:val="bottom"/>
          </w:tcPr>
          <w:p w14:paraId="28D3994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2.423 €</w:t>
            </w:r>
          </w:p>
        </w:tc>
        <w:tc>
          <w:tcPr>
            <w:tcW w:w="1554" w:type="dxa"/>
            <w:vAlign w:val="bottom"/>
          </w:tcPr>
          <w:p w14:paraId="58ABA07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2,1%</w:t>
            </w:r>
          </w:p>
        </w:tc>
        <w:tc>
          <w:tcPr>
            <w:tcW w:w="1694" w:type="dxa"/>
            <w:vAlign w:val="bottom"/>
          </w:tcPr>
          <w:p w14:paraId="4B36E79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-8,7%</w:t>
            </w:r>
          </w:p>
        </w:tc>
      </w:tr>
      <w:tr w:rsidR="006B2717" w14:paraId="7145286A"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150B3BF"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Valencia</w:t>
            </w:r>
          </w:p>
        </w:tc>
        <w:tc>
          <w:tcPr>
            <w:tcW w:w="2009" w:type="dxa"/>
            <w:vAlign w:val="bottom"/>
          </w:tcPr>
          <w:p w14:paraId="200C949C"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Catarroja</w:t>
            </w:r>
          </w:p>
        </w:tc>
        <w:tc>
          <w:tcPr>
            <w:tcW w:w="1973" w:type="dxa"/>
            <w:vAlign w:val="bottom"/>
          </w:tcPr>
          <w:p w14:paraId="1DADDF9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1.604 €</w:t>
            </w:r>
          </w:p>
        </w:tc>
        <w:tc>
          <w:tcPr>
            <w:tcW w:w="1554" w:type="dxa"/>
            <w:vAlign w:val="bottom"/>
          </w:tcPr>
          <w:p w14:paraId="32668EAD" w14:textId="77777777" w:rsidR="006B2717" w:rsidRDefault="006B2717">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p>
        </w:tc>
        <w:tc>
          <w:tcPr>
            <w:tcW w:w="1694" w:type="dxa"/>
            <w:vAlign w:val="bottom"/>
          </w:tcPr>
          <w:p w14:paraId="237C43E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-7,9%</w:t>
            </w:r>
          </w:p>
        </w:tc>
      </w:tr>
      <w:tr w:rsidR="006B2717" w14:paraId="2BBE10FB"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52C594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2009" w:type="dxa"/>
            <w:vAlign w:val="bottom"/>
          </w:tcPr>
          <w:p w14:paraId="1168D813"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Campos</w:t>
            </w:r>
          </w:p>
        </w:tc>
        <w:tc>
          <w:tcPr>
            <w:tcW w:w="1973" w:type="dxa"/>
            <w:vAlign w:val="bottom"/>
          </w:tcPr>
          <w:p w14:paraId="7E3612F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6.803 €</w:t>
            </w:r>
          </w:p>
        </w:tc>
        <w:tc>
          <w:tcPr>
            <w:tcW w:w="1554" w:type="dxa"/>
            <w:vAlign w:val="bottom"/>
          </w:tcPr>
          <w:p w14:paraId="7B8355B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0,7%</w:t>
            </w:r>
          </w:p>
        </w:tc>
        <w:tc>
          <w:tcPr>
            <w:tcW w:w="1694" w:type="dxa"/>
            <w:vAlign w:val="bottom"/>
          </w:tcPr>
          <w:p w14:paraId="787B42C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-4,1%</w:t>
            </w:r>
          </w:p>
        </w:tc>
      </w:tr>
      <w:tr w:rsidR="006B2717" w14:paraId="51FA80BA"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59E3FA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009" w:type="dxa"/>
            <w:vAlign w:val="bottom"/>
          </w:tcPr>
          <w:p w14:paraId="12FDCF87"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 xml:space="preserve">Santa </w:t>
            </w:r>
            <w:proofErr w:type="spellStart"/>
            <w:r>
              <w:rPr>
                <w:rFonts w:ascii="Open Sans" w:eastAsia="Open Sans" w:hAnsi="Open Sans" w:cs="Open Sans"/>
                <w:sz w:val="22"/>
                <w:szCs w:val="22"/>
              </w:rPr>
              <w:t>Perpètua</w:t>
            </w:r>
            <w:proofErr w:type="spellEnd"/>
            <w:r>
              <w:rPr>
                <w:rFonts w:ascii="Open Sans" w:eastAsia="Open Sans" w:hAnsi="Open Sans" w:cs="Open Sans"/>
                <w:sz w:val="22"/>
                <w:szCs w:val="22"/>
              </w:rPr>
              <w:t xml:space="preserve"> de Mogoda</w:t>
            </w:r>
          </w:p>
        </w:tc>
        <w:tc>
          <w:tcPr>
            <w:tcW w:w="1973" w:type="dxa"/>
            <w:vAlign w:val="bottom"/>
          </w:tcPr>
          <w:p w14:paraId="2E0F354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2.175 €</w:t>
            </w:r>
          </w:p>
        </w:tc>
        <w:tc>
          <w:tcPr>
            <w:tcW w:w="1554" w:type="dxa"/>
            <w:vAlign w:val="bottom"/>
          </w:tcPr>
          <w:p w14:paraId="187C9AD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-1,3%</w:t>
            </w:r>
          </w:p>
        </w:tc>
        <w:tc>
          <w:tcPr>
            <w:tcW w:w="1694" w:type="dxa"/>
            <w:vAlign w:val="bottom"/>
          </w:tcPr>
          <w:p w14:paraId="7F4D426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-3,9%</w:t>
            </w:r>
          </w:p>
        </w:tc>
      </w:tr>
      <w:tr w:rsidR="006B2717" w14:paraId="538A8820"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22948B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2009" w:type="dxa"/>
            <w:vAlign w:val="bottom"/>
          </w:tcPr>
          <w:p w14:paraId="54D6A86F"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Mengíbar</w:t>
            </w:r>
          </w:p>
        </w:tc>
        <w:tc>
          <w:tcPr>
            <w:tcW w:w="1973" w:type="dxa"/>
            <w:vAlign w:val="bottom"/>
          </w:tcPr>
          <w:p w14:paraId="4A08870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739 €</w:t>
            </w:r>
          </w:p>
        </w:tc>
        <w:tc>
          <w:tcPr>
            <w:tcW w:w="1554" w:type="dxa"/>
            <w:vAlign w:val="bottom"/>
          </w:tcPr>
          <w:p w14:paraId="44304C04" w14:textId="77777777" w:rsidR="006B2717" w:rsidRDefault="006B2717">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p>
        </w:tc>
        <w:tc>
          <w:tcPr>
            <w:tcW w:w="1694" w:type="dxa"/>
            <w:vAlign w:val="bottom"/>
          </w:tcPr>
          <w:p w14:paraId="0BE10BB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-3,8%</w:t>
            </w:r>
          </w:p>
        </w:tc>
      </w:tr>
      <w:tr w:rsidR="006B2717" w14:paraId="5CAE274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0495130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Tarragona</w:t>
            </w:r>
          </w:p>
        </w:tc>
        <w:tc>
          <w:tcPr>
            <w:tcW w:w="2009" w:type="dxa"/>
            <w:vAlign w:val="bottom"/>
          </w:tcPr>
          <w:p w14:paraId="66071655"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Mont-</w:t>
            </w:r>
            <w:proofErr w:type="spellStart"/>
            <w:r>
              <w:rPr>
                <w:rFonts w:ascii="Open Sans" w:eastAsia="Open Sans" w:hAnsi="Open Sans" w:cs="Open Sans"/>
                <w:sz w:val="22"/>
                <w:szCs w:val="22"/>
              </w:rPr>
              <w:t>roig</w:t>
            </w:r>
            <w:proofErr w:type="spellEnd"/>
            <w:r>
              <w:rPr>
                <w:rFonts w:ascii="Open Sans" w:eastAsia="Open Sans" w:hAnsi="Open Sans" w:cs="Open Sans"/>
                <w:sz w:val="22"/>
                <w:szCs w:val="22"/>
              </w:rPr>
              <w:t xml:space="preserve"> del Camp</w:t>
            </w:r>
          </w:p>
        </w:tc>
        <w:tc>
          <w:tcPr>
            <w:tcW w:w="1973" w:type="dxa"/>
            <w:vAlign w:val="bottom"/>
          </w:tcPr>
          <w:p w14:paraId="38F0963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2.191 €</w:t>
            </w:r>
          </w:p>
        </w:tc>
        <w:tc>
          <w:tcPr>
            <w:tcW w:w="1554" w:type="dxa"/>
            <w:vAlign w:val="bottom"/>
          </w:tcPr>
          <w:p w14:paraId="00BFA5E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3,9%</w:t>
            </w:r>
          </w:p>
        </w:tc>
        <w:tc>
          <w:tcPr>
            <w:tcW w:w="1694" w:type="dxa"/>
            <w:vAlign w:val="bottom"/>
          </w:tcPr>
          <w:p w14:paraId="534D6F2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9C0006"/>
                <w:sz w:val="22"/>
                <w:szCs w:val="22"/>
              </w:rPr>
              <w:t>-3,8%</w:t>
            </w:r>
          </w:p>
        </w:tc>
      </w:tr>
      <w:tr w:rsidR="006B2717" w14:paraId="4C1628B6"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0249FC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2009" w:type="dxa"/>
            <w:vAlign w:val="bottom"/>
          </w:tcPr>
          <w:p w14:paraId="3811C9B1"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Mollet del Vallès</w:t>
            </w:r>
          </w:p>
        </w:tc>
        <w:tc>
          <w:tcPr>
            <w:tcW w:w="1973" w:type="dxa"/>
            <w:vAlign w:val="bottom"/>
          </w:tcPr>
          <w:p w14:paraId="1D735A9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sz w:val="22"/>
                <w:szCs w:val="22"/>
              </w:rPr>
              <w:t>2.228 €</w:t>
            </w:r>
          </w:p>
        </w:tc>
        <w:tc>
          <w:tcPr>
            <w:tcW w:w="1554" w:type="dxa"/>
            <w:vAlign w:val="bottom"/>
          </w:tcPr>
          <w:p w14:paraId="6D6699F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-0,6%</w:t>
            </w:r>
          </w:p>
        </w:tc>
        <w:tc>
          <w:tcPr>
            <w:tcW w:w="1694" w:type="dxa"/>
            <w:vAlign w:val="bottom"/>
          </w:tcPr>
          <w:p w14:paraId="142E378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-3,6%</w:t>
            </w:r>
          </w:p>
        </w:tc>
      </w:tr>
    </w:tbl>
    <w:p w14:paraId="0924BE10" w14:textId="77777777" w:rsidR="006B2717" w:rsidRDefault="00000000">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 xml:space="preserve">Municipios con mayor precio </w:t>
      </w:r>
    </w:p>
    <w:tbl>
      <w:tblPr>
        <w:tblStyle w:val="a4"/>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1985"/>
        <w:gridCol w:w="1843"/>
        <w:gridCol w:w="1701"/>
        <w:gridCol w:w="1701"/>
      </w:tblGrid>
      <w:tr w:rsidR="006B2717" w14:paraId="2059B3B1" w14:textId="77777777" w:rsidTr="006B2717">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19C2D8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5" w:type="dxa"/>
            <w:vAlign w:val="center"/>
          </w:tcPr>
          <w:p w14:paraId="3F8B52FC" w14:textId="77777777" w:rsidR="006B2717"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843" w:type="dxa"/>
            <w:vAlign w:val="center"/>
          </w:tcPr>
          <w:p w14:paraId="5EFB5733"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6B4D2E92"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701" w:type="dxa"/>
            <w:vAlign w:val="center"/>
          </w:tcPr>
          <w:p w14:paraId="0B00783A"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2C10ECD0"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6B2717" w14:paraId="42B188E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C4F55C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5" w:type="dxa"/>
            <w:vAlign w:val="bottom"/>
          </w:tcPr>
          <w:p w14:paraId="7A99BFC0"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Santa Eulària des Riu</w:t>
            </w:r>
          </w:p>
        </w:tc>
        <w:tc>
          <w:tcPr>
            <w:tcW w:w="1843" w:type="dxa"/>
            <w:vAlign w:val="bottom"/>
          </w:tcPr>
          <w:p w14:paraId="775E258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8.494 €</w:t>
            </w:r>
          </w:p>
        </w:tc>
        <w:tc>
          <w:tcPr>
            <w:tcW w:w="1701" w:type="dxa"/>
            <w:vAlign w:val="bottom"/>
          </w:tcPr>
          <w:p w14:paraId="71D1B05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0,0%</w:t>
            </w:r>
          </w:p>
        </w:tc>
        <w:tc>
          <w:tcPr>
            <w:tcW w:w="1701" w:type="dxa"/>
            <w:vAlign w:val="bottom"/>
          </w:tcPr>
          <w:p w14:paraId="1466B16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-0,3%</w:t>
            </w:r>
          </w:p>
        </w:tc>
      </w:tr>
      <w:tr w:rsidR="006B2717" w14:paraId="19E7C8D3"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FDCD0E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5" w:type="dxa"/>
            <w:vAlign w:val="bottom"/>
          </w:tcPr>
          <w:p w14:paraId="45469AA9"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 Antoni de Portmany</w:t>
            </w:r>
          </w:p>
        </w:tc>
        <w:tc>
          <w:tcPr>
            <w:tcW w:w="1843" w:type="dxa"/>
            <w:vAlign w:val="bottom"/>
          </w:tcPr>
          <w:p w14:paraId="40A82B7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8.266 €</w:t>
            </w:r>
          </w:p>
        </w:tc>
        <w:tc>
          <w:tcPr>
            <w:tcW w:w="1701" w:type="dxa"/>
            <w:vAlign w:val="bottom"/>
          </w:tcPr>
          <w:p w14:paraId="0E979D6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-0,2%</w:t>
            </w:r>
          </w:p>
        </w:tc>
        <w:tc>
          <w:tcPr>
            <w:tcW w:w="1701" w:type="dxa"/>
            <w:vAlign w:val="bottom"/>
          </w:tcPr>
          <w:p w14:paraId="697DCB2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21,2%</w:t>
            </w:r>
          </w:p>
        </w:tc>
      </w:tr>
      <w:tr w:rsidR="006B2717" w14:paraId="0B94B6AC"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C1013D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5" w:type="dxa"/>
            <w:vAlign w:val="bottom"/>
          </w:tcPr>
          <w:p w14:paraId="3FD5894D"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Eivissa</w:t>
            </w:r>
          </w:p>
        </w:tc>
        <w:tc>
          <w:tcPr>
            <w:tcW w:w="1843" w:type="dxa"/>
            <w:vAlign w:val="bottom"/>
          </w:tcPr>
          <w:p w14:paraId="7E012E5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7.351 €</w:t>
            </w:r>
          </w:p>
        </w:tc>
        <w:tc>
          <w:tcPr>
            <w:tcW w:w="1701" w:type="dxa"/>
            <w:vAlign w:val="bottom"/>
          </w:tcPr>
          <w:p w14:paraId="0E5C3BA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-1,2%</w:t>
            </w:r>
          </w:p>
        </w:tc>
        <w:tc>
          <w:tcPr>
            <w:tcW w:w="1701" w:type="dxa"/>
            <w:vAlign w:val="bottom"/>
          </w:tcPr>
          <w:p w14:paraId="0369C41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0,9%</w:t>
            </w:r>
          </w:p>
        </w:tc>
      </w:tr>
      <w:tr w:rsidR="006B2717" w14:paraId="6F699D3B"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33091D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5" w:type="dxa"/>
            <w:vAlign w:val="bottom"/>
          </w:tcPr>
          <w:p w14:paraId="5956D4A4"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Calvià</w:t>
            </w:r>
          </w:p>
        </w:tc>
        <w:tc>
          <w:tcPr>
            <w:tcW w:w="1843" w:type="dxa"/>
            <w:vAlign w:val="bottom"/>
          </w:tcPr>
          <w:p w14:paraId="73288FF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7.260 €</w:t>
            </w:r>
          </w:p>
        </w:tc>
        <w:tc>
          <w:tcPr>
            <w:tcW w:w="1701" w:type="dxa"/>
            <w:vAlign w:val="bottom"/>
          </w:tcPr>
          <w:p w14:paraId="7628B2C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-1,1%</w:t>
            </w:r>
          </w:p>
        </w:tc>
        <w:tc>
          <w:tcPr>
            <w:tcW w:w="1701" w:type="dxa"/>
            <w:vAlign w:val="bottom"/>
          </w:tcPr>
          <w:p w14:paraId="125F5C6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13,0%</w:t>
            </w:r>
          </w:p>
        </w:tc>
      </w:tr>
      <w:tr w:rsidR="006B2717" w14:paraId="73D1E8A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1C1E64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Gipuzkoa</w:t>
            </w:r>
          </w:p>
        </w:tc>
        <w:tc>
          <w:tcPr>
            <w:tcW w:w="1985" w:type="dxa"/>
            <w:vAlign w:val="bottom"/>
          </w:tcPr>
          <w:p w14:paraId="46AB3556"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Donostia - San Sebastián</w:t>
            </w:r>
          </w:p>
        </w:tc>
        <w:tc>
          <w:tcPr>
            <w:tcW w:w="1843" w:type="dxa"/>
            <w:vAlign w:val="bottom"/>
          </w:tcPr>
          <w:p w14:paraId="312A096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7.120 €</w:t>
            </w:r>
          </w:p>
        </w:tc>
        <w:tc>
          <w:tcPr>
            <w:tcW w:w="1701" w:type="dxa"/>
            <w:vAlign w:val="bottom"/>
          </w:tcPr>
          <w:p w14:paraId="34B749C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-0,5%</w:t>
            </w:r>
          </w:p>
        </w:tc>
        <w:tc>
          <w:tcPr>
            <w:tcW w:w="1701" w:type="dxa"/>
            <w:vAlign w:val="bottom"/>
          </w:tcPr>
          <w:p w14:paraId="769601D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3,6%</w:t>
            </w:r>
          </w:p>
        </w:tc>
      </w:tr>
      <w:tr w:rsidR="006B2717" w14:paraId="185C66ED"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6D639A2"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Illes Balears</w:t>
            </w:r>
          </w:p>
        </w:tc>
        <w:tc>
          <w:tcPr>
            <w:tcW w:w="1985" w:type="dxa"/>
            <w:vAlign w:val="bottom"/>
          </w:tcPr>
          <w:p w14:paraId="736DF143"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Campos</w:t>
            </w:r>
          </w:p>
        </w:tc>
        <w:tc>
          <w:tcPr>
            <w:tcW w:w="1843" w:type="dxa"/>
            <w:vAlign w:val="bottom"/>
          </w:tcPr>
          <w:p w14:paraId="5BCD896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6.803 €</w:t>
            </w:r>
          </w:p>
        </w:tc>
        <w:tc>
          <w:tcPr>
            <w:tcW w:w="1701" w:type="dxa"/>
            <w:vAlign w:val="bottom"/>
          </w:tcPr>
          <w:p w14:paraId="771C39C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0,7%</w:t>
            </w:r>
          </w:p>
        </w:tc>
        <w:tc>
          <w:tcPr>
            <w:tcW w:w="1701" w:type="dxa"/>
            <w:vAlign w:val="bottom"/>
          </w:tcPr>
          <w:p w14:paraId="10E0BA6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-4,1%</w:t>
            </w:r>
          </w:p>
        </w:tc>
      </w:tr>
      <w:tr w:rsidR="006B2717" w14:paraId="5F5231BF"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BE5539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Madrid</w:t>
            </w:r>
          </w:p>
        </w:tc>
        <w:tc>
          <w:tcPr>
            <w:tcW w:w="1985" w:type="dxa"/>
            <w:vAlign w:val="bottom"/>
          </w:tcPr>
          <w:p w14:paraId="17C471E5"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Madrid capital</w:t>
            </w:r>
          </w:p>
        </w:tc>
        <w:tc>
          <w:tcPr>
            <w:tcW w:w="1843" w:type="dxa"/>
            <w:vAlign w:val="bottom"/>
          </w:tcPr>
          <w:p w14:paraId="66520DD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6.624 €</w:t>
            </w:r>
          </w:p>
        </w:tc>
        <w:tc>
          <w:tcPr>
            <w:tcW w:w="1701" w:type="dxa"/>
            <w:vAlign w:val="bottom"/>
          </w:tcPr>
          <w:p w14:paraId="74EA056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-0,1%</w:t>
            </w:r>
          </w:p>
        </w:tc>
        <w:tc>
          <w:tcPr>
            <w:tcW w:w="1701" w:type="dxa"/>
            <w:vAlign w:val="bottom"/>
          </w:tcPr>
          <w:p w14:paraId="50DD92B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9,2%</w:t>
            </w:r>
          </w:p>
        </w:tc>
      </w:tr>
      <w:tr w:rsidR="006B2717" w14:paraId="48F39170"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6F4B603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5" w:type="dxa"/>
            <w:vAlign w:val="bottom"/>
          </w:tcPr>
          <w:p w14:paraId="39B763DE"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Sant Cugat del Vallès</w:t>
            </w:r>
          </w:p>
        </w:tc>
        <w:tc>
          <w:tcPr>
            <w:tcW w:w="1843" w:type="dxa"/>
            <w:vAlign w:val="bottom"/>
          </w:tcPr>
          <w:p w14:paraId="4B7F0A8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6.515 €</w:t>
            </w:r>
          </w:p>
        </w:tc>
        <w:tc>
          <w:tcPr>
            <w:tcW w:w="1701" w:type="dxa"/>
            <w:vAlign w:val="bottom"/>
          </w:tcPr>
          <w:p w14:paraId="63C480F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4,1%</w:t>
            </w:r>
          </w:p>
        </w:tc>
        <w:tc>
          <w:tcPr>
            <w:tcW w:w="1701" w:type="dxa"/>
            <w:vAlign w:val="bottom"/>
          </w:tcPr>
          <w:p w14:paraId="049450F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14,5%</w:t>
            </w:r>
          </w:p>
        </w:tc>
      </w:tr>
      <w:tr w:rsidR="006B2717" w14:paraId="6BB26D4C"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431F50E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Barcelona</w:t>
            </w:r>
          </w:p>
        </w:tc>
        <w:tc>
          <w:tcPr>
            <w:tcW w:w="1985" w:type="dxa"/>
            <w:vAlign w:val="bottom"/>
          </w:tcPr>
          <w:p w14:paraId="236E7D64"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Sitges</w:t>
            </w:r>
          </w:p>
        </w:tc>
        <w:tc>
          <w:tcPr>
            <w:tcW w:w="1843" w:type="dxa"/>
            <w:vAlign w:val="bottom"/>
          </w:tcPr>
          <w:p w14:paraId="60CD1AE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6.438 €</w:t>
            </w:r>
          </w:p>
        </w:tc>
        <w:tc>
          <w:tcPr>
            <w:tcW w:w="1701" w:type="dxa"/>
            <w:vAlign w:val="bottom"/>
          </w:tcPr>
          <w:p w14:paraId="378DE4E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-1,4%</w:t>
            </w:r>
          </w:p>
        </w:tc>
        <w:tc>
          <w:tcPr>
            <w:tcW w:w="1701" w:type="dxa"/>
            <w:vAlign w:val="bottom"/>
          </w:tcPr>
          <w:p w14:paraId="5992B18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14,5%</w:t>
            </w:r>
          </w:p>
        </w:tc>
      </w:tr>
      <w:tr w:rsidR="006B2717" w14:paraId="3502F5F1"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717FF3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Málaga</w:t>
            </w:r>
          </w:p>
        </w:tc>
        <w:tc>
          <w:tcPr>
            <w:tcW w:w="1985" w:type="dxa"/>
            <w:vAlign w:val="bottom"/>
          </w:tcPr>
          <w:p w14:paraId="2EA6852C"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Marbella</w:t>
            </w:r>
          </w:p>
        </w:tc>
        <w:tc>
          <w:tcPr>
            <w:tcW w:w="1843" w:type="dxa"/>
            <w:vAlign w:val="bottom"/>
          </w:tcPr>
          <w:p w14:paraId="454FB88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5.739 €</w:t>
            </w:r>
          </w:p>
        </w:tc>
        <w:tc>
          <w:tcPr>
            <w:tcW w:w="1701" w:type="dxa"/>
            <w:vAlign w:val="bottom"/>
          </w:tcPr>
          <w:p w14:paraId="1E681C0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-0,5%</w:t>
            </w:r>
          </w:p>
        </w:tc>
        <w:tc>
          <w:tcPr>
            <w:tcW w:w="1701" w:type="dxa"/>
            <w:vAlign w:val="bottom"/>
          </w:tcPr>
          <w:p w14:paraId="1B08A08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8,3%</w:t>
            </w:r>
          </w:p>
        </w:tc>
      </w:tr>
    </w:tbl>
    <w:p w14:paraId="4DA20068" w14:textId="77777777" w:rsidR="006B2717" w:rsidRDefault="00000000">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lastRenderedPageBreak/>
        <w:t xml:space="preserve">Municipios con menor precio </w:t>
      </w:r>
    </w:p>
    <w:tbl>
      <w:tblPr>
        <w:tblStyle w:val="a5"/>
        <w:tblW w:w="893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1985"/>
        <w:gridCol w:w="1843"/>
        <w:gridCol w:w="1701"/>
        <w:gridCol w:w="1701"/>
      </w:tblGrid>
      <w:tr w:rsidR="006B2717" w14:paraId="496DB061" w14:textId="77777777" w:rsidTr="006B2717">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AF6782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Provincia</w:t>
            </w:r>
          </w:p>
        </w:tc>
        <w:tc>
          <w:tcPr>
            <w:tcW w:w="1985" w:type="dxa"/>
            <w:vAlign w:val="center"/>
          </w:tcPr>
          <w:p w14:paraId="3C6CA9B1" w14:textId="77777777" w:rsidR="006B2717" w:rsidRDefault="00000000">
            <w:pP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Municipio</w:t>
            </w:r>
          </w:p>
        </w:tc>
        <w:tc>
          <w:tcPr>
            <w:tcW w:w="1843" w:type="dxa"/>
            <w:vAlign w:val="center"/>
          </w:tcPr>
          <w:p w14:paraId="2FB6BB40"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103A58D3"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701" w:type="dxa"/>
            <w:vAlign w:val="center"/>
          </w:tcPr>
          <w:p w14:paraId="296E5093"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701" w:type="dxa"/>
            <w:vAlign w:val="center"/>
          </w:tcPr>
          <w:p w14:paraId="0815DA8B"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6B2717" w14:paraId="7EA16DF0"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01467B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5" w:type="dxa"/>
            <w:vAlign w:val="bottom"/>
          </w:tcPr>
          <w:p w14:paraId="79DA745F"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Bailén</w:t>
            </w:r>
          </w:p>
        </w:tc>
        <w:tc>
          <w:tcPr>
            <w:tcW w:w="1843" w:type="dxa"/>
            <w:vAlign w:val="bottom"/>
          </w:tcPr>
          <w:p w14:paraId="4CAF4B8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729 €</w:t>
            </w:r>
          </w:p>
        </w:tc>
        <w:tc>
          <w:tcPr>
            <w:tcW w:w="1701" w:type="dxa"/>
            <w:vAlign w:val="bottom"/>
          </w:tcPr>
          <w:p w14:paraId="7BF0A2C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-0,5%</w:t>
            </w:r>
          </w:p>
        </w:tc>
        <w:tc>
          <w:tcPr>
            <w:tcW w:w="1701" w:type="dxa"/>
            <w:vAlign w:val="bottom"/>
          </w:tcPr>
          <w:p w14:paraId="59A0888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2,8%</w:t>
            </w:r>
          </w:p>
        </w:tc>
      </w:tr>
      <w:tr w:rsidR="006B2717" w14:paraId="10BA5A8A"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2038F6B"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5" w:type="dxa"/>
            <w:vAlign w:val="bottom"/>
          </w:tcPr>
          <w:p w14:paraId="2DA1BFD5"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Mengíbar</w:t>
            </w:r>
          </w:p>
        </w:tc>
        <w:tc>
          <w:tcPr>
            <w:tcW w:w="1843" w:type="dxa"/>
            <w:vAlign w:val="bottom"/>
          </w:tcPr>
          <w:p w14:paraId="31491E8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739 €</w:t>
            </w:r>
          </w:p>
        </w:tc>
        <w:tc>
          <w:tcPr>
            <w:tcW w:w="1701" w:type="dxa"/>
            <w:vAlign w:val="bottom"/>
          </w:tcPr>
          <w:p w14:paraId="5D25EEB2" w14:textId="77777777" w:rsidR="006B2717" w:rsidRDefault="006B2717">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p>
        </w:tc>
        <w:tc>
          <w:tcPr>
            <w:tcW w:w="1701" w:type="dxa"/>
            <w:vAlign w:val="bottom"/>
          </w:tcPr>
          <w:p w14:paraId="13431CF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9C0006"/>
                <w:sz w:val="22"/>
                <w:szCs w:val="22"/>
              </w:rPr>
              <w:t>-3,8%</w:t>
            </w:r>
          </w:p>
        </w:tc>
      </w:tr>
      <w:tr w:rsidR="006B2717" w14:paraId="79610E8F"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83025D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5" w:type="dxa"/>
            <w:vAlign w:val="bottom"/>
          </w:tcPr>
          <w:p w14:paraId="4A2799EB"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Torredonjimeno</w:t>
            </w:r>
          </w:p>
        </w:tc>
        <w:tc>
          <w:tcPr>
            <w:tcW w:w="1843" w:type="dxa"/>
            <w:vAlign w:val="bottom"/>
          </w:tcPr>
          <w:p w14:paraId="6C48A1C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749 €</w:t>
            </w:r>
          </w:p>
        </w:tc>
        <w:tc>
          <w:tcPr>
            <w:tcW w:w="1701" w:type="dxa"/>
            <w:vAlign w:val="bottom"/>
          </w:tcPr>
          <w:p w14:paraId="39739EE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0,9%</w:t>
            </w:r>
          </w:p>
        </w:tc>
        <w:tc>
          <w:tcPr>
            <w:tcW w:w="1701" w:type="dxa"/>
            <w:vAlign w:val="bottom"/>
          </w:tcPr>
          <w:p w14:paraId="23A483C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-1,8%</w:t>
            </w:r>
          </w:p>
        </w:tc>
      </w:tr>
      <w:tr w:rsidR="006B2717" w14:paraId="1121F14A"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B7881E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5" w:type="dxa"/>
            <w:vAlign w:val="bottom"/>
          </w:tcPr>
          <w:p w14:paraId="791C61CB"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Mancha Real</w:t>
            </w:r>
          </w:p>
        </w:tc>
        <w:tc>
          <w:tcPr>
            <w:tcW w:w="1843" w:type="dxa"/>
            <w:vAlign w:val="bottom"/>
          </w:tcPr>
          <w:p w14:paraId="50E091A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813 €</w:t>
            </w:r>
          </w:p>
        </w:tc>
        <w:tc>
          <w:tcPr>
            <w:tcW w:w="1701" w:type="dxa"/>
            <w:vAlign w:val="bottom"/>
          </w:tcPr>
          <w:p w14:paraId="52404C2B" w14:textId="77777777" w:rsidR="006B2717" w:rsidRDefault="006B2717">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p>
        </w:tc>
        <w:tc>
          <w:tcPr>
            <w:tcW w:w="1701" w:type="dxa"/>
            <w:vAlign w:val="bottom"/>
          </w:tcPr>
          <w:p w14:paraId="07B6F6A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12,2%</w:t>
            </w:r>
          </w:p>
        </w:tc>
      </w:tr>
      <w:tr w:rsidR="006B2717" w14:paraId="13CF9359"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5E325E5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Salamanca</w:t>
            </w:r>
          </w:p>
        </w:tc>
        <w:tc>
          <w:tcPr>
            <w:tcW w:w="1985" w:type="dxa"/>
            <w:vAlign w:val="bottom"/>
          </w:tcPr>
          <w:p w14:paraId="4D598A11"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Ciudad Rodrigo</w:t>
            </w:r>
          </w:p>
        </w:tc>
        <w:tc>
          <w:tcPr>
            <w:tcW w:w="1843" w:type="dxa"/>
            <w:vAlign w:val="bottom"/>
          </w:tcPr>
          <w:p w14:paraId="7F1287F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848 €</w:t>
            </w:r>
          </w:p>
        </w:tc>
        <w:tc>
          <w:tcPr>
            <w:tcW w:w="1701" w:type="dxa"/>
            <w:vAlign w:val="bottom"/>
          </w:tcPr>
          <w:p w14:paraId="04F5F34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-0,2%</w:t>
            </w:r>
          </w:p>
        </w:tc>
        <w:tc>
          <w:tcPr>
            <w:tcW w:w="1701" w:type="dxa"/>
            <w:vAlign w:val="bottom"/>
          </w:tcPr>
          <w:p w14:paraId="6A81E23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000000"/>
                <w:sz w:val="22"/>
                <w:szCs w:val="22"/>
              </w:rPr>
              <w:t>0,7%</w:t>
            </w:r>
          </w:p>
        </w:tc>
      </w:tr>
      <w:tr w:rsidR="006B2717" w14:paraId="214CFF14"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1D54887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Córdoba</w:t>
            </w:r>
          </w:p>
        </w:tc>
        <w:tc>
          <w:tcPr>
            <w:tcW w:w="1985" w:type="dxa"/>
            <w:vAlign w:val="bottom"/>
          </w:tcPr>
          <w:p w14:paraId="4F04DE01"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Baena</w:t>
            </w:r>
          </w:p>
        </w:tc>
        <w:tc>
          <w:tcPr>
            <w:tcW w:w="1843" w:type="dxa"/>
            <w:vAlign w:val="bottom"/>
          </w:tcPr>
          <w:p w14:paraId="08C5A7D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872 €</w:t>
            </w:r>
          </w:p>
        </w:tc>
        <w:tc>
          <w:tcPr>
            <w:tcW w:w="1701" w:type="dxa"/>
            <w:vAlign w:val="bottom"/>
          </w:tcPr>
          <w:p w14:paraId="21C527B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0,5%</w:t>
            </w:r>
          </w:p>
        </w:tc>
        <w:tc>
          <w:tcPr>
            <w:tcW w:w="1701" w:type="dxa"/>
            <w:vAlign w:val="bottom"/>
          </w:tcPr>
          <w:p w14:paraId="2391894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000000"/>
                <w:sz w:val="22"/>
                <w:szCs w:val="22"/>
              </w:rPr>
              <w:t>3,1%</w:t>
            </w:r>
          </w:p>
        </w:tc>
      </w:tr>
      <w:tr w:rsidR="006B2717" w14:paraId="4574AE57"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1E26D4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Murcia</w:t>
            </w:r>
          </w:p>
        </w:tc>
        <w:tc>
          <w:tcPr>
            <w:tcW w:w="1985" w:type="dxa"/>
            <w:vAlign w:val="bottom"/>
          </w:tcPr>
          <w:p w14:paraId="0686C317"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Calasparra</w:t>
            </w:r>
          </w:p>
        </w:tc>
        <w:tc>
          <w:tcPr>
            <w:tcW w:w="1843" w:type="dxa"/>
            <w:vAlign w:val="bottom"/>
          </w:tcPr>
          <w:p w14:paraId="7AF706B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889 €</w:t>
            </w:r>
          </w:p>
        </w:tc>
        <w:tc>
          <w:tcPr>
            <w:tcW w:w="1701" w:type="dxa"/>
            <w:vAlign w:val="bottom"/>
          </w:tcPr>
          <w:p w14:paraId="71C9B7FA" w14:textId="77777777" w:rsidR="006B2717" w:rsidRDefault="006B2717">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p>
        </w:tc>
        <w:tc>
          <w:tcPr>
            <w:tcW w:w="1701" w:type="dxa"/>
            <w:vAlign w:val="bottom"/>
          </w:tcPr>
          <w:p w14:paraId="62A3EAD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26,5%</w:t>
            </w:r>
          </w:p>
        </w:tc>
      </w:tr>
      <w:tr w:rsidR="006B2717" w14:paraId="5749A961"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28512BF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Ciudad Real</w:t>
            </w:r>
          </w:p>
        </w:tc>
        <w:tc>
          <w:tcPr>
            <w:tcW w:w="1985" w:type="dxa"/>
            <w:vAlign w:val="bottom"/>
          </w:tcPr>
          <w:p w14:paraId="4D0FFC24"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Manzanares</w:t>
            </w:r>
          </w:p>
        </w:tc>
        <w:tc>
          <w:tcPr>
            <w:tcW w:w="1843" w:type="dxa"/>
            <w:vAlign w:val="bottom"/>
          </w:tcPr>
          <w:p w14:paraId="7948DC5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891 €</w:t>
            </w:r>
          </w:p>
        </w:tc>
        <w:tc>
          <w:tcPr>
            <w:tcW w:w="1701" w:type="dxa"/>
            <w:vAlign w:val="bottom"/>
          </w:tcPr>
          <w:p w14:paraId="7B3B2CE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2,9%</w:t>
            </w:r>
          </w:p>
        </w:tc>
        <w:tc>
          <w:tcPr>
            <w:tcW w:w="1701" w:type="dxa"/>
            <w:vAlign w:val="bottom"/>
          </w:tcPr>
          <w:p w14:paraId="2836BEF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color w:val="000000"/>
                <w:sz w:val="22"/>
                <w:szCs w:val="22"/>
              </w:rPr>
              <w:t>16,0%</w:t>
            </w:r>
          </w:p>
        </w:tc>
      </w:tr>
      <w:tr w:rsidR="006B2717" w14:paraId="43AF796C" w14:textId="77777777" w:rsidTr="006B2717">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FF3D44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Granada</w:t>
            </w:r>
          </w:p>
        </w:tc>
        <w:tc>
          <w:tcPr>
            <w:tcW w:w="1985" w:type="dxa"/>
            <w:vAlign w:val="bottom"/>
          </w:tcPr>
          <w:p w14:paraId="082403DC" w14:textId="77777777" w:rsidR="006B2717" w:rsidRDefault="00000000">
            <w:pP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Baza</w:t>
            </w:r>
          </w:p>
        </w:tc>
        <w:tc>
          <w:tcPr>
            <w:tcW w:w="1843" w:type="dxa"/>
            <w:vAlign w:val="bottom"/>
          </w:tcPr>
          <w:p w14:paraId="68B4D4C1"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893 €</w:t>
            </w:r>
          </w:p>
        </w:tc>
        <w:tc>
          <w:tcPr>
            <w:tcW w:w="1701" w:type="dxa"/>
            <w:vAlign w:val="bottom"/>
          </w:tcPr>
          <w:p w14:paraId="7C52D50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2,2%</w:t>
            </w:r>
          </w:p>
        </w:tc>
        <w:tc>
          <w:tcPr>
            <w:tcW w:w="1701" w:type="dxa"/>
            <w:vAlign w:val="bottom"/>
          </w:tcPr>
          <w:p w14:paraId="10C3D42D"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9,1%</w:t>
            </w:r>
          </w:p>
        </w:tc>
      </w:tr>
      <w:tr w:rsidR="006B2717" w14:paraId="46340144" w14:textId="77777777" w:rsidTr="006B2717">
        <w:trPr>
          <w:trHeight w:val="212"/>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3DD1EB1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Jaén</w:t>
            </w:r>
          </w:p>
        </w:tc>
        <w:tc>
          <w:tcPr>
            <w:tcW w:w="1985" w:type="dxa"/>
            <w:vAlign w:val="bottom"/>
          </w:tcPr>
          <w:p w14:paraId="3935B14B" w14:textId="77777777" w:rsidR="006B2717" w:rsidRDefault="00000000">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sz w:val="22"/>
                <w:szCs w:val="22"/>
              </w:rPr>
              <w:t>Andújar</w:t>
            </w:r>
          </w:p>
        </w:tc>
        <w:tc>
          <w:tcPr>
            <w:tcW w:w="1843" w:type="dxa"/>
            <w:vAlign w:val="bottom"/>
          </w:tcPr>
          <w:p w14:paraId="5BDF6A7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sz w:val="22"/>
                <w:szCs w:val="22"/>
              </w:rPr>
              <w:t>911 €</w:t>
            </w:r>
          </w:p>
        </w:tc>
        <w:tc>
          <w:tcPr>
            <w:tcW w:w="1701" w:type="dxa"/>
            <w:vAlign w:val="bottom"/>
          </w:tcPr>
          <w:p w14:paraId="2503C6A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-2,7%</w:t>
            </w:r>
          </w:p>
        </w:tc>
        <w:tc>
          <w:tcPr>
            <w:tcW w:w="1701" w:type="dxa"/>
            <w:vAlign w:val="bottom"/>
          </w:tcPr>
          <w:p w14:paraId="1CE988D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color w:val="000000"/>
                <w:sz w:val="22"/>
                <w:szCs w:val="22"/>
              </w:rPr>
              <w:t>4,0%</w:t>
            </w:r>
          </w:p>
        </w:tc>
      </w:tr>
    </w:tbl>
    <w:p w14:paraId="54216106"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Distritos de Madrid</w:t>
      </w:r>
    </w:p>
    <w:p w14:paraId="1F93FC6C" w14:textId="77777777" w:rsidR="006B2717" w:rsidRDefault="00000000">
      <w:pPr>
        <w:spacing w:line="276" w:lineRule="auto"/>
        <w:jc w:val="both"/>
        <w:rPr>
          <w:rFonts w:ascii="Open Sans" w:eastAsia="Open Sans" w:hAnsi="Open Sans" w:cs="Open Sans"/>
          <w:color w:val="000000"/>
        </w:rPr>
      </w:pPr>
      <w:r>
        <w:rPr>
          <w:rFonts w:ascii="Open Sans" w:eastAsia="Open Sans" w:hAnsi="Open Sans" w:cs="Open Sans"/>
          <w:color w:val="000000"/>
        </w:rPr>
        <w:t xml:space="preserve">El precio medio de la vivienda de segunda mano sube en 19 de los 20 distritos con variación interanual analizados por </w:t>
      </w:r>
      <w:hyperlink r:id="rId15">
        <w:r>
          <w:rPr>
            <w:rFonts w:ascii="Open Sans" w:eastAsia="Open Sans" w:hAnsi="Open Sans" w:cs="Open Sans"/>
            <w:color w:val="0000FF"/>
            <w:u w:val="single"/>
          </w:rPr>
          <w:t>Fotocasa</w:t>
        </w:r>
      </w:hyperlink>
      <w:r>
        <w:rPr>
          <w:rFonts w:ascii="Open Sans" w:eastAsia="Open Sans" w:hAnsi="Open Sans" w:cs="Open Sans"/>
          <w:color w:val="4472C4"/>
        </w:rPr>
        <w:t xml:space="preserve">. </w:t>
      </w:r>
      <w:r>
        <w:rPr>
          <w:rFonts w:ascii="Open Sans" w:eastAsia="Open Sans" w:hAnsi="Open Sans" w:cs="Open Sans"/>
          <w:color w:val="000000"/>
        </w:rPr>
        <w:t xml:space="preserve">Los incrementos interanuales de la vivienda superiores al 10% son: Villaverde (29,8%), Villa de Vallecas (24,5%), Moratalaz (18,5%), Usera (15,9%), Carabanchel (15,4%), Puente de </w:t>
      </w:r>
      <w:proofErr w:type="gramStart"/>
      <w:r>
        <w:rPr>
          <w:rFonts w:ascii="Open Sans" w:eastAsia="Open Sans" w:hAnsi="Open Sans" w:cs="Open Sans"/>
          <w:color w:val="000000"/>
        </w:rPr>
        <w:t>Vallecas  (</w:t>
      </w:r>
      <w:proofErr w:type="gramEnd"/>
      <w:r>
        <w:rPr>
          <w:rFonts w:ascii="Open Sans" w:eastAsia="Open Sans" w:hAnsi="Open Sans" w:cs="Open Sans"/>
          <w:color w:val="000000"/>
        </w:rPr>
        <w:t>15,2%), Latina (12,1%), Chamartín (11,1%) y Tetuán (10,4%). Le siguen, el resto de los distritos como Moncloa – Aravaca (9,3%</w:t>
      </w:r>
      <w:proofErr w:type="gramStart"/>
      <w:r>
        <w:rPr>
          <w:rFonts w:ascii="Open Sans" w:eastAsia="Open Sans" w:hAnsi="Open Sans" w:cs="Open Sans"/>
          <w:color w:val="000000"/>
        </w:rPr>
        <w:t>),San</w:t>
      </w:r>
      <w:proofErr w:type="gramEnd"/>
      <w:r>
        <w:rPr>
          <w:rFonts w:ascii="Open Sans" w:eastAsia="Open Sans" w:hAnsi="Open Sans" w:cs="Open Sans"/>
          <w:color w:val="000000"/>
        </w:rPr>
        <w:t xml:space="preserve"> Blas (8,6%), Ciudad Lineal (7,7%), Vicálvaro (7,7%), Chamberí (5,2%), Arganzuela (5,0%), Centro (4,4%), Hortaleza (4,4%), Barrio de Salamanca (2,6%) y Fuencarral - El Pardo (0,4%).</w:t>
      </w:r>
    </w:p>
    <w:p w14:paraId="0B477B87" w14:textId="77777777" w:rsidR="006B2717" w:rsidRDefault="006B2717">
      <w:pPr>
        <w:spacing w:line="276" w:lineRule="auto"/>
        <w:jc w:val="both"/>
        <w:rPr>
          <w:rFonts w:ascii="Open Sans" w:eastAsia="Open Sans" w:hAnsi="Open Sans" w:cs="Open Sans"/>
          <w:color w:val="000000"/>
        </w:rPr>
      </w:pPr>
    </w:p>
    <w:p w14:paraId="505A97AC" w14:textId="77777777" w:rsidR="006B2717" w:rsidRDefault="00000000">
      <w:pPr>
        <w:spacing w:line="276" w:lineRule="auto"/>
        <w:jc w:val="both"/>
        <w:rPr>
          <w:rFonts w:ascii="Open Sans" w:eastAsia="Open Sans" w:hAnsi="Open Sans" w:cs="Open Sans"/>
          <w:color w:val="000000"/>
        </w:rPr>
      </w:pPr>
      <w:r>
        <w:rPr>
          <w:rFonts w:ascii="Open Sans" w:eastAsia="Open Sans" w:hAnsi="Open Sans" w:cs="Open Sans"/>
          <w:color w:val="000000"/>
        </w:rPr>
        <w:t xml:space="preserve">Los </w:t>
      </w:r>
      <w:r>
        <w:rPr>
          <w:rFonts w:ascii="Open Sans" w:eastAsia="Open Sans" w:hAnsi="Open Sans" w:cs="Open Sans"/>
          <w:b/>
          <w:bCs/>
          <w:color w:val="000000"/>
        </w:rPr>
        <w:t>cuatro distritos por encima de los 8.000 euros son: Barrio de Salamanca con 10.682 euros/m</w:t>
      </w:r>
      <w:r>
        <w:rPr>
          <w:rFonts w:ascii="Open Sans" w:eastAsia="Open Sans" w:hAnsi="Open Sans" w:cs="Open Sans"/>
          <w:b/>
          <w:bCs/>
          <w:color w:val="000000"/>
          <w:vertAlign w:val="superscript"/>
        </w:rPr>
        <w:t>2</w:t>
      </w:r>
      <w:r>
        <w:rPr>
          <w:rFonts w:ascii="Open Sans" w:eastAsia="Open Sans" w:hAnsi="Open Sans" w:cs="Open Sans"/>
          <w:b/>
          <w:bCs/>
          <w:color w:val="000000"/>
        </w:rPr>
        <w:t>, Chamberí con 9.327 euros/m</w:t>
      </w:r>
      <w:r>
        <w:rPr>
          <w:rFonts w:ascii="Open Sans" w:eastAsia="Open Sans" w:hAnsi="Open Sans" w:cs="Open Sans"/>
          <w:b/>
          <w:bCs/>
          <w:color w:val="000000"/>
          <w:vertAlign w:val="superscript"/>
        </w:rPr>
        <w:t>2</w:t>
      </w:r>
      <w:r>
        <w:rPr>
          <w:rFonts w:ascii="Open Sans" w:eastAsia="Open Sans" w:hAnsi="Open Sans" w:cs="Open Sans"/>
          <w:b/>
          <w:bCs/>
          <w:color w:val="000000"/>
        </w:rPr>
        <w:t>, Retiro con 8.563 y Chamartín con 8.401 euros/m</w:t>
      </w:r>
      <w:r>
        <w:rPr>
          <w:rFonts w:ascii="Open Sans" w:eastAsia="Open Sans" w:hAnsi="Open Sans" w:cs="Open Sans"/>
          <w:b/>
          <w:bCs/>
          <w:color w:val="000000"/>
          <w:vertAlign w:val="superscript"/>
        </w:rPr>
        <w:t>2</w:t>
      </w:r>
      <w:r>
        <w:rPr>
          <w:rFonts w:ascii="Open Sans" w:eastAsia="Open Sans" w:hAnsi="Open Sans" w:cs="Open Sans"/>
          <w:color w:val="000000"/>
        </w:rPr>
        <w:t>. Por otro lado, los distritos con el precio de la vivienda más económico son Villaverde con 3.062 euros/m</w:t>
      </w:r>
      <w:r>
        <w:rPr>
          <w:rFonts w:ascii="Open Sans" w:eastAsia="Open Sans" w:hAnsi="Open Sans" w:cs="Open Sans"/>
          <w:color w:val="000000"/>
          <w:vertAlign w:val="superscript"/>
        </w:rPr>
        <w:t>2</w:t>
      </w:r>
      <w:r>
        <w:rPr>
          <w:rFonts w:ascii="Open Sans" w:eastAsia="Open Sans" w:hAnsi="Open Sans" w:cs="Open Sans"/>
          <w:color w:val="000000"/>
        </w:rPr>
        <w:t>, Puente de Vallecas con 3.306 euros/m</w:t>
      </w:r>
      <w:r>
        <w:rPr>
          <w:rFonts w:ascii="Open Sans" w:eastAsia="Open Sans" w:hAnsi="Open Sans" w:cs="Open Sans"/>
          <w:color w:val="000000"/>
          <w:vertAlign w:val="superscript"/>
        </w:rPr>
        <w:t>2</w:t>
      </w:r>
      <w:r>
        <w:rPr>
          <w:rFonts w:ascii="Open Sans" w:eastAsia="Open Sans" w:hAnsi="Open Sans" w:cs="Open Sans"/>
          <w:color w:val="000000"/>
        </w:rPr>
        <w:t xml:space="preserve"> y Usera con 3.534 euros/m</w:t>
      </w:r>
      <w:r>
        <w:rPr>
          <w:rFonts w:ascii="Open Sans" w:eastAsia="Open Sans" w:hAnsi="Open Sans" w:cs="Open Sans"/>
          <w:color w:val="000000"/>
          <w:vertAlign w:val="superscript"/>
        </w:rPr>
        <w:t>2</w:t>
      </w:r>
      <w:r>
        <w:rPr>
          <w:rFonts w:ascii="Open Sans" w:eastAsia="Open Sans" w:hAnsi="Open Sans" w:cs="Open Sans"/>
          <w:color w:val="000000"/>
        </w:rPr>
        <w:t>.</w:t>
      </w:r>
    </w:p>
    <w:p w14:paraId="3E799313" w14:textId="77777777" w:rsidR="006B2717" w:rsidRDefault="00000000">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bookmarkStart w:id="5" w:name="_heading=h.rouclewk3b6v" w:colFirst="0" w:colLast="0"/>
      <w:bookmarkEnd w:id="5"/>
      <w:r>
        <w:rPr>
          <w:rFonts w:ascii="Open Sans Light" w:eastAsia="Open Sans Light" w:hAnsi="Open Sans Light" w:cs="Open Sans Light"/>
          <w:b/>
          <w:bCs/>
          <w:color w:val="303AB2"/>
          <w:sz w:val="28"/>
          <w:szCs w:val="28"/>
        </w:rPr>
        <w:t>Distritos de Madrid de mayor a menor incremento interanual</w:t>
      </w:r>
    </w:p>
    <w:tbl>
      <w:tblPr>
        <w:tblStyle w:val="a6"/>
        <w:tblW w:w="905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2268"/>
        <w:gridCol w:w="1985"/>
        <w:gridCol w:w="1963"/>
      </w:tblGrid>
      <w:tr w:rsidR="006B2717" w14:paraId="18B47451" w14:textId="77777777" w:rsidTr="006B2717">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FFFFFF"/>
            </w:tcBorders>
            <w:vAlign w:val="center"/>
          </w:tcPr>
          <w:p w14:paraId="590C27D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Distrito</w:t>
            </w:r>
          </w:p>
        </w:tc>
        <w:tc>
          <w:tcPr>
            <w:tcW w:w="2268" w:type="dxa"/>
            <w:tcBorders>
              <w:bottom w:val="single" w:sz="4" w:space="0" w:color="FFFFFF"/>
            </w:tcBorders>
            <w:vAlign w:val="center"/>
          </w:tcPr>
          <w:p w14:paraId="4260C762"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15CDCC80"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985" w:type="dxa"/>
            <w:tcBorders>
              <w:bottom w:val="single" w:sz="4" w:space="0" w:color="FFFFFF"/>
            </w:tcBorders>
            <w:vAlign w:val="center"/>
          </w:tcPr>
          <w:p w14:paraId="132B126F"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963" w:type="dxa"/>
            <w:tcBorders>
              <w:bottom w:val="single" w:sz="4" w:space="0" w:color="FFFFFF"/>
            </w:tcBorders>
            <w:vAlign w:val="center"/>
          </w:tcPr>
          <w:p w14:paraId="766EEE2F"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6B2717" w14:paraId="50D03FA8"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5DDF08F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Villaverde</w:t>
            </w:r>
          </w:p>
        </w:tc>
        <w:tc>
          <w:tcPr>
            <w:tcW w:w="2268" w:type="dxa"/>
            <w:tcBorders>
              <w:top w:val="single" w:sz="4" w:space="0" w:color="FFFFFF"/>
              <w:left w:val="single" w:sz="4" w:space="0" w:color="FFFFFF"/>
              <w:bottom w:val="single" w:sz="4" w:space="0" w:color="FFFFFF"/>
              <w:right w:val="single" w:sz="4" w:space="0" w:color="FFFFFF"/>
            </w:tcBorders>
            <w:vAlign w:val="bottom"/>
          </w:tcPr>
          <w:p w14:paraId="5068A94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3.062 €</w:t>
            </w:r>
          </w:p>
        </w:tc>
        <w:tc>
          <w:tcPr>
            <w:tcW w:w="1985" w:type="dxa"/>
            <w:tcBorders>
              <w:top w:val="single" w:sz="4" w:space="0" w:color="FFFFFF"/>
              <w:left w:val="single" w:sz="4" w:space="0" w:color="FFFFFF"/>
              <w:bottom w:val="single" w:sz="4" w:space="0" w:color="FFFFFF"/>
              <w:right w:val="single" w:sz="4" w:space="0" w:color="FFFFFF"/>
            </w:tcBorders>
            <w:vAlign w:val="bottom"/>
          </w:tcPr>
          <w:p w14:paraId="5A32DAB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2,4%</w:t>
            </w:r>
          </w:p>
        </w:tc>
        <w:tc>
          <w:tcPr>
            <w:tcW w:w="1963" w:type="dxa"/>
            <w:tcBorders>
              <w:top w:val="single" w:sz="4" w:space="0" w:color="FFFFFF"/>
              <w:left w:val="single" w:sz="4" w:space="0" w:color="FFFFFF"/>
              <w:bottom w:val="single" w:sz="4" w:space="0" w:color="FFFFFF"/>
              <w:right w:val="single" w:sz="4" w:space="0" w:color="FFFFFF"/>
            </w:tcBorders>
            <w:vAlign w:val="bottom"/>
          </w:tcPr>
          <w:p w14:paraId="6BFC803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29,8%</w:t>
            </w:r>
          </w:p>
        </w:tc>
      </w:tr>
      <w:tr w:rsidR="006B2717" w14:paraId="29300037"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6027035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Villa de Vallecas</w:t>
            </w:r>
          </w:p>
        </w:tc>
        <w:tc>
          <w:tcPr>
            <w:tcW w:w="2268" w:type="dxa"/>
            <w:tcBorders>
              <w:top w:val="single" w:sz="4" w:space="0" w:color="FFFFFF"/>
              <w:left w:val="single" w:sz="4" w:space="0" w:color="FFFFFF"/>
              <w:bottom w:val="single" w:sz="4" w:space="0" w:color="FFFFFF"/>
              <w:right w:val="single" w:sz="4" w:space="0" w:color="FFFFFF"/>
            </w:tcBorders>
            <w:vAlign w:val="bottom"/>
          </w:tcPr>
          <w:p w14:paraId="53B835B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3.857 €</w:t>
            </w:r>
          </w:p>
        </w:tc>
        <w:tc>
          <w:tcPr>
            <w:tcW w:w="1985" w:type="dxa"/>
            <w:tcBorders>
              <w:top w:val="single" w:sz="4" w:space="0" w:color="FFFFFF"/>
              <w:left w:val="single" w:sz="4" w:space="0" w:color="FFFFFF"/>
              <w:bottom w:val="single" w:sz="4" w:space="0" w:color="FFFFFF"/>
              <w:right w:val="single" w:sz="4" w:space="0" w:color="FFFFFF"/>
            </w:tcBorders>
            <w:vAlign w:val="bottom"/>
          </w:tcPr>
          <w:p w14:paraId="5CF172C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-0,8%</w:t>
            </w:r>
          </w:p>
        </w:tc>
        <w:tc>
          <w:tcPr>
            <w:tcW w:w="1963" w:type="dxa"/>
            <w:tcBorders>
              <w:top w:val="single" w:sz="4" w:space="0" w:color="FFFFFF"/>
              <w:left w:val="single" w:sz="4" w:space="0" w:color="FFFFFF"/>
              <w:bottom w:val="single" w:sz="4" w:space="0" w:color="FFFFFF"/>
              <w:right w:val="single" w:sz="4" w:space="0" w:color="FFFFFF"/>
            </w:tcBorders>
            <w:vAlign w:val="bottom"/>
          </w:tcPr>
          <w:p w14:paraId="35CD89E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24,5%</w:t>
            </w:r>
          </w:p>
        </w:tc>
      </w:tr>
      <w:tr w:rsidR="006B2717" w14:paraId="76BB8033"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318518A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Moratalaz</w:t>
            </w:r>
          </w:p>
        </w:tc>
        <w:tc>
          <w:tcPr>
            <w:tcW w:w="2268" w:type="dxa"/>
            <w:tcBorders>
              <w:top w:val="single" w:sz="4" w:space="0" w:color="FFFFFF"/>
              <w:left w:val="single" w:sz="4" w:space="0" w:color="FFFFFF"/>
              <w:bottom w:val="single" w:sz="4" w:space="0" w:color="FFFFFF"/>
              <w:right w:val="single" w:sz="4" w:space="0" w:color="FFFFFF"/>
            </w:tcBorders>
            <w:vAlign w:val="bottom"/>
          </w:tcPr>
          <w:p w14:paraId="5A0F438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4.511 €</w:t>
            </w:r>
          </w:p>
        </w:tc>
        <w:tc>
          <w:tcPr>
            <w:tcW w:w="1985" w:type="dxa"/>
            <w:tcBorders>
              <w:top w:val="single" w:sz="4" w:space="0" w:color="FFFFFF"/>
              <w:left w:val="single" w:sz="4" w:space="0" w:color="FFFFFF"/>
              <w:bottom w:val="single" w:sz="4" w:space="0" w:color="FFFFFF"/>
              <w:right w:val="single" w:sz="4" w:space="0" w:color="FFFFFF"/>
            </w:tcBorders>
            <w:vAlign w:val="bottom"/>
          </w:tcPr>
          <w:p w14:paraId="169ED78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-0,3%</w:t>
            </w:r>
          </w:p>
        </w:tc>
        <w:tc>
          <w:tcPr>
            <w:tcW w:w="1963" w:type="dxa"/>
            <w:tcBorders>
              <w:top w:val="single" w:sz="4" w:space="0" w:color="FFFFFF"/>
              <w:left w:val="single" w:sz="4" w:space="0" w:color="FFFFFF"/>
              <w:bottom w:val="single" w:sz="4" w:space="0" w:color="FFFFFF"/>
              <w:right w:val="single" w:sz="4" w:space="0" w:color="FFFFFF"/>
            </w:tcBorders>
            <w:vAlign w:val="bottom"/>
          </w:tcPr>
          <w:p w14:paraId="66C034E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18,5%</w:t>
            </w:r>
          </w:p>
        </w:tc>
      </w:tr>
      <w:tr w:rsidR="006B2717" w14:paraId="1583BFA6"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2321A6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Usera</w:t>
            </w:r>
          </w:p>
        </w:tc>
        <w:tc>
          <w:tcPr>
            <w:tcW w:w="2268" w:type="dxa"/>
            <w:tcBorders>
              <w:top w:val="single" w:sz="4" w:space="0" w:color="FFFFFF"/>
              <w:left w:val="single" w:sz="4" w:space="0" w:color="FFFFFF"/>
              <w:bottom w:val="single" w:sz="4" w:space="0" w:color="FFFFFF"/>
              <w:right w:val="single" w:sz="4" w:space="0" w:color="FFFFFF"/>
            </w:tcBorders>
            <w:vAlign w:val="bottom"/>
          </w:tcPr>
          <w:p w14:paraId="272B3D8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3.534 €</w:t>
            </w:r>
          </w:p>
        </w:tc>
        <w:tc>
          <w:tcPr>
            <w:tcW w:w="1985" w:type="dxa"/>
            <w:tcBorders>
              <w:top w:val="single" w:sz="4" w:space="0" w:color="FFFFFF"/>
              <w:left w:val="single" w:sz="4" w:space="0" w:color="FFFFFF"/>
              <w:bottom w:val="single" w:sz="4" w:space="0" w:color="FFFFFF"/>
              <w:right w:val="single" w:sz="4" w:space="0" w:color="FFFFFF"/>
            </w:tcBorders>
            <w:vAlign w:val="bottom"/>
          </w:tcPr>
          <w:p w14:paraId="40E43DA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0,7%</w:t>
            </w:r>
          </w:p>
        </w:tc>
        <w:tc>
          <w:tcPr>
            <w:tcW w:w="1963" w:type="dxa"/>
            <w:tcBorders>
              <w:top w:val="single" w:sz="4" w:space="0" w:color="FFFFFF"/>
              <w:left w:val="single" w:sz="4" w:space="0" w:color="FFFFFF"/>
              <w:bottom w:val="single" w:sz="4" w:space="0" w:color="FFFFFF"/>
              <w:right w:val="single" w:sz="4" w:space="0" w:color="FFFFFF"/>
            </w:tcBorders>
            <w:vAlign w:val="bottom"/>
          </w:tcPr>
          <w:p w14:paraId="0F1E392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15,9%</w:t>
            </w:r>
          </w:p>
        </w:tc>
      </w:tr>
      <w:tr w:rsidR="006B2717" w14:paraId="5D92F82D"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A5C106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Carabanchel</w:t>
            </w:r>
          </w:p>
        </w:tc>
        <w:tc>
          <w:tcPr>
            <w:tcW w:w="2268" w:type="dxa"/>
            <w:tcBorders>
              <w:top w:val="single" w:sz="4" w:space="0" w:color="FFFFFF"/>
              <w:left w:val="single" w:sz="4" w:space="0" w:color="FFFFFF"/>
              <w:bottom w:val="single" w:sz="4" w:space="0" w:color="FFFFFF"/>
              <w:right w:val="single" w:sz="4" w:space="0" w:color="FFFFFF"/>
            </w:tcBorders>
            <w:vAlign w:val="bottom"/>
          </w:tcPr>
          <w:p w14:paraId="38EE3C1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3.833 €</w:t>
            </w:r>
          </w:p>
        </w:tc>
        <w:tc>
          <w:tcPr>
            <w:tcW w:w="1985" w:type="dxa"/>
            <w:tcBorders>
              <w:top w:val="single" w:sz="4" w:space="0" w:color="FFFFFF"/>
              <w:left w:val="single" w:sz="4" w:space="0" w:color="FFFFFF"/>
              <w:bottom w:val="single" w:sz="4" w:space="0" w:color="FFFFFF"/>
              <w:right w:val="single" w:sz="4" w:space="0" w:color="FFFFFF"/>
            </w:tcBorders>
            <w:vAlign w:val="bottom"/>
          </w:tcPr>
          <w:p w14:paraId="26846E8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-1,7%</w:t>
            </w:r>
          </w:p>
        </w:tc>
        <w:tc>
          <w:tcPr>
            <w:tcW w:w="1963" w:type="dxa"/>
            <w:tcBorders>
              <w:top w:val="single" w:sz="4" w:space="0" w:color="FFFFFF"/>
              <w:left w:val="single" w:sz="4" w:space="0" w:color="FFFFFF"/>
              <w:bottom w:val="single" w:sz="4" w:space="0" w:color="FFFFFF"/>
              <w:right w:val="single" w:sz="4" w:space="0" w:color="FFFFFF"/>
            </w:tcBorders>
            <w:vAlign w:val="bottom"/>
          </w:tcPr>
          <w:p w14:paraId="419072D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15,4%</w:t>
            </w:r>
          </w:p>
        </w:tc>
      </w:tr>
      <w:tr w:rsidR="006B2717" w14:paraId="27C7BF00"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6A47AE2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Puente de Vallecas</w:t>
            </w:r>
          </w:p>
        </w:tc>
        <w:tc>
          <w:tcPr>
            <w:tcW w:w="2268" w:type="dxa"/>
            <w:tcBorders>
              <w:top w:val="single" w:sz="4" w:space="0" w:color="FFFFFF"/>
              <w:left w:val="single" w:sz="4" w:space="0" w:color="FFFFFF"/>
              <w:bottom w:val="single" w:sz="4" w:space="0" w:color="FFFFFF"/>
              <w:right w:val="single" w:sz="4" w:space="0" w:color="FFFFFF"/>
            </w:tcBorders>
            <w:vAlign w:val="bottom"/>
          </w:tcPr>
          <w:p w14:paraId="5AF1569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3.306 €</w:t>
            </w:r>
          </w:p>
        </w:tc>
        <w:tc>
          <w:tcPr>
            <w:tcW w:w="1985" w:type="dxa"/>
            <w:tcBorders>
              <w:top w:val="single" w:sz="4" w:space="0" w:color="FFFFFF"/>
              <w:left w:val="single" w:sz="4" w:space="0" w:color="FFFFFF"/>
              <w:bottom w:val="single" w:sz="4" w:space="0" w:color="FFFFFF"/>
              <w:right w:val="single" w:sz="4" w:space="0" w:color="FFFFFF"/>
            </w:tcBorders>
            <w:vAlign w:val="bottom"/>
          </w:tcPr>
          <w:p w14:paraId="7794278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-2,0%</w:t>
            </w:r>
          </w:p>
        </w:tc>
        <w:tc>
          <w:tcPr>
            <w:tcW w:w="1963" w:type="dxa"/>
            <w:tcBorders>
              <w:top w:val="single" w:sz="4" w:space="0" w:color="FFFFFF"/>
              <w:left w:val="single" w:sz="4" w:space="0" w:color="FFFFFF"/>
              <w:bottom w:val="single" w:sz="4" w:space="0" w:color="FFFFFF"/>
              <w:right w:val="single" w:sz="4" w:space="0" w:color="FFFFFF"/>
            </w:tcBorders>
            <w:vAlign w:val="bottom"/>
          </w:tcPr>
          <w:p w14:paraId="09BCB71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15,2%</w:t>
            </w:r>
          </w:p>
        </w:tc>
      </w:tr>
      <w:tr w:rsidR="006B2717" w14:paraId="0A038E30"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34F722D7"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Latina</w:t>
            </w:r>
          </w:p>
        </w:tc>
        <w:tc>
          <w:tcPr>
            <w:tcW w:w="2268" w:type="dxa"/>
            <w:tcBorders>
              <w:top w:val="single" w:sz="4" w:space="0" w:color="FFFFFF"/>
              <w:left w:val="single" w:sz="4" w:space="0" w:color="FFFFFF"/>
              <w:bottom w:val="single" w:sz="4" w:space="0" w:color="FFFFFF"/>
              <w:right w:val="single" w:sz="4" w:space="0" w:color="FFFFFF"/>
            </w:tcBorders>
            <w:vAlign w:val="bottom"/>
          </w:tcPr>
          <w:p w14:paraId="080062A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3.984 €</w:t>
            </w:r>
          </w:p>
        </w:tc>
        <w:tc>
          <w:tcPr>
            <w:tcW w:w="1985" w:type="dxa"/>
            <w:tcBorders>
              <w:top w:val="single" w:sz="4" w:space="0" w:color="FFFFFF"/>
              <w:left w:val="single" w:sz="4" w:space="0" w:color="FFFFFF"/>
              <w:bottom w:val="single" w:sz="4" w:space="0" w:color="FFFFFF"/>
              <w:right w:val="single" w:sz="4" w:space="0" w:color="FFFFFF"/>
            </w:tcBorders>
            <w:vAlign w:val="bottom"/>
          </w:tcPr>
          <w:p w14:paraId="11D584A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0,8%</w:t>
            </w:r>
          </w:p>
        </w:tc>
        <w:tc>
          <w:tcPr>
            <w:tcW w:w="1963" w:type="dxa"/>
            <w:tcBorders>
              <w:top w:val="single" w:sz="4" w:space="0" w:color="FFFFFF"/>
              <w:left w:val="single" w:sz="4" w:space="0" w:color="FFFFFF"/>
              <w:bottom w:val="single" w:sz="4" w:space="0" w:color="FFFFFF"/>
              <w:right w:val="single" w:sz="4" w:space="0" w:color="FFFFFF"/>
            </w:tcBorders>
            <w:vAlign w:val="bottom"/>
          </w:tcPr>
          <w:p w14:paraId="474DAD7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12,1%</w:t>
            </w:r>
          </w:p>
        </w:tc>
      </w:tr>
      <w:tr w:rsidR="006B2717" w14:paraId="598588B0"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45727B8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Chamartín</w:t>
            </w:r>
          </w:p>
        </w:tc>
        <w:tc>
          <w:tcPr>
            <w:tcW w:w="2268" w:type="dxa"/>
            <w:tcBorders>
              <w:top w:val="single" w:sz="4" w:space="0" w:color="FFFFFF"/>
              <w:left w:val="single" w:sz="4" w:space="0" w:color="FFFFFF"/>
              <w:bottom w:val="single" w:sz="4" w:space="0" w:color="FFFFFF"/>
              <w:right w:val="single" w:sz="4" w:space="0" w:color="FFFFFF"/>
            </w:tcBorders>
            <w:vAlign w:val="bottom"/>
          </w:tcPr>
          <w:p w14:paraId="53F933A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8.401 €</w:t>
            </w:r>
          </w:p>
        </w:tc>
        <w:tc>
          <w:tcPr>
            <w:tcW w:w="1985" w:type="dxa"/>
            <w:tcBorders>
              <w:top w:val="single" w:sz="4" w:space="0" w:color="FFFFFF"/>
              <w:left w:val="single" w:sz="4" w:space="0" w:color="FFFFFF"/>
              <w:bottom w:val="single" w:sz="4" w:space="0" w:color="FFFFFF"/>
              <w:right w:val="single" w:sz="4" w:space="0" w:color="FFFFFF"/>
            </w:tcBorders>
            <w:vAlign w:val="bottom"/>
          </w:tcPr>
          <w:p w14:paraId="1A3F1FBA"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0,8%</w:t>
            </w:r>
          </w:p>
        </w:tc>
        <w:tc>
          <w:tcPr>
            <w:tcW w:w="1963" w:type="dxa"/>
            <w:tcBorders>
              <w:top w:val="single" w:sz="4" w:space="0" w:color="FFFFFF"/>
              <w:left w:val="single" w:sz="4" w:space="0" w:color="FFFFFF"/>
              <w:bottom w:val="single" w:sz="4" w:space="0" w:color="FFFFFF"/>
              <w:right w:val="single" w:sz="4" w:space="0" w:color="FFFFFF"/>
            </w:tcBorders>
            <w:vAlign w:val="bottom"/>
          </w:tcPr>
          <w:p w14:paraId="02B0F3C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11,1%</w:t>
            </w:r>
          </w:p>
        </w:tc>
      </w:tr>
      <w:tr w:rsidR="006B2717" w14:paraId="34EFDAFD"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2D9AEE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Tetuán</w:t>
            </w:r>
          </w:p>
        </w:tc>
        <w:tc>
          <w:tcPr>
            <w:tcW w:w="2268" w:type="dxa"/>
            <w:tcBorders>
              <w:top w:val="single" w:sz="4" w:space="0" w:color="FFFFFF"/>
              <w:left w:val="single" w:sz="4" w:space="0" w:color="FFFFFF"/>
              <w:bottom w:val="single" w:sz="4" w:space="0" w:color="FFFFFF"/>
              <w:right w:val="single" w:sz="4" w:space="0" w:color="FFFFFF"/>
            </w:tcBorders>
            <w:vAlign w:val="bottom"/>
          </w:tcPr>
          <w:p w14:paraId="2417415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6.400 €</w:t>
            </w:r>
          </w:p>
        </w:tc>
        <w:tc>
          <w:tcPr>
            <w:tcW w:w="1985" w:type="dxa"/>
            <w:tcBorders>
              <w:top w:val="single" w:sz="4" w:space="0" w:color="FFFFFF"/>
              <w:left w:val="single" w:sz="4" w:space="0" w:color="FFFFFF"/>
              <w:bottom w:val="single" w:sz="4" w:space="0" w:color="FFFFFF"/>
              <w:right w:val="single" w:sz="4" w:space="0" w:color="FFFFFF"/>
            </w:tcBorders>
            <w:vAlign w:val="bottom"/>
          </w:tcPr>
          <w:p w14:paraId="2B32584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0,4%</w:t>
            </w:r>
          </w:p>
        </w:tc>
        <w:tc>
          <w:tcPr>
            <w:tcW w:w="1963" w:type="dxa"/>
            <w:tcBorders>
              <w:top w:val="single" w:sz="4" w:space="0" w:color="FFFFFF"/>
              <w:left w:val="single" w:sz="4" w:space="0" w:color="FFFFFF"/>
              <w:bottom w:val="single" w:sz="4" w:space="0" w:color="FFFFFF"/>
              <w:right w:val="single" w:sz="4" w:space="0" w:color="FFFFFF"/>
            </w:tcBorders>
            <w:vAlign w:val="bottom"/>
          </w:tcPr>
          <w:p w14:paraId="4571AC6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10,4%</w:t>
            </w:r>
          </w:p>
        </w:tc>
      </w:tr>
      <w:tr w:rsidR="006B2717" w14:paraId="3B2C3FDE"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0B0E12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Moncloa - Aravaca</w:t>
            </w:r>
          </w:p>
        </w:tc>
        <w:tc>
          <w:tcPr>
            <w:tcW w:w="2268" w:type="dxa"/>
            <w:tcBorders>
              <w:top w:val="single" w:sz="4" w:space="0" w:color="FFFFFF"/>
              <w:left w:val="single" w:sz="4" w:space="0" w:color="FFFFFF"/>
              <w:bottom w:val="single" w:sz="4" w:space="0" w:color="FFFFFF"/>
              <w:right w:val="single" w:sz="4" w:space="0" w:color="FFFFFF"/>
            </w:tcBorders>
            <w:vAlign w:val="bottom"/>
          </w:tcPr>
          <w:p w14:paraId="4CBA1BF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7.504 €</w:t>
            </w:r>
          </w:p>
        </w:tc>
        <w:tc>
          <w:tcPr>
            <w:tcW w:w="1985" w:type="dxa"/>
            <w:tcBorders>
              <w:top w:val="single" w:sz="4" w:space="0" w:color="FFFFFF"/>
              <w:left w:val="single" w:sz="4" w:space="0" w:color="FFFFFF"/>
              <w:bottom w:val="single" w:sz="4" w:space="0" w:color="FFFFFF"/>
              <w:right w:val="single" w:sz="4" w:space="0" w:color="FFFFFF"/>
            </w:tcBorders>
            <w:vAlign w:val="bottom"/>
          </w:tcPr>
          <w:p w14:paraId="1AD080C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0,0%</w:t>
            </w:r>
          </w:p>
        </w:tc>
        <w:tc>
          <w:tcPr>
            <w:tcW w:w="1963" w:type="dxa"/>
            <w:tcBorders>
              <w:top w:val="single" w:sz="4" w:space="0" w:color="FFFFFF"/>
              <w:left w:val="single" w:sz="4" w:space="0" w:color="FFFFFF"/>
              <w:bottom w:val="single" w:sz="4" w:space="0" w:color="FFFFFF"/>
              <w:right w:val="single" w:sz="4" w:space="0" w:color="FFFFFF"/>
            </w:tcBorders>
            <w:vAlign w:val="bottom"/>
          </w:tcPr>
          <w:p w14:paraId="4BE8C07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9,3%</w:t>
            </w:r>
          </w:p>
        </w:tc>
      </w:tr>
      <w:tr w:rsidR="006B2717" w14:paraId="2BA9196E"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2B9AE8B0"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San Blas</w:t>
            </w:r>
          </w:p>
        </w:tc>
        <w:tc>
          <w:tcPr>
            <w:tcW w:w="2268" w:type="dxa"/>
            <w:tcBorders>
              <w:top w:val="single" w:sz="4" w:space="0" w:color="FFFFFF"/>
              <w:left w:val="single" w:sz="4" w:space="0" w:color="FFFFFF"/>
              <w:bottom w:val="single" w:sz="4" w:space="0" w:color="FFFFFF"/>
              <w:right w:val="single" w:sz="4" w:space="0" w:color="FFFFFF"/>
            </w:tcBorders>
            <w:vAlign w:val="bottom"/>
          </w:tcPr>
          <w:p w14:paraId="70DD74E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4.162 €</w:t>
            </w:r>
          </w:p>
        </w:tc>
        <w:tc>
          <w:tcPr>
            <w:tcW w:w="1985" w:type="dxa"/>
            <w:tcBorders>
              <w:top w:val="single" w:sz="4" w:space="0" w:color="FFFFFF"/>
              <w:left w:val="single" w:sz="4" w:space="0" w:color="FFFFFF"/>
              <w:bottom w:val="single" w:sz="4" w:space="0" w:color="FFFFFF"/>
              <w:right w:val="single" w:sz="4" w:space="0" w:color="FFFFFF"/>
            </w:tcBorders>
            <w:vAlign w:val="bottom"/>
          </w:tcPr>
          <w:p w14:paraId="7ADA1735"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-0,8%</w:t>
            </w:r>
          </w:p>
        </w:tc>
        <w:tc>
          <w:tcPr>
            <w:tcW w:w="1963" w:type="dxa"/>
            <w:tcBorders>
              <w:top w:val="single" w:sz="4" w:space="0" w:color="FFFFFF"/>
              <w:left w:val="single" w:sz="4" w:space="0" w:color="FFFFFF"/>
              <w:bottom w:val="single" w:sz="4" w:space="0" w:color="FFFFFF"/>
              <w:right w:val="single" w:sz="4" w:space="0" w:color="FFFFFF"/>
            </w:tcBorders>
            <w:vAlign w:val="bottom"/>
          </w:tcPr>
          <w:p w14:paraId="1BB9381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8,6%</w:t>
            </w:r>
          </w:p>
        </w:tc>
      </w:tr>
      <w:tr w:rsidR="006B2717" w14:paraId="662DA890"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141535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Ciudad Lineal</w:t>
            </w:r>
          </w:p>
        </w:tc>
        <w:tc>
          <w:tcPr>
            <w:tcW w:w="2268" w:type="dxa"/>
            <w:tcBorders>
              <w:top w:val="single" w:sz="4" w:space="0" w:color="FFFFFF"/>
              <w:left w:val="single" w:sz="4" w:space="0" w:color="FFFFFF"/>
              <w:bottom w:val="single" w:sz="4" w:space="0" w:color="FFFFFF"/>
              <w:right w:val="single" w:sz="4" w:space="0" w:color="FFFFFF"/>
            </w:tcBorders>
            <w:vAlign w:val="bottom"/>
          </w:tcPr>
          <w:p w14:paraId="122754A0"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5.418 €</w:t>
            </w:r>
          </w:p>
        </w:tc>
        <w:tc>
          <w:tcPr>
            <w:tcW w:w="1985" w:type="dxa"/>
            <w:tcBorders>
              <w:top w:val="single" w:sz="4" w:space="0" w:color="FFFFFF"/>
              <w:left w:val="single" w:sz="4" w:space="0" w:color="FFFFFF"/>
              <w:bottom w:val="single" w:sz="4" w:space="0" w:color="FFFFFF"/>
              <w:right w:val="single" w:sz="4" w:space="0" w:color="FFFFFF"/>
            </w:tcBorders>
            <w:vAlign w:val="bottom"/>
          </w:tcPr>
          <w:p w14:paraId="09E6490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-0,5%</w:t>
            </w:r>
          </w:p>
        </w:tc>
        <w:tc>
          <w:tcPr>
            <w:tcW w:w="1963" w:type="dxa"/>
            <w:tcBorders>
              <w:top w:val="single" w:sz="4" w:space="0" w:color="FFFFFF"/>
              <w:left w:val="single" w:sz="4" w:space="0" w:color="FFFFFF"/>
              <w:bottom w:val="single" w:sz="4" w:space="0" w:color="FFFFFF"/>
              <w:right w:val="single" w:sz="4" w:space="0" w:color="FFFFFF"/>
            </w:tcBorders>
            <w:vAlign w:val="bottom"/>
          </w:tcPr>
          <w:p w14:paraId="628D6A2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7,7%</w:t>
            </w:r>
          </w:p>
        </w:tc>
      </w:tr>
      <w:tr w:rsidR="006B2717" w14:paraId="7202FE2E"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00A8931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Vicálvaro</w:t>
            </w:r>
          </w:p>
        </w:tc>
        <w:tc>
          <w:tcPr>
            <w:tcW w:w="2268" w:type="dxa"/>
            <w:tcBorders>
              <w:top w:val="single" w:sz="4" w:space="0" w:color="FFFFFF"/>
              <w:left w:val="single" w:sz="4" w:space="0" w:color="FFFFFF"/>
              <w:bottom w:val="single" w:sz="4" w:space="0" w:color="FFFFFF"/>
              <w:right w:val="single" w:sz="4" w:space="0" w:color="FFFFFF"/>
            </w:tcBorders>
            <w:vAlign w:val="bottom"/>
          </w:tcPr>
          <w:p w14:paraId="5E1F15E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4.164 €</w:t>
            </w:r>
          </w:p>
        </w:tc>
        <w:tc>
          <w:tcPr>
            <w:tcW w:w="1985" w:type="dxa"/>
            <w:tcBorders>
              <w:top w:val="single" w:sz="4" w:space="0" w:color="FFFFFF"/>
              <w:left w:val="single" w:sz="4" w:space="0" w:color="FFFFFF"/>
              <w:bottom w:val="single" w:sz="4" w:space="0" w:color="FFFFFF"/>
              <w:right w:val="single" w:sz="4" w:space="0" w:color="FFFFFF"/>
            </w:tcBorders>
            <w:vAlign w:val="bottom"/>
          </w:tcPr>
          <w:p w14:paraId="6998C64A"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1,7%</w:t>
            </w:r>
          </w:p>
        </w:tc>
        <w:tc>
          <w:tcPr>
            <w:tcW w:w="1963" w:type="dxa"/>
            <w:tcBorders>
              <w:top w:val="single" w:sz="4" w:space="0" w:color="FFFFFF"/>
              <w:left w:val="single" w:sz="4" w:space="0" w:color="FFFFFF"/>
              <w:bottom w:val="single" w:sz="4" w:space="0" w:color="FFFFFF"/>
              <w:right w:val="single" w:sz="4" w:space="0" w:color="FFFFFF"/>
            </w:tcBorders>
            <w:vAlign w:val="bottom"/>
          </w:tcPr>
          <w:p w14:paraId="24FBFC1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7,7%</w:t>
            </w:r>
          </w:p>
        </w:tc>
      </w:tr>
      <w:tr w:rsidR="006B2717" w14:paraId="78D80EF3"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7DE2644"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Chamberí</w:t>
            </w:r>
          </w:p>
        </w:tc>
        <w:tc>
          <w:tcPr>
            <w:tcW w:w="2268" w:type="dxa"/>
            <w:tcBorders>
              <w:top w:val="single" w:sz="4" w:space="0" w:color="FFFFFF"/>
              <w:left w:val="single" w:sz="4" w:space="0" w:color="FFFFFF"/>
              <w:bottom w:val="single" w:sz="4" w:space="0" w:color="FFFFFF"/>
              <w:right w:val="single" w:sz="4" w:space="0" w:color="FFFFFF"/>
            </w:tcBorders>
            <w:vAlign w:val="bottom"/>
          </w:tcPr>
          <w:p w14:paraId="206EECC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9.327 €</w:t>
            </w:r>
          </w:p>
        </w:tc>
        <w:tc>
          <w:tcPr>
            <w:tcW w:w="1985" w:type="dxa"/>
            <w:tcBorders>
              <w:top w:val="single" w:sz="4" w:space="0" w:color="FFFFFF"/>
              <w:left w:val="single" w:sz="4" w:space="0" w:color="FFFFFF"/>
              <w:bottom w:val="single" w:sz="4" w:space="0" w:color="FFFFFF"/>
              <w:right w:val="single" w:sz="4" w:space="0" w:color="FFFFFF"/>
            </w:tcBorders>
            <w:vAlign w:val="bottom"/>
          </w:tcPr>
          <w:p w14:paraId="5A7E3B53"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-0,4%</w:t>
            </w:r>
          </w:p>
        </w:tc>
        <w:tc>
          <w:tcPr>
            <w:tcW w:w="1963" w:type="dxa"/>
            <w:tcBorders>
              <w:top w:val="single" w:sz="4" w:space="0" w:color="FFFFFF"/>
              <w:left w:val="single" w:sz="4" w:space="0" w:color="FFFFFF"/>
              <w:bottom w:val="single" w:sz="4" w:space="0" w:color="FFFFFF"/>
              <w:right w:val="single" w:sz="4" w:space="0" w:color="FFFFFF"/>
            </w:tcBorders>
            <w:vAlign w:val="bottom"/>
          </w:tcPr>
          <w:p w14:paraId="37B6BF5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5,2%</w:t>
            </w:r>
          </w:p>
        </w:tc>
      </w:tr>
      <w:tr w:rsidR="006B2717" w14:paraId="7B6BE695"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13C27B0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Arganzuela</w:t>
            </w:r>
          </w:p>
        </w:tc>
        <w:tc>
          <w:tcPr>
            <w:tcW w:w="2268" w:type="dxa"/>
            <w:tcBorders>
              <w:top w:val="single" w:sz="4" w:space="0" w:color="FFFFFF"/>
              <w:left w:val="single" w:sz="4" w:space="0" w:color="FFFFFF"/>
              <w:bottom w:val="single" w:sz="4" w:space="0" w:color="FFFFFF"/>
              <w:right w:val="single" w:sz="4" w:space="0" w:color="FFFFFF"/>
            </w:tcBorders>
            <w:vAlign w:val="bottom"/>
          </w:tcPr>
          <w:p w14:paraId="26F5E9F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6.089 €</w:t>
            </w:r>
          </w:p>
        </w:tc>
        <w:tc>
          <w:tcPr>
            <w:tcW w:w="1985" w:type="dxa"/>
            <w:tcBorders>
              <w:top w:val="single" w:sz="4" w:space="0" w:color="FFFFFF"/>
              <w:left w:val="single" w:sz="4" w:space="0" w:color="FFFFFF"/>
              <w:bottom w:val="single" w:sz="4" w:space="0" w:color="FFFFFF"/>
              <w:right w:val="single" w:sz="4" w:space="0" w:color="FFFFFF"/>
            </w:tcBorders>
            <w:vAlign w:val="bottom"/>
          </w:tcPr>
          <w:p w14:paraId="431CCA2C"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-2,6%</w:t>
            </w:r>
          </w:p>
        </w:tc>
        <w:tc>
          <w:tcPr>
            <w:tcW w:w="1963" w:type="dxa"/>
            <w:tcBorders>
              <w:top w:val="single" w:sz="4" w:space="0" w:color="FFFFFF"/>
              <w:left w:val="single" w:sz="4" w:space="0" w:color="FFFFFF"/>
              <w:bottom w:val="single" w:sz="4" w:space="0" w:color="FFFFFF"/>
              <w:right w:val="single" w:sz="4" w:space="0" w:color="FFFFFF"/>
            </w:tcBorders>
            <w:vAlign w:val="bottom"/>
          </w:tcPr>
          <w:p w14:paraId="4284CAF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5,0%</w:t>
            </w:r>
          </w:p>
        </w:tc>
      </w:tr>
      <w:tr w:rsidR="006B2717" w14:paraId="7D884FDD"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579D57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Centro</w:t>
            </w:r>
          </w:p>
        </w:tc>
        <w:tc>
          <w:tcPr>
            <w:tcW w:w="2268" w:type="dxa"/>
            <w:tcBorders>
              <w:top w:val="single" w:sz="4" w:space="0" w:color="FFFFFF"/>
              <w:left w:val="single" w:sz="4" w:space="0" w:color="FFFFFF"/>
              <w:bottom w:val="single" w:sz="4" w:space="0" w:color="FFFFFF"/>
              <w:right w:val="single" w:sz="4" w:space="0" w:color="FFFFFF"/>
            </w:tcBorders>
            <w:vAlign w:val="bottom"/>
          </w:tcPr>
          <w:p w14:paraId="5DFE3ED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7.787 €</w:t>
            </w:r>
          </w:p>
        </w:tc>
        <w:tc>
          <w:tcPr>
            <w:tcW w:w="1985" w:type="dxa"/>
            <w:tcBorders>
              <w:top w:val="single" w:sz="4" w:space="0" w:color="FFFFFF"/>
              <w:left w:val="single" w:sz="4" w:space="0" w:color="FFFFFF"/>
              <w:bottom w:val="single" w:sz="4" w:space="0" w:color="FFFFFF"/>
              <w:right w:val="single" w:sz="4" w:space="0" w:color="FFFFFF"/>
            </w:tcBorders>
            <w:vAlign w:val="bottom"/>
          </w:tcPr>
          <w:p w14:paraId="7DBEBD5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-1,4%</w:t>
            </w:r>
          </w:p>
        </w:tc>
        <w:tc>
          <w:tcPr>
            <w:tcW w:w="1963" w:type="dxa"/>
            <w:tcBorders>
              <w:top w:val="single" w:sz="4" w:space="0" w:color="FFFFFF"/>
              <w:left w:val="single" w:sz="4" w:space="0" w:color="FFFFFF"/>
              <w:bottom w:val="single" w:sz="4" w:space="0" w:color="FFFFFF"/>
              <w:right w:val="single" w:sz="4" w:space="0" w:color="FFFFFF"/>
            </w:tcBorders>
            <w:vAlign w:val="bottom"/>
          </w:tcPr>
          <w:p w14:paraId="1973762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4,4%</w:t>
            </w:r>
          </w:p>
        </w:tc>
      </w:tr>
      <w:tr w:rsidR="006B2717" w14:paraId="20D8F11D"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716CDD1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Hortaleza</w:t>
            </w:r>
          </w:p>
        </w:tc>
        <w:tc>
          <w:tcPr>
            <w:tcW w:w="2268" w:type="dxa"/>
            <w:tcBorders>
              <w:top w:val="single" w:sz="4" w:space="0" w:color="FFFFFF"/>
              <w:left w:val="single" w:sz="4" w:space="0" w:color="FFFFFF"/>
              <w:bottom w:val="single" w:sz="4" w:space="0" w:color="FFFFFF"/>
              <w:right w:val="single" w:sz="4" w:space="0" w:color="FFFFFF"/>
            </w:tcBorders>
            <w:vAlign w:val="bottom"/>
          </w:tcPr>
          <w:p w14:paraId="786B062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5.301 €</w:t>
            </w:r>
          </w:p>
        </w:tc>
        <w:tc>
          <w:tcPr>
            <w:tcW w:w="1985" w:type="dxa"/>
            <w:tcBorders>
              <w:top w:val="single" w:sz="4" w:space="0" w:color="FFFFFF"/>
              <w:left w:val="single" w:sz="4" w:space="0" w:color="FFFFFF"/>
              <w:bottom w:val="single" w:sz="4" w:space="0" w:color="FFFFFF"/>
              <w:right w:val="single" w:sz="4" w:space="0" w:color="FFFFFF"/>
            </w:tcBorders>
            <w:vAlign w:val="bottom"/>
          </w:tcPr>
          <w:p w14:paraId="3CD92DE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000000"/>
                <w:sz w:val="22"/>
                <w:szCs w:val="22"/>
              </w:rPr>
              <w:t>0,8%</w:t>
            </w:r>
          </w:p>
        </w:tc>
        <w:tc>
          <w:tcPr>
            <w:tcW w:w="1963" w:type="dxa"/>
            <w:tcBorders>
              <w:top w:val="single" w:sz="4" w:space="0" w:color="FFFFFF"/>
              <w:left w:val="single" w:sz="4" w:space="0" w:color="FFFFFF"/>
              <w:bottom w:val="single" w:sz="4" w:space="0" w:color="FFFFFF"/>
              <w:right w:val="single" w:sz="4" w:space="0" w:color="FFFFFF"/>
            </w:tcBorders>
            <w:vAlign w:val="bottom"/>
          </w:tcPr>
          <w:p w14:paraId="72C23E3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000000"/>
                <w:sz w:val="22"/>
                <w:szCs w:val="22"/>
              </w:rPr>
              <w:t>4,4%</w:t>
            </w:r>
          </w:p>
        </w:tc>
      </w:tr>
      <w:tr w:rsidR="006B2717" w14:paraId="59F68BCF"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3DA69D35"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Barrio de Salamanca</w:t>
            </w:r>
          </w:p>
        </w:tc>
        <w:tc>
          <w:tcPr>
            <w:tcW w:w="2268" w:type="dxa"/>
            <w:tcBorders>
              <w:top w:val="single" w:sz="4" w:space="0" w:color="FFFFFF"/>
              <w:left w:val="single" w:sz="4" w:space="0" w:color="FFFFFF"/>
              <w:bottom w:val="single" w:sz="4" w:space="0" w:color="FFFFFF"/>
              <w:right w:val="single" w:sz="4" w:space="0" w:color="FFFFFF"/>
            </w:tcBorders>
            <w:vAlign w:val="bottom"/>
          </w:tcPr>
          <w:p w14:paraId="3BE9D285"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10.682 €</w:t>
            </w:r>
          </w:p>
        </w:tc>
        <w:tc>
          <w:tcPr>
            <w:tcW w:w="1985" w:type="dxa"/>
            <w:tcBorders>
              <w:top w:val="single" w:sz="4" w:space="0" w:color="FFFFFF"/>
              <w:left w:val="single" w:sz="4" w:space="0" w:color="FFFFFF"/>
              <w:bottom w:val="single" w:sz="4" w:space="0" w:color="FFFFFF"/>
              <w:right w:val="single" w:sz="4" w:space="0" w:color="FFFFFF"/>
            </w:tcBorders>
            <w:vAlign w:val="bottom"/>
          </w:tcPr>
          <w:p w14:paraId="143E111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9C0006"/>
                <w:sz w:val="22"/>
                <w:szCs w:val="22"/>
              </w:rPr>
              <w:t>-1,0%</w:t>
            </w:r>
          </w:p>
        </w:tc>
        <w:tc>
          <w:tcPr>
            <w:tcW w:w="1963" w:type="dxa"/>
            <w:tcBorders>
              <w:top w:val="single" w:sz="4" w:space="0" w:color="FFFFFF"/>
              <w:left w:val="single" w:sz="4" w:space="0" w:color="FFFFFF"/>
              <w:bottom w:val="single" w:sz="4" w:space="0" w:color="FFFFFF"/>
              <w:right w:val="single" w:sz="4" w:space="0" w:color="FFFFFF"/>
            </w:tcBorders>
            <w:vAlign w:val="bottom"/>
          </w:tcPr>
          <w:p w14:paraId="2C231C04"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2,6%</w:t>
            </w:r>
          </w:p>
        </w:tc>
      </w:tr>
      <w:tr w:rsidR="006B2717" w14:paraId="0BC68DC4"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bottom w:val="single" w:sz="4" w:space="0" w:color="FFFFFF"/>
              <w:right w:val="single" w:sz="4" w:space="0" w:color="FFFFFF"/>
            </w:tcBorders>
            <w:vAlign w:val="bottom"/>
          </w:tcPr>
          <w:p w14:paraId="625E738A"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Fuencarral - El Pardo</w:t>
            </w:r>
          </w:p>
        </w:tc>
        <w:tc>
          <w:tcPr>
            <w:tcW w:w="2268" w:type="dxa"/>
            <w:tcBorders>
              <w:top w:val="single" w:sz="4" w:space="0" w:color="FFFFFF"/>
              <w:left w:val="single" w:sz="4" w:space="0" w:color="FFFFFF"/>
              <w:bottom w:val="single" w:sz="4" w:space="0" w:color="FFFFFF"/>
              <w:right w:val="single" w:sz="4" w:space="0" w:color="FFFFFF"/>
            </w:tcBorders>
            <w:vAlign w:val="bottom"/>
          </w:tcPr>
          <w:p w14:paraId="5C83723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5.546 €</w:t>
            </w:r>
          </w:p>
        </w:tc>
        <w:tc>
          <w:tcPr>
            <w:tcW w:w="1985" w:type="dxa"/>
            <w:tcBorders>
              <w:top w:val="single" w:sz="4" w:space="0" w:color="FFFFFF"/>
              <w:left w:val="single" w:sz="4" w:space="0" w:color="FFFFFF"/>
              <w:bottom w:val="single" w:sz="4" w:space="0" w:color="FFFFFF"/>
              <w:right w:val="single" w:sz="4" w:space="0" w:color="FFFFFF"/>
            </w:tcBorders>
            <w:vAlign w:val="bottom"/>
          </w:tcPr>
          <w:p w14:paraId="39C07B59"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0,4%</w:t>
            </w:r>
          </w:p>
        </w:tc>
        <w:tc>
          <w:tcPr>
            <w:tcW w:w="1963" w:type="dxa"/>
            <w:tcBorders>
              <w:top w:val="single" w:sz="4" w:space="0" w:color="FFFFFF"/>
              <w:left w:val="single" w:sz="4" w:space="0" w:color="FFFFFF"/>
              <w:bottom w:val="single" w:sz="4" w:space="0" w:color="FFFFFF"/>
              <w:right w:val="single" w:sz="4" w:space="0" w:color="FFFFFF"/>
            </w:tcBorders>
            <w:vAlign w:val="bottom"/>
          </w:tcPr>
          <w:p w14:paraId="2848CBF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000000"/>
                <w:sz w:val="22"/>
                <w:szCs w:val="22"/>
              </w:rPr>
            </w:pPr>
            <w:r>
              <w:rPr>
                <w:rFonts w:ascii="Open Sans" w:eastAsia="Open Sans" w:hAnsi="Open Sans" w:cs="Open Sans"/>
                <w:b/>
                <w:bCs/>
                <w:color w:val="000000"/>
                <w:sz w:val="22"/>
                <w:szCs w:val="22"/>
              </w:rPr>
              <w:t>0,4%</w:t>
            </w:r>
          </w:p>
        </w:tc>
      </w:tr>
      <w:tr w:rsidR="006B2717" w14:paraId="3D606C00"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right w:val="single" w:sz="4" w:space="0" w:color="FFFFFF"/>
            </w:tcBorders>
            <w:vAlign w:val="bottom"/>
          </w:tcPr>
          <w:p w14:paraId="5B395E69"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Retiro</w:t>
            </w:r>
          </w:p>
        </w:tc>
        <w:tc>
          <w:tcPr>
            <w:tcW w:w="2268" w:type="dxa"/>
            <w:tcBorders>
              <w:top w:val="single" w:sz="4" w:space="0" w:color="FFFFFF"/>
              <w:left w:val="single" w:sz="4" w:space="0" w:color="FFFFFF"/>
              <w:bottom w:val="single" w:sz="4" w:space="0" w:color="FFFFFF"/>
              <w:right w:val="single" w:sz="4" w:space="0" w:color="FFFFFF"/>
            </w:tcBorders>
            <w:vAlign w:val="bottom"/>
          </w:tcPr>
          <w:p w14:paraId="42E7C38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8.563 €</w:t>
            </w:r>
          </w:p>
        </w:tc>
        <w:tc>
          <w:tcPr>
            <w:tcW w:w="1985" w:type="dxa"/>
            <w:tcBorders>
              <w:top w:val="single" w:sz="4" w:space="0" w:color="FFFFFF"/>
              <w:left w:val="single" w:sz="4" w:space="0" w:color="FFFFFF"/>
              <w:bottom w:val="single" w:sz="4" w:space="0" w:color="FFFFFF"/>
              <w:right w:val="single" w:sz="4" w:space="0" w:color="FFFFFF"/>
            </w:tcBorders>
            <w:vAlign w:val="bottom"/>
          </w:tcPr>
          <w:p w14:paraId="5045D72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color w:val="9C0006"/>
                <w:sz w:val="22"/>
                <w:szCs w:val="22"/>
              </w:rPr>
              <w:t>-0,8%</w:t>
            </w:r>
          </w:p>
        </w:tc>
        <w:tc>
          <w:tcPr>
            <w:tcW w:w="1963" w:type="dxa"/>
            <w:tcBorders>
              <w:top w:val="single" w:sz="4" w:space="0" w:color="FFFFFF"/>
              <w:left w:val="single" w:sz="4" w:space="0" w:color="FFFFFF"/>
              <w:bottom w:val="single" w:sz="4" w:space="0" w:color="FFFFFF"/>
              <w:right w:val="single" w:sz="4" w:space="0" w:color="FFFFFF"/>
            </w:tcBorders>
            <w:vAlign w:val="bottom"/>
          </w:tcPr>
          <w:p w14:paraId="225BF8B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color w:val="9C0006"/>
                <w:sz w:val="22"/>
                <w:szCs w:val="22"/>
              </w:rPr>
              <w:t>-1,1%</w:t>
            </w:r>
          </w:p>
        </w:tc>
      </w:tr>
    </w:tbl>
    <w:p w14:paraId="371C23B4" w14:textId="77777777" w:rsidR="006B2717" w:rsidRDefault="00000000">
      <w:pPr>
        <w:pBdr>
          <w:top w:val="nil"/>
          <w:left w:val="nil"/>
          <w:bottom w:val="nil"/>
          <w:right w:val="nil"/>
          <w:between w:val="nil"/>
        </w:pBdr>
        <w:shd w:val="clear" w:color="auto" w:fill="FFFFFF"/>
        <w:spacing w:before="280" w:after="280" w:line="276" w:lineRule="auto"/>
        <w:jc w:val="both"/>
        <w:rPr>
          <w:rFonts w:ascii="Open Sans Light" w:eastAsia="Open Sans Light" w:hAnsi="Open Sans Light" w:cs="Open Sans Light"/>
          <w:b/>
          <w:bCs/>
          <w:color w:val="303AB2"/>
          <w:sz w:val="28"/>
          <w:szCs w:val="28"/>
        </w:rPr>
      </w:pPr>
      <w:r>
        <w:rPr>
          <w:rFonts w:ascii="Open Sans Light" w:eastAsia="Open Sans Light" w:hAnsi="Open Sans Light" w:cs="Open Sans Light"/>
          <w:b/>
          <w:bCs/>
          <w:color w:val="303AB2"/>
          <w:sz w:val="28"/>
          <w:szCs w:val="28"/>
        </w:rPr>
        <w:t>Distritos de Barcelona</w:t>
      </w:r>
    </w:p>
    <w:p w14:paraId="4D9272DA" w14:textId="77777777" w:rsidR="006B2717" w:rsidRDefault="00000000">
      <w:pPr>
        <w:spacing w:line="276" w:lineRule="auto"/>
        <w:jc w:val="both"/>
        <w:rPr>
          <w:rFonts w:ascii="Open Sans" w:eastAsia="Open Sans" w:hAnsi="Open Sans" w:cs="Open Sans"/>
          <w:color w:val="000000"/>
        </w:rPr>
      </w:pPr>
      <w:r>
        <w:rPr>
          <w:rFonts w:ascii="Open Sans" w:eastAsia="Open Sans" w:hAnsi="Open Sans" w:cs="Open Sans"/>
          <w:color w:val="000000"/>
        </w:rPr>
        <w:t xml:space="preserve">El precio medio de la vivienda de segunda mano sube en nueve los diez distritos con variación interanual analizados por </w:t>
      </w:r>
      <w:hyperlink r:id="rId16">
        <w:r>
          <w:rPr>
            <w:rFonts w:ascii="Open Sans" w:eastAsia="Open Sans" w:hAnsi="Open Sans" w:cs="Open Sans"/>
            <w:color w:val="0000FF"/>
            <w:u w:val="single"/>
          </w:rPr>
          <w:t>Fotocasa</w:t>
        </w:r>
      </w:hyperlink>
      <w:r>
        <w:rPr>
          <w:rFonts w:ascii="Open Sans" w:eastAsia="Open Sans" w:hAnsi="Open Sans" w:cs="Open Sans"/>
          <w:color w:val="4472C4"/>
        </w:rPr>
        <w:t xml:space="preserve">. </w:t>
      </w:r>
      <w:r>
        <w:rPr>
          <w:rFonts w:ascii="Open Sans" w:eastAsia="Open Sans" w:hAnsi="Open Sans" w:cs="Open Sans"/>
          <w:color w:val="000000"/>
        </w:rPr>
        <w:t>Los incrementos de la vivienda corresponden a los distritos de</w:t>
      </w:r>
      <w:r>
        <w:t xml:space="preserve"> </w:t>
      </w:r>
      <w:proofErr w:type="gramStart"/>
      <w:r>
        <w:rPr>
          <w:rFonts w:ascii="Open Sans" w:eastAsia="Open Sans" w:hAnsi="Open Sans" w:cs="Open Sans"/>
          <w:color w:val="000000"/>
        </w:rPr>
        <w:t>Gràcia  (</w:t>
      </w:r>
      <w:proofErr w:type="gramEnd"/>
      <w:r>
        <w:rPr>
          <w:rFonts w:ascii="Open Sans" w:eastAsia="Open Sans" w:hAnsi="Open Sans" w:cs="Open Sans"/>
          <w:color w:val="000000"/>
        </w:rPr>
        <w:t>11,6%), Nou Barris (11,5%), Sarrià - Sant Gervasi (7,8%), Les Corts (5,6%), Horta - Guinardó (5,4%</w:t>
      </w:r>
      <w:proofErr w:type="gramStart"/>
      <w:r>
        <w:rPr>
          <w:rFonts w:ascii="Open Sans" w:eastAsia="Open Sans" w:hAnsi="Open Sans" w:cs="Open Sans"/>
          <w:color w:val="000000"/>
        </w:rPr>
        <w:t>),Sants</w:t>
      </w:r>
      <w:proofErr w:type="gramEnd"/>
      <w:r>
        <w:rPr>
          <w:rFonts w:ascii="Open Sans" w:eastAsia="Open Sans" w:hAnsi="Open Sans" w:cs="Open Sans"/>
          <w:color w:val="000000"/>
        </w:rPr>
        <w:t xml:space="preserve"> - Montjuïc (2,7%), Eixample (2,4%), Sant Martí (1,1%) y Sant Andreu (0,1%). El único distrito con descenso interanual es </w:t>
      </w:r>
      <w:proofErr w:type="spellStart"/>
      <w:r>
        <w:rPr>
          <w:rFonts w:ascii="Open Sans" w:eastAsia="Open Sans" w:hAnsi="Open Sans" w:cs="Open Sans"/>
          <w:color w:val="000000"/>
        </w:rPr>
        <w:t>Ciutat</w:t>
      </w:r>
      <w:proofErr w:type="spellEnd"/>
      <w:r>
        <w:rPr>
          <w:rFonts w:ascii="Open Sans" w:eastAsia="Open Sans" w:hAnsi="Open Sans" w:cs="Open Sans"/>
          <w:color w:val="000000"/>
        </w:rPr>
        <w:t xml:space="preserve"> Vella (-2,7%).</w:t>
      </w:r>
    </w:p>
    <w:p w14:paraId="064CF375" w14:textId="77777777" w:rsidR="006B2717" w:rsidRDefault="006B2717">
      <w:pPr>
        <w:spacing w:line="276" w:lineRule="auto"/>
        <w:jc w:val="both"/>
        <w:rPr>
          <w:rFonts w:ascii="Open Sans" w:eastAsia="Open Sans" w:hAnsi="Open Sans" w:cs="Open Sans"/>
          <w:color w:val="000000"/>
        </w:rPr>
      </w:pPr>
    </w:p>
    <w:p w14:paraId="5124964F" w14:textId="77777777" w:rsidR="006B2717" w:rsidRDefault="00000000">
      <w:pPr>
        <w:spacing w:line="276" w:lineRule="auto"/>
        <w:jc w:val="both"/>
        <w:rPr>
          <w:rFonts w:ascii="Open Sans" w:eastAsia="Open Sans" w:hAnsi="Open Sans" w:cs="Open Sans"/>
          <w:color w:val="000000"/>
        </w:rPr>
      </w:pPr>
      <w:r>
        <w:rPr>
          <w:rFonts w:ascii="Open Sans" w:eastAsia="Open Sans" w:hAnsi="Open Sans" w:cs="Open Sans"/>
          <w:color w:val="000000"/>
        </w:rPr>
        <w:t>En cuanto al precio por metro cuadrado en julio, vemos que el orden de los distritos de mayor a menor precio es:</w:t>
      </w:r>
      <w:r>
        <w:t xml:space="preserve"> </w:t>
      </w:r>
      <w:r>
        <w:rPr>
          <w:rFonts w:ascii="Open Sans" w:eastAsia="Open Sans" w:hAnsi="Open Sans" w:cs="Open Sans"/>
          <w:color w:val="000000"/>
        </w:rPr>
        <w:t>Sarrià - Sant Gervasi con 7.617 euros/m</w:t>
      </w:r>
      <w:r>
        <w:rPr>
          <w:rFonts w:ascii="Open Sans" w:eastAsia="Open Sans" w:hAnsi="Open Sans" w:cs="Open Sans"/>
          <w:color w:val="000000"/>
          <w:vertAlign w:val="superscript"/>
        </w:rPr>
        <w:t>2</w:t>
      </w:r>
      <w:r>
        <w:rPr>
          <w:rFonts w:ascii="Open Sans" w:eastAsia="Open Sans" w:hAnsi="Open Sans" w:cs="Open Sans"/>
          <w:color w:val="000000"/>
        </w:rPr>
        <w:t>, Eixample con 6.769 euros/m</w:t>
      </w:r>
      <w:r>
        <w:rPr>
          <w:rFonts w:ascii="Open Sans" w:eastAsia="Open Sans" w:hAnsi="Open Sans" w:cs="Open Sans"/>
          <w:color w:val="000000"/>
          <w:vertAlign w:val="superscript"/>
        </w:rPr>
        <w:t>2</w:t>
      </w:r>
      <w:r>
        <w:rPr>
          <w:rFonts w:ascii="Open Sans" w:eastAsia="Open Sans" w:hAnsi="Open Sans" w:cs="Open Sans"/>
          <w:color w:val="000000"/>
        </w:rPr>
        <w:t>, Les Corts con 6.389 euros/m</w:t>
      </w:r>
      <w:r>
        <w:rPr>
          <w:rFonts w:ascii="Open Sans" w:eastAsia="Open Sans" w:hAnsi="Open Sans" w:cs="Open Sans"/>
          <w:color w:val="000000"/>
          <w:vertAlign w:val="superscript"/>
        </w:rPr>
        <w:t>2</w:t>
      </w:r>
      <w:r>
        <w:rPr>
          <w:rFonts w:ascii="Open Sans" w:eastAsia="Open Sans" w:hAnsi="Open Sans" w:cs="Open Sans"/>
          <w:color w:val="000000"/>
        </w:rPr>
        <w:t>, Gràcia con 5.952 euros/m</w:t>
      </w:r>
      <w:r>
        <w:rPr>
          <w:rFonts w:ascii="Open Sans" w:eastAsia="Open Sans" w:hAnsi="Open Sans" w:cs="Open Sans"/>
          <w:color w:val="000000"/>
          <w:vertAlign w:val="superscript"/>
        </w:rPr>
        <w:t>2</w:t>
      </w:r>
      <w:r>
        <w:rPr>
          <w:rFonts w:ascii="Open Sans" w:eastAsia="Open Sans" w:hAnsi="Open Sans" w:cs="Open Sans"/>
          <w:color w:val="000000"/>
        </w:rPr>
        <w:t xml:space="preserve">, </w:t>
      </w:r>
      <w:proofErr w:type="spellStart"/>
      <w:r>
        <w:rPr>
          <w:rFonts w:ascii="Open Sans" w:eastAsia="Open Sans" w:hAnsi="Open Sans" w:cs="Open Sans"/>
          <w:color w:val="000000"/>
        </w:rPr>
        <w:t>Ciutat</w:t>
      </w:r>
      <w:proofErr w:type="spellEnd"/>
      <w:r>
        <w:rPr>
          <w:rFonts w:ascii="Open Sans" w:eastAsia="Open Sans" w:hAnsi="Open Sans" w:cs="Open Sans"/>
          <w:color w:val="000000"/>
        </w:rPr>
        <w:t xml:space="preserve"> Vella con 5.001 euros/m</w:t>
      </w:r>
      <w:r>
        <w:rPr>
          <w:rFonts w:ascii="Open Sans" w:eastAsia="Open Sans" w:hAnsi="Open Sans" w:cs="Open Sans"/>
          <w:color w:val="000000"/>
          <w:vertAlign w:val="superscript"/>
        </w:rPr>
        <w:t>2</w:t>
      </w:r>
      <w:r>
        <w:rPr>
          <w:rFonts w:ascii="Open Sans" w:eastAsia="Open Sans" w:hAnsi="Open Sans" w:cs="Open Sans"/>
          <w:color w:val="000000"/>
        </w:rPr>
        <w:t>, Sant Martí con 4.867 euros/m</w:t>
      </w:r>
      <w:r>
        <w:rPr>
          <w:rFonts w:ascii="Open Sans" w:eastAsia="Open Sans" w:hAnsi="Open Sans" w:cs="Open Sans"/>
          <w:color w:val="000000"/>
          <w:vertAlign w:val="superscript"/>
        </w:rPr>
        <w:t>2</w:t>
      </w:r>
      <w:r>
        <w:rPr>
          <w:rFonts w:ascii="Open Sans" w:eastAsia="Open Sans" w:hAnsi="Open Sans" w:cs="Open Sans"/>
          <w:color w:val="000000"/>
        </w:rPr>
        <w:t>, Sants - Montjuïc con 4.672 euros/m</w:t>
      </w:r>
      <w:r>
        <w:rPr>
          <w:rFonts w:ascii="Open Sans" w:eastAsia="Open Sans" w:hAnsi="Open Sans" w:cs="Open Sans"/>
          <w:color w:val="000000"/>
          <w:vertAlign w:val="superscript"/>
        </w:rPr>
        <w:t>2</w:t>
      </w:r>
      <w:r>
        <w:rPr>
          <w:rFonts w:ascii="Open Sans" w:eastAsia="Open Sans" w:hAnsi="Open Sans" w:cs="Open Sans"/>
          <w:color w:val="000000"/>
        </w:rPr>
        <w:t>, Horta - Guinardó con 4.413 euros/m</w:t>
      </w:r>
      <w:r>
        <w:rPr>
          <w:rFonts w:ascii="Open Sans" w:eastAsia="Open Sans" w:hAnsi="Open Sans" w:cs="Open Sans"/>
          <w:color w:val="000000"/>
          <w:vertAlign w:val="superscript"/>
        </w:rPr>
        <w:t>2</w:t>
      </w:r>
      <w:r>
        <w:rPr>
          <w:rFonts w:ascii="Open Sans" w:eastAsia="Open Sans" w:hAnsi="Open Sans" w:cs="Open Sans"/>
          <w:color w:val="000000"/>
        </w:rPr>
        <w:t>, Sant Andreu con 3.784 euros/m</w:t>
      </w:r>
      <w:r>
        <w:rPr>
          <w:rFonts w:ascii="Open Sans" w:eastAsia="Open Sans" w:hAnsi="Open Sans" w:cs="Open Sans"/>
          <w:color w:val="000000"/>
          <w:vertAlign w:val="superscript"/>
        </w:rPr>
        <w:t>2</w:t>
      </w:r>
      <w:r>
        <w:rPr>
          <w:rFonts w:ascii="Open Sans" w:eastAsia="Open Sans" w:hAnsi="Open Sans" w:cs="Open Sans"/>
          <w:color w:val="000000"/>
        </w:rPr>
        <w:t xml:space="preserve"> y Nou Barris con 3.512 euros/m</w:t>
      </w:r>
      <w:r>
        <w:rPr>
          <w:rFonts w:ascii="Open Sans" w:eastAsia="Open Sans" w:hAnsi="Open Sans" w:cs="Open Sans"/>
          <w:color w:val="000000"/>
          <w:vertAlign w:val="superscript"/>
        </w:rPr>
        <w:t>2</w:t>
      </w:r>
      <w:r>
        <w:rPr>
          <w:rFonts w:ascii="Open Sans" w:eastAsia="Open Sans" w:hAnsi="Open Sans" w:cs="Open Sans"/>
          <w:color w:val="000000"/>
        </w:rPr>
        <w:t>.</w:t>
      </w:r>
    </w:p>
    <w:p w14:paraId="03A7477E" w14:textId="77777777" w:rsidR="006B2717" w:rsidRDefault="00000000">
      <w:pPr>
        <w:pBdr>
          <w:top w:val="nil"/>
          <w:left w:val="nil"/>
          <w:bottom w:val="nil"/>
          <w:right w:val="nil"/>
          <w:between w:val="nil"/>
        </w:pBdr>
        <w:spacing w:before="280" w:after="280" w:line="276" w:lineRule="auto"/>
        <w:jc w:val="both"/>
        <w:rPr>
          <w:rFonts w:ascii="Open Sans Light" w:eastAsia="Open Sans Light" w:hAnsi="Open Sans Light" w:cs="Open Sans Light"/>
          <w:b/>
          <w:bCs/>
          <w:color w:val="303AB2"/>
          <w:sz w:val="28"/>
          <w:szCs w:val="28"/>
        </w:rPr>
      </w:pPr>
      <w:bookmarkStart w:id="6" w:name="_heading=h.3pr7wyocbvrt" w:colFirst="0" w:colLast="0"/>
      <w:bookmarkEnd w:id="6"/>
      <w:r>
        <w:rPr>
          <w:rFonts w:ascii="Open Sans Light" w:eastAsia="Open Sans Light" w:hAnsi="Open Sans Light" w:cs="Open Sans Light"/>
          <w:b/>
          <w:bCs/>
          <w:color w:val="303AB2"/>
          <w:sz w:val="28"/>
          <w:szCs w:val="28"/>
        </w:rPr>
        <w:t>Distritos de Barcelona de mayor a menor incremento interanual</w:t>
      </w:r>
    </w:p>
    <w:tbl>
      <w:tblPr>
        <w:tblStyle w:val="a7"/>
        <w:tblW w:w="905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94"/>
        <w:gridCol w:w="2409"/>
        <w:gridCol w:w="1985"/>
        <w:gridCol w:w="1963"/>
      </w:tblGrid>
      <w:tr w:rsidR="006B2717" w14:paraId="0AED110D" w14:textId="77777777" w:rsidTr="006B2717">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FFFFFF"/>
            </w:tcBorders>
            <w:vAlign w:val="center"/>
          </w:tcPr>
          <w:p w14:paraId="436E6AB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Distrito</w:t>
            </w:r>
          </w:p>
        </w:tc>
        <w:tc>
          <w:tcPr>
            <w:tcW w:w="2409" w:type="dxa"/>
            <w:tcBorders>
              <w:bottom w:val="single" w:sz="4" w:space="0" w:color="FFFFFF"/>
            </w:tcBorders>
            <w:vAlign w:val="center"/>
          </w:tcPr>
          <w:p w14:paraId="7E01B6D0"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Julio 2026</w:t>
            </w:r>
          </w:p>
          <w:p w14:paraId="22CF47D2"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(euros/m²)</w:t>
            </w:r>
          </w:p>
        </w:tc>
        <w:tc>
          <w:tcPr>
            <w:tcW w:w="1985" w:type="dxa"/>
            <w:tcBorders>
              <w:bottom w:val="single" w:sz="4" w:space="0" w:color="FFFFFF"/>
            </w:tcBorders>
            <w:vAlign w:val="center"/>
          </w:tcPr>
          <w:p w14:paraId="0502F951"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mensual (%)</w:t>
            </w:r>
          </w:p>
        </w:tc>
        <w:tc>
          <w:tcPr>
            <w:tcW w:w="1963" w:type="dxa"/>
            <w:tcBorders>
              <w:bottom w:val="single" w:sz="4" w:space="0" w:color="FFFFFF"/>
            </w:tcBorders>
            <w:vAlign w:val="center"/>
          </w:tcPr>
          <w:p w14:paraId="5E234A7A" w14:textId="77777777" w:rsidR="006B2717" w:rsidRDefault="00000000">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Pr>
                <w:rFonts w:ascii="Open Sans" w:eastAsia="Open Sans" w:hAnsi="Open Sans" w:cs="Open Sans"/>
                <w:b w:val="0"/>
                <w:bCs w:val="0"/>
                <w:sz w:val="22"/>
                <w:szCs w:val="22"/>
              </w:rPr>
              <w:t>Variación interanual (%)</w:t>
            </w:r>
          </w:p>
        </w:tc>
      </w:tr>
      <w:tr w:rsidR="006B2717" w14:paraId="6B69DEDE"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43B3D453"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Gràcia</w:t>
            </w:r>
          </w:p>
        </w:tc>
        <w:tc>
          <w:tcPr>
            <w:tcW w:w="2409" w:type="dxa"/>
            <w:tcBorders>
              <w:top w:val="single" w:sz="4" w:space="0" w:color="FFFFFF"/>
              <w:left w:val="single" w:sz="4" w:space="0" w:color="FFFFFF"/>
              <w:bottom w:val="single" w:sz="4" w:space="0" w:color="FFFFFF"/>
              <w:right w:val="single" w:sz="4" w:space="0" w:color="FFFFFF"/>
            </w:tcBorders>
            <w:vAlign w:val="bottom"/>
          </w:tcPr>
          <w:p w14:paraId="64E53B4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5.952 €</w:t>
            </w:r>
          </w:p>
        </w:tc>
        <w:tc>
          <w:tcPr>
            <w:tcW w:w="1985" w:type="dxa"/>
            <w:tcBorders>
              <w:top w:val="single" w:sz="4" w:space="0" w:color="FFFFFF"/>
              <w:left w:val="single" w:sz="4" w:space="0" w:color="FFFFFF"/>
              <w:bottom w:val="single" w:sz="4" w:space="0" w:color="FFFFFF"/>
              <w:right w:val="single" w:sz="4" w:space="0" w:color="FFFFFF"/>
            </w:tcBorders>
            <w:vAlign w:val="bottom"/>
          </w:tcPr>
          <w:p w14:paraId="491F3B47"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-1,6%</w:t>
            </w:r>
          </w:p>
        </w:tc>
        <w:tc>
          <w:tcPr>
            <w:tcW w:w="1963" w:type="dxa"/>
            <w:tcBorders>
              <w:top w:val="single" w:sz="4" w:space="0" w:color="FFFFFF"/>
              <w:left w:val="single" w:sz="4" w:space="0" w:color="FFFFFF"/>
              <w:bottom w:val="single" w:sz="4" w:space="0" w:color="FFFFFF"/>
              <w:right w:val="single" w:sz="4" w:space="0" w:color="FFFFFF"/>
            </w:tcBorders>
            <w:vAlign w:val="bottom"/>
          </w:tcPr>
          <w:p w14:paraId="4E31E6A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11,6%</w:t>
            </w:r>
          </w:p>
        </w:tc>
      </w:tr>
      <w:tr w:rsidR="006B2717" w14:paraId="73F107E9"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5797DAD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Nou Barris</w:t>
            </w:r>
          </w:p>
        </w:tc>
        <w:tc>
          <w:tcPr>
            <w:tcW w:w="2409" w:type="dxa"/>
            <w:tcBorders>
              <w:top w:val="single" w:sz="4" w:space="0" w:color="FFFFFF"/>
              <w:left w:val="single" w:sz="4" w:space="0" w:color="FFFFFF"/>
              <w:bottom w:val="single" w:sz="4" w:space="0" w:color="FFFFFF"/>
              <w:right w:val="single" w:sz="4" w:space="0" w:color="FFFFFF"/>
            </w:tcBorders>
            <w:vAlign w:val="bottom"/>
          </w:tcPr>
          <w:p w14:paraId="77B25A9D"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3.512 €</w:t>
            </w:r>
          </w:p>
        </w:tc>
        <w:tc>
          <w:tcPr>
            <w:tcW w:w="1985" w:type="dxa"/>
            <w:tcBorders>
              <w:top w:val="single" w:sz="4" w:space="0" w:color="FFFFFF"/>
              <w:left w:val="single" w:sz="4" w:space="0" w:color="FFFFFF"/>
              <w:bottom w:val="single" w:sz="4" w:space="0" w:color="FFFFFF"/>
              <w:right w:val="single" w:sz="4" w:space="0" w:color="FFFFFF"/>
            </w:tcBorders>
            <w:vAlign w:val="bottom"/>
          </w:tcPr>
          <w:p w14:paraId="104B3F4F"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-3,6%</w:t>
            </w:r>
          </w:p>
        </w:tc>
        <w:tc>
          <w:tcPr>
            <w:tcW w:w="1963" w:type="dxa"/>
            <w:tcBorders>
              <w:top w:val="single" w:sz="4" w:space="0" w:color="FFFFFF"/>
              <w:left w:val="single" w:sz="4" w:space="0" w:color="FFFFFF"/>
              <w:bottom w:val="single" w:sz="4" w:space="0" w:color="FFFFFF"/>
              <w:right w:val="single" w:sz="4" w:space="0" w:color="FFFFFF"/>
            </w:tcBorders>
            <w:vAlign w:val="bottom"/>
          </w:tcPr>
          <w:p w14:paraId="31C8805C"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11,5%</w:t>
            </w:r>
          </w:p>
        </w:tc>
      </w:tr>
      <w:tr w:rsidR="006B2717" w14:paraId="0F3F859A"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00C96238"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Sarrià - Sant Gervasi</w:t>
            </w:r>
          </w:p>
        </w:tc>
        <w:tc>
          <w:tcPr>
            <w:tcW w:w="2409" w:type="dxa"/>
            <w:tcBorders>
              <w:top w:val="single" w:sz="4" w:space="0" w:color="FFFFFF"/>
              <w:left w:val="single" w:sz="4" w:space="0" w:color="FFFFFF"/>
              <w:bottom w:val="single" w:sz="4" w:space="0" w:color="FFFFFF"/>
              <w:right w:val="single" w:sz="4" w:space="0" w:color="FFFFFF"/>
            </w:tcBorders>
            <w:vAlign w:val="bottom"/>
          </w:tcPr>
          <w:p w14:paraId="48C9B976"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7.617 €</w:t>
            </w:r>
          </w:p>
        </w:tc>
        <w:tc>
          <w:tcPr>
            <w:tcW w:w="1985" w:type="dxa"/>
            <w:tcBorders>
              <w:top w:val="single" w:sz="4" w:space="0" w:color="FFFFFF"/>
              <w:left w:val="single" w:sz="4" w:space="0" w:color="FFFFFF"/>
              <w:bottom w:val="single" w:sz="4" w:space="0" w:color="FFFFFF"/>
              <w:right w:val="single" w:sz="4" w:space="0" w:color="FFFFFF"/>
            </w:tcBorders>
            <w:vAlign w:val="bottom"/>
          </w:tcPr>
          <w:p w14:paraId="7DDCC9C4"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1,0%</w:t>
            </w:r>
          </w:p>
        </w:tc>
        <w:tc>
          <w:tcPr>
            <w:tcW w:w="1963" w:type="dxa"/>
            <w:tcBorders>
              <w:top w:val="single" w:sz="4" w:space="0" w:color="FFFFFF"/>
              <w:left w:val="single" w:sz="4" w:space="0" w:color="FFFFFF"/>
              <w:bottom w:val="single" w:sz="4" w:space="0" w:color="FFFFFF"/>
              <w:right w:val="single" w:sz="4" w:space="0" w:color="FFFFFF"/>
            </w:tcBorders>
            <w:vAlign w:val="bottom"/>
          </w:tcPr>
          <w:p w14:paraId="1A35711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7,8%</w:t>
            </w:r>
          </w:p>
        </w:tc>
      </w:tr>
      <w:tr w:rsidR="006B2717" w14:paraId="67593081"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12F5120E"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Les Corts</w:t>
            </w:r>
          </w:p>
        </w:tc>
        <w:tc>
          <w:tcPr>
            <w:tcW w:w="2409" w:type="dxa"/>
            <w:tcBorders>
              <w:top w:val="single" w:sz="4" w:space="0" w:color="FFFFFF"/>
              <w:left w:val="single" w:sz="4" w:space="0" w:color="FFFFFF"/>
              <w:bottom w:val="single" w:sz="4" w:space="0" w:color="FFFFFF"/>
              <w:right w:val="single" w:sz="4" w:space="0" w:color="FFFFFF"/>
            </w:tcBorders>
            <w:vAlign w:val="bottom"/>
          </w:tcPr>
          <w:p w14:paraId="5EC263E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6.389 €</w:t>
            </w:r>
          </w:p>
        </w:tc>
        <w:tc>
          <w:tcPr>
            <w:tcW w:w="1985" w:type="dxa"/>
            <w:tcBorders>
              <w:top w:val="single" w:sz="4" w:space="0" w:color="FFFFFF"/>
              <w:left w:val="single" w:sz="4" w:space="0" w:color="FFFFFF"/>
              <w:bottom w:val="single" w:sz="4" w:space="0" w:color="FFFFFF"/>
              <w:right w:val="single" w:sz="4" w:space="0" w:color="FFFFFF"/>
            </w:tcBorders>
            <w:vAlign w:val="bottom"/>
          </w:tcPr>
          <w:p w14:paraId="627F4CF6"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0,3%</w:t>
            </w:r>
          </w:p>
        </w:tc>
        <w:tc>
          <w:tcPr>
            <w:tcW w:w="1963" w:type="dxa"/>
            <w:tcBorders>
              <w:top w:val="single" w:sz="4" w:space="0" w:color="FFFFFF"/>
              <w:left w:val="single" w:sz="4" w:space="0" w:color="FFFFFF"/>
              <w:bottom w:val="single" w:sz="4" w:space="0" w:color="FFFFFF"/>
              <w:right w:val="single" w:sz="4" w:space="0" w:color="FFFFFF"/>
            </w:tcBorders>
            <w:vAlign w:val="bottom"/>
          </w:tcPr>
          <w:p w14:paraId="48B8747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5,6%</w:t>
            </w:r>
          </w:p>
        </w:tc>
      </w:tr>
      <w:tr w:rsidR="006B2717" w14:paraId="77F47CFF"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63A6A9F1"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Horta - Guinardó</w:t>
            </w:r>
          </w:p>
        </w:tc>
        <w:tc>
          <w:tcPr>
            <w:tcW w:w="2409" w:type="dxa"/>
            <w:tcBorders>
              <w:top w:val="single" w:sz="4" w:space="0" w:color="FFFFFF"/>
              <w:left w:val="single" w:sz="4" w:space="0" w:color="FFFFFF"/>
              <w:bottom w:val="single" w:sz="4" w:space="0" w:color="FFFFFF"/>
              <w:right w:val="single" w:sz="4" w:space="0" w:color="FFFFFF"/>
            </w:tcBorders>
            <w:vAlign w:val="bottom"/>
          </w:tcPr>
          <w:p w14:paraId="0BD25DAB"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4.413 €</w:t>
            </w:r>
          </w:p>
        </w:tc>
        <w:tc>
          <w:tcPr>
            <w:tcW w:w="1985" w:type="dxa"/>
            <w:tcBorders>
              <w:top w:val="single" w:sz="4" w:space="0" w:color="FFFFFF"/>
              <w:left w:val="single" w:sz="4" w:space="0" w:color="FFFFFF"/>
              <w:bottom w:val="single" w:sz="4" w:space="0" w:color="FFFFFF"/>
              <w:right w:val="single" w:sz="4" w:space="0" w:color="FFFFFF"/>
            </w:tcBorders>
            <w:vAlign w:val="bottom"/>
          </w:tcPr>
          <w:p w14:paraId="206017C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-1,9%</w:t>
            </w:r>
          </w:p>
        </w:tc>
        <w:tc>
          <w:tcPr>
            <w:tcW w:w="1963" w:type="dxa"/>
            <w:tcBorders>
              <w:top w:val="single" w:sz="4" w:space="0" w:color="FFFFFF"/>
              <w:left w:val="single" w:sz="4" w:space="0" w:color="FFFFFF"/>
              <w:bottom w:val="single" w:sz="4" w:space="0" w:color="FFFFFF"/>
              <w:right w:val="single" w:sz="4" w:space="0" w:color="FFFFFF"/>
            </w:tcBorders>
            <w:vAlign w:val="bottom"/>
          </w:tcPr>
          <w:p w14:paraId="217DF388"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5,4%</w:t>
            </w:r>
          </w:p>
        </w:tc>
      </w:tr>
      <w:tr w:rsidR="006B2717" w14:paraId="2280EBC5"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796C459C"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lastRenderedPageBreak/>
              <w:t>Sants - Montjuïc</w:t>
            </w:r>
          </w:p>
        </w:tc>
        <w:tc>
          <w:tcPr>
            <w:tcW w:w="2409" w:type="dxa"/>
            <w:tcBorders>
              <w:top w:val="single" w:sz="4" w:space="0" w:color="FFFFFF"/>
              <w:left w:val="single" w:sz="4" w:space="0" w:color="FFFFFF"/>
              <w:bottom w:val="single" w:sz="4" w:space="0" w:color="FFFFFF"/>
              <w:right w:val="single" w:sz="4" w:space="0" w:color="FFFFFF"/>
            </w:tcBorders>
            <w:vAlign w:val="bottom"/>
          </w:tcPr>
          <w:p w14:paraId="49B75EFE"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4.672 €</w:t>
            </w:r>
          </w:p>
        </w:tc>
        <w:tc>
          <w:tcPr>
            <w:tcW w:w="1985" w:type="dxa"/>
            <w:tcBorders>
              <w:top w:val="single" w:sz="4" w:space="0" w:color="FFFFFF"/>
              <w:left w:val="single" w:sz="4" w:space="0" w:color="FFFFFF"/>
              <w:bottom w:val="single" w:sz="4" w:space="0" w:color="FFFFFF"/>
              <w:right w:val="single" w:sz="4" w:space="0" w:color="FFFFFF"/>
            </w:tcBorders>
            <w:vAlign w:val="bottom"/>
          </w:tcPr>
          <w:p w14:paraId="1AC410B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0,1%</w:t>
            </w:r>
          </w:p>
        </w:tc>
        <w:tc>
          <w:tcPr>
            <w:tcW w:w="1963" w:type="dxa"/>
            <w:tcBorders>
              <w:top w:val="single" w:sz="4" w:space="0" w:color="FFFFFF"/>
              <w:left w:val="single" w:sz="4" w:space="0" w:color="FFFFFF"/>
              <w:bottom w:val="single" w:sz="4" w:space="0" w:color="FFFFFF"/>
              <w:right w:val="single" w:sz="4" w:space="0" w:color="FFFFFF"/>
            </w:tcBorders>
            <w:vAlign w:val="bottom"/>
          </w:tcPr>
          <w:p w14:paraId="6EC1F92B"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2,7%</w:t>
            </w:r>
          </w:p>
        </w:tc>
      </w:tr>
      <w:tr w:rsidR="006B2717" w14:paraId="1F9CB18A"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46E1B5D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Eixample</w:t>
            </w:r>
          </w:p>
        </w:tc>
        <w:tc>
          <w:tcPr>
            <w:tcW w:w="2409" w:type="dxa"/>
            <w:tcBorders>
              <w:top w:val="single" w:sz="4" w:space="0" w:color="FFFFFF"/>
              <w:left w:val="single" w:sz="4" w:space="0" w:color="FFFFFF"/>
              <w:bottom w:val="single" w:sz="4" w:space="0" w:color="FFFFFF"/>
              <w:right w:val="single" w:sz="4" w:space="0" w:color="FFFFFF"/>
            </w:tcBorders>
            <w:vAlign w:val="bottom"/>
          </w:tcPr>
          <w:p w14:paraId="5C0ABC32"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6.769 €</w:t>
            </w:r>
          </w:p>
        </w:tc>
        <w:tc>
          <w:tcPr>
            <w:tcW w:w="1985" w:type="dxa"/>
            <w:tcBorders>
              <w:top w:val="single" w:sz="4" w:space="0" w:color="FFFFFF"/>
              <w:left w:val="single" w:sz="4" w:space="0" w:color="FFFFFF"/>
              <w:bottom w:val="single" w:sz="4" w:space="0" w:color="FFFFFF"/>
              <w:right w:val="single" w:sz="4" w:space="0" w:color="FFFFFF"/>
            </w:tcBorders>
            <w:vAlign w:val="bottom"/>
          </w:tcPr>
          <w:p w14:paraId="22E2ACFF"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-1,2%</w:t>
            </w:r>
          </w:p>
        </w:tc>
        <w:tc>
          <w:tcPr>
            <w:tcW w:w="1963" w:type="dxa"/>
            <w:tcBorders>
              <w:top w:val="single" w:sz="4" w:space="0" w:color="FFFFFF"/>
              <w:left w:val="single" w:sz="4" w:space="0" w:color="FFFFFF"/>
              <w:bottom w:val="single" w:sz="4" w:space="0" w:color="FFFFFF"/>
              <w:right w:val="single" w:sz="4" w:space="0" w:color="FFFFFF"/>
            </w:tcBorders>
            <w:vAlign w:val="bottom"/>
          </w:tcPr>
          <w:p w14:paraId="6D137C83"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2,4%</w:t>
            </w:r>
          </w:p>
        </w:tc>
      </w:tr>
      <w:tr w:rsidR="006B2717" w14:paraId="06A0B681"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5953D006"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Sant Martí</w:t>
            </w:r>
          </w:p>
        </w:tc>
        <w:tc>
          <w:tcPr>
            <w:tcW w:w="2409" w:type="dxa"/>
            <w:tcBorders>
              <w:top w:val="single" w:sz="4" w:space="0" w:color="FFFFFF"/>
              <w:left w:val="single" w:sz="4" w:space="0" w:color="FFFFFF"/>
              <w:bottom w:val="single" w:sz="4" w:space="0" w:color="FFFFFF"/>
              <w:right w:val="single" w:sz="4" w:space="0" w:color="FFFFFF"/>
            </w:tcBorders>
            <w:vAlign w:val="bottom"/>
          </w:tcPr>
          <w:p w14:paraId="7F606EA9"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4.867 €</w:t>
            </w:r>
          </w:p>
        </w:tc>
        <w:tc>
          <w:tcPr>
            <w:tcW w:w="1985" w:type="dxa"/>
            <w:tcBorders>
              <w:top w:val="single" w:sz="4" w:space="0" w:color="FFFFFF"/>
              <w:left w:val="single" w:sz="4" w:space="0" w:color="FFFFFF"/>
              <w:bottom w:val="single" w:sz="4" w:space="0" w:color="FFFFFF"/>
              <w:right w:val="single" w:sz="4" w:space="0" w:color="FFFFFF"/>
            </w:tcBorders>
            <w:vAlign w:val="bottom"/>
          </w:tcPr>
          <w:p w14:paraId="31824C9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-1,9%</w:t>
            </w:r>
          </w:p>
        </w:tc>
        <w:tc>
          <w:tcPr>
            <w:tcW w:w="1963" w:type="dxa"/>
            <w:tcBorders>
              <w:top w:val="single" w:sz="4" w:space="0" w:color="FFFFFF"/>
              <w:left w:val="single" w:sz="4" w:space="0" w:color="FFFFFF"/>
              <w:bottom w:val="single" w:sz="4" w:space="0" w:color="FFFFFF"/>
              <w:right w:val="single" w:sz="4" w:space="0" w:color="FFFFFF"/>
            </w:tcBorders>
            <w:vAlign w:val="bottom"/>
          </w:tcPr>
          <w:p w14:paraId="6EC13F27"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1,1%</w:t>
            </w:r>
          </w:p>
        </w:tc>
      </w:tr>
      <w:tr w:rsidR="006B2717" w14:paraId="2E9FE1C6" w14:textId="77777777" w:rsidTr="006B271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bottom w:val="single" w:sz="4" w:space="0" w:color="FFFFFF"/>
              <w:right w:val="single" w:sz="4" w:space="0" w:color="FFFFFF"/>
            </w:tcBorders>
            <w:vAlign w:val="bottom"/>
          </w:tcPr>
          <w:p w14:paraId="5E8625BD" w14:textId="77777777" w:rsidR="006B2717" w:rsidRDefault="00000000">
            <w:pPr>
              <w:rPr>
                <w:rFonts w:ascii="Open Sans" w:eastAsia="Open Sans" w:hAnsi="Open Sans" w:cs="Open Sans"/>
                <w:sz w:val="22"/>
                <w:szCs w:val="22"/>
              </w:rPr>
            </w:pPr>
            <w:r>
              <w:rPr>
                <w:rFonts w:ascii="Open Sans" w:eastAsia="Open Sans" w:hAnsi="Open Sans" w:cs="Open Sans"/>
                <w:b w:val="0"/>
                <w:bCs w:val="0"/>
                <w:sz w:val="22"/>
                <w:szCs w:val="22"/>
              </w:rPr>
              <w:t>Sant Andreu</w:t>
            </w:r>
          </w:p>
        </w:tc>
        <w:tc>
          <w:tcPr>
            <w:tcW w:w="2409" w:type="dxa"/>
            <w:tcBorders>
              <w:top w:val="single" w:sz="4" w:space="0" w:color="FFFFFF"/>
              <w:left w:val="single" w:sz="4" w:space="0" w:color="FFFFFF"/>
              <w:bottom w:val="single" w:sz="4" w:space="0" w:color="FFFFFF"/>
              <w:right w:val="single" w:sz="4" w:space="0" w:color="FFFFFF"/>
            </w:tcBorders>
            <w:vAlign w:val="bottom"/>
          </w:tcPr>
          <w:p w14:paraId="5B62AA50"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3.784 €</w:t>
            </w:r>
          </w:p>
        </w:tc>
        <w:tc>
          <w:tcPr>
            <w:tcW w:w="1985" w:type="dxa"/>
            <w:tcBorders>
              <w:top w:val="single" w:sz="4" w:space="0" w:color="FFFFFF"/>
              <w:left w:val="single" w:sz="4" w:space="0" w:color="FFFFFF"/>
              <w:bottom w:val="single" w:sz="4" w:space="0" w:color="FFFFFF"/>
              <w:right w:val="single" w:sz="4" w:space="0" w:color="FFFFFF"/>
            </w:tcBorders>
            <w:vAlign w:val="bottom"/>
          </w:tcPr>
          <w:p w14:paraId="732C930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000000"/>
                <w:sz w:val="22"/>
                <w:szCs w:val="22"/>
              </w:rPr>
              <w:t>0,1%</w:t>
            </w:r>
          </w:p>
        </w:tc>
        <w:tc>
          <w:tcPr>
            <w:tcW w:w="1963" w:type="dxa"/>
            <w:tcBorders>
              <w:top w:val="single" w:sz="4" w:space="0" w:color="FFFFFF"/>
              <w:left w:val="single" w:sz="4" w:space="0" w:color="FFFFFF"/>
              <w:bottom w:val="single" w:sz="4" w:space="0" w:color="FFFFFF"/>
              <w:right w:val="single" w:sz="4" w:space="0" w:color="FFFFFF"/>
            </w:tcBorders>
            <w:vAlign w:val="bottom"/>
          </w:tcPr>
          <w:p w14:paraId="101271AE" w14:textId="77777777" w:rsidR="006B2717" w:rsidRDefault="00000000">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000000"/>
                <w:sz w:val="22"/>
                <w:szCs w:val="22"/>
              </w:rPr>
              <w:t>0,1%</w:t>
            </w:r>
          </w:p>
        </w:tc>
      </w:tr>
      <w:tr w:rsidR="006B2717" w14:paraId="2381515B" w14:textId="77777777" w:rsidTr="006B2717">
        <w:trPr>
          <w:trHeight w:val="17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right w:val="single" w:sz="4" w:space="0" w:color="FFFFFF"/>
            </w:tcBorders>
            <w:vAlign w:val="bottom"/>
          </w:tcPr>
          <w:p w14:paraId="46A5404C" w14:textId="77777777" w:rsidR="006B2717" w:rsidRDefault="00000000">
            <w:pPr>
              <w:rPr>
                <w:rFonts w:ascii="Open Sans" w:eastAsia="Open Sans" w:hAnsi="Open Sans" w:cs="Open Sans"/>
                <w:sz w:val="22"/>
                <w:szCs w:val="22"/>
              </w:rPr>
            </w:pPr>
            <w:proofErr w:type="spellStart"/>
            <w:r>
              <w:rPr>
                <w:rFonts w:ascii="Open Sans" w:eastAsia="Open Sans" w:hAnsi="Open Sans" w:cs="Open Sans"/>
                <w:b w:val="0"/>
                <w:bCs w:val="0"/>
                <w:sz w:val="22"/>
                <w:szCs w:val="22"/>
              </w:rPr>
              <w:t>Ciutat</w:t>
            </w:r>
            <w:proofErr w:type="spellEnd"/>
            <w:r>
              <w:rPr>
                <w:rFonts w:ascii="Open Sans" w:eastAsia="Open Sans" w:hAnsi="Open Sans" w:cs="Open Sans"/>
                <w:b w:val="0"/>
                <w:bCs w:val="0"/>
                <w:sz w:val="22"/>
                <w:szCs w:val="22"/>
              </w:rPr>
              <w:t xml:space="preserve"> Vella</w:t>
            </w:r>
          </w:p>
        </w:tc>
        <w:tc>
          <w:tcPr>
            <w:tcW w:w="2409" w:type="dxa"/>
            <w:tcBorders>
              <w:top w:val="single" w:sz="4" w:space="0" w:color="FFFFFF"/>
              <w:left w:val="single" w:sz="4" w:space="0" w:color="FFFFFF"/>
              <w:bottom w:val="single" w:sz="4" w:space="0" w:color="FFFFFF"/>
              <w:right w:val="single" w:sz="4" w:space="0" w:color="FFFFFF"/>
            </w:tcBorders>
            <w:vAlign w:val="bottom"/>
          </w:tcPr>
          <w:p w14:paraId="4CA07581"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2"/>
                <w:szCs w:val="22"/>
              </w:rPr>
            </w:pPr>
            <w:r>
              <w:rPr>
                <w:rFonts w:ascii="Open Sans" w:eastAsia="Open Sans" w:hAnsi="Open Sans" w:cs="Open Sans"/>
                <w:color w:val="000000"/>
                <w:sz w:val="22"/>
                <w:szCs w:val="22"/>
              </w:rPr>
              <w:t>5.001 €</w:t>
            </w:r>
          </w:p>
        </w:tc>
        <w:tc>
          <w:tcPr>
            <w:tcW w:w="1985" w:type="dxa"/>
            <w:tcBorders>
              <w:top w:val="single" w:sz="4" w:space="0" w:color="FFFFFF"/>
              <w:left w:val="single" w:sz="4" w:space="0" w:color="FFFFFF"/>
              <w:bottom w:val="single" w:sz="4" w:space="0" w:color="FFFFFF"/>
              <w:right w:val="single" w:sz="4" w:space="0" w:color="FFFFFF"/>
            </w:tcBorders>
            <w:vAlign w:val="bottom"/>
          </w:tcPr>
          <w:p w14:paraId="42C8C428"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9C0006"/>
                <w:sz w:val="22"/>
                <w:szCs w:val="22"/>
              </w:rPr>
            </w:pPr>
            <w:r>
              <w:rPr>
                <w:rFonts w:ascii="Open Sans" w:eastAsia="Open Sans" w:hAnsi="Open Sans" w:cs="Open Sans"/>
                <w:color w:val="9C0006"/>
                <w:sz w:val="22"/>
                <w:szCs w:val="22"/>
              </w:rPr>
              <w:t>0,0%</w:t>
            </w:r>
          </w:p>
        </w:tc>
        <w:tc>
          <w:tcPr>
            <w:tcW w:w="1963" w:type="dxa"/>
            <w:tcBorders>
              <w:top w:val="single" w:sz="4" w:space="0" w:color="FFFFFF"/>
              <w:left w:val="single" w:sz="4" w:space="0" w:color="FFFFFF"/>
              <w:bottom w:val="single" w:sz="4" w:space="0" w:color="FFFFFF"/>
              <w:right w:val="single" w:sz="4" w:space="0" w:color="FFFFFF"/>
            </w:tcBorders>
            <w:vAlign w:val="bottom"/>
          </w:tcPr>
          <w:p w14:paraId="2B1A1AC2" w14:textId="77777777" w:rsidR="006B2717" w:rsidRDefault="00000000">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color w:val="9C0006"/>
                <w:sz w:val="22"/>
                <w:szCs w:val="22"/>
              </w:rPr>
            </w:pPr>
            <w:r>
              <w:rPr>
                <w:rFonts w:ascii="Open Sans" w:eastAsia="Open Sans" w:hAnsi="Open Sans" w:cs="Open Sans"/>
                <w:b/>
                <w:bCs/>
                <w:color w:val="9C0006"/>
                <w:sz w:val="22"/>
                <w:szCs w:val="22"/>
              </w:rPr>
              <w:t>-2,7%</w:t>
            </w:r>
          </w:p>
        </w:tc>
      </w:tr>
    </w:tbl>
    <w:p w14:paraId="331AD179" w14:textId="77777777" w:rsidR="006B2717" w:rsidRDefault="006B2717">
      <w:pPr>
        <w:spacing w:line="276" w:lineRule="auto"/>
        <w:jc w:val="right"/>
        <w:rPr>
          <w:rFonts w:ascii="Open Sans" w:eastAsia="Open Sans" w:hAnsi="Open Sans" w:cs="Open Sans"/>
          <w:color w:val="000000"/>
          <w:sz w:val="21"/>
          <w:szCs w:val="21"/>
        </w:rPr>
      </w:pPr>
    </w:p>
    <w:p w14:paraId="26E2D863" w14:textId="77777777" w:rsidR="006B2717" w:rsidRDefault="006B2717">
      <w:pPr>
        <w:spacing w:line="276" w:lineRule="auto"/>
        <w:jc w:val="right"/>
        <w:rPr>
          <w:rFonts w:ascii="Open Sans" w:eastAsia="Open Sans" w:hAnsi="Open Sans" w:cs="Open Sans"/>
          <w:color w:val="000000"/>
          <w:sz w:val="21"/>
          <w:szCs w:val="21"/>
        </w:rPr>
      </w:pPr>
    </w:p>
    <w:p w14:paraId="6794281A" w14:textId="77777777" w:rsidR="006B2717" w:rsidRDefault="00000000">
      <w:pPr>
        <w:spacing w:line="276" w:lineRule="auto"/>
        <w:ind w:right="-284"/>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w:t>
      </w:r>
    </w:p>
    <w:p w14:paraId="39D35AFE" w14:textId="77777777" w:rsidR="006B2717" w:rsidRDefault="00000000">
      <w:pPr>
        <w:shd w:val="clear" w:color="auto" w:fill="FFFFFF"/>
        <w:spacing w:before="280" w:after="280" w:line="276" w:lineRule="auto"/>
        <w:ind w:right="-284"/>
        <w:jc w:val="both"/>
        <w:rPr>
          <w:rFonts w:ascii="Open Sans" w:eastAsia="Open Sans" w:hAnsi="Open Sans" w:cs="Open Sans"/>
          <w:sz w:val="22"/>
          <w:szCs w:val="22"/>
        </w:rPr>
      </w:pPr>
      <w:r>
        <w:rPr>
          <w:rFonts w:ascii="Open Sans" w:eastAsia="Open Sans" w:hAnsi="Open Sans" w:cs="Open Sans"/>
          <w:sz w:val="22"/>
          <w:szCs w:val="22"/>
        </w:rPr>
        <w:t xml:space="preserve">Fotocasa es uno de los principales portales inmobiliarios de España, con una amplia oferta de viviendas de segunda mano, promociones de obra nueva y alquileres que pertenece a </w:t>
      </w:r>
      <w:r>
        <w:rPr>
          <w:rFonts w:ascii="Open Sans" w:eastAsia="Open Sans" w:hAnsi="Open Sans" w:cs="Open Sans"/>
          <w:b/>
          <w:bCs/>
          <w:sz w:val="22"/>
          <w:szCs w:val="22"/>
        </w:rPr>
        <w:t>Fotocasa Group</w:t>
      </w:r>
      <w:r>
        <w:rPr>
          <w:rFonts w:ascii="Open Sans" w:eastAsia="Open Sans" w:hAnsi="Open Sans" w:cs="Open Sans"/>
          <w:sz w:val="22"/>
          <w:szCs w:val="22"/>
        </w:rPr>
        <w:t xml:space="preserve">. </w:t>
      </w:r>
    </w:p>
    <w:p w14:paraId="7C568B2D" w14:textId="77777777" w:rsidR="006B2717" w:rsidRDefault="00000000">
      <w:pPr>
        <w:shd w:val="clear" w:color="auto" w:fill="FFFFFF"/>
        <w:spacing w:before="280" w:after="280" w:line="276" w:lineRule="auto"/>
        <w:ind w:right="-284"/>
        <w:jc w:val="both"/>
        <w:rPr>
          <w:rFonts w:ascii="Open Sans" w:eastAsia="Open Sans" w:hAnsi="Open Sans" w:cs="Open Sans"/>
          <w:sz w:val="22"/>
          <w:szCs w:val="22"/>
        </w:rPr>
      </w:pPr>
      <w:r>
        <w:rPr>
          <w:rFonts w:ascii="Open Sans" w:eastAsia="Open Sans" w:hAnsi="Open Sans" w:cs="Open Sans"/>
          <w:sz w:val="22"/>
          <w:szCs w:val="22"/>
        </w:rPr>
        <w:t xml:space="preserve">Mensualmente, elabora el </w:t>
      </w:r>
      <w:hyperlink r:id="rId17">
        <w:r>
          <w:rPr>
            <w:rFonts w:ascii="Open Sans" w:eastAsia="Open Sans" w:hAnsi="Open Sans" w:cs="Open Sans"/>
            <w:b/>
            <w:bCs/>
            <w:color w:val="0000FF"/>
            <w:sz w:val="22"/>
            <w:szCs w:val="22"/>
            <w:u w:val="single"/>
          </w:rPr>
          <w:t>Índice inmobiliario Fotocasa</w:t>
        </w:r>
      </w:hyperlink>
      <w:r>
        <w:rPr>
          <w:rFonts w:ascii="Open Sans" w:eastAsia="Open Sans" w:hAnsi="Open Sans" w:cs="Open Sans"/>
          <w:sz w:val="22"/>
          <w:szCs w:val="22"/>
        </w:rPr>
        <w:t xml:space="preserve">, un informe de referencia que analiza la evolución del precio medio de la vivienda en España, tanto en venta como en alquiler. Desde 2017, desarrolla además estudios sociológicos bajo el sello </w:t>
      </w:r>
      <w:hyperlink r:id="rId18">
        <w:r>
          <w:rPr>
            <w:rFonts w:ascii="Open Sans" w:eastAsia="Open Sans" w:hAnsi="Open Sans" w:cs="Open Sans"/>
            <w:b/>
            <w:bCs/>
            <w:color w:val="0000FF"/>
            <w:sz w:val="22"/>
            <w:szCs w:val="22"/>
            <w:u w:val="single"/>
          </w:rPr>
          <w:t xml:space="preserve">Fotocasa </w:t>
        </w:r>
        <w:proofErr w:type="spellStart"/>
        <w:r>
          <w:rPr>
            <w:rFonts w:ascii="Open Sans" w:eastAsia="Open Sans" w:hAnsi="Open Sans" w:cs="Open Sans"/>
            <w:b/>
            <w:bCs/>
            <w:color w:val="0000FF"/>
            <w:sz w:val="22"/>
            <w:szCs w:val="22"/>
            <w:u w:val="single"/>
          </w:rPr>
          <w:t>Research</w:t>
        </w:r>
        <w:proofErr w:type="spellEnd"/>
      </w:hyperlink>
      <w:r>
        <w:rPr>
          <w:rFonts w:ascii="Open Sans" w:eastAsia="Open Sans" w:hAnsi="Open Sans" w:cs="Open Sans"/>
          <w:sz w:val="22"/>
          <w:szCs w:val="22"/>
        </w:rPr>
        <w:t>, con el objetivo de aportar conocimiento y análisis en profundidad sobre las tendencias del mercado y el comportamiento de los ciudadanos en relación con la vivienda.</w:t>
      </w:r>
    </w:p>
    <w:p w14:paraId="1F263370" w14:textId="77777777" w:rsidR="006B2717" w:rsidRDefault="00000000">
      <w:pPr>
        <w:shd w:val="clear" w:color="auto" w:fill="FFFFFF"/>
        <w:spacing w:before="280" w:after="280" w:line="276" w:lineRule="auto"/>
        <w:ind w:right="-284"/>
        <w:jc w:val="both"/>
        <w:rPr>
          <w:rFonts w:ascii="Open Sans" w:eastAsia="Open Sans" w:hAnsi="Open Sans" w:cs="Open Sans"/>
          <w:sz w:val="22"/>
          <w:szCs w:val="22"/>
        </w:rPr>
      </w:pPr>
      <w:r>
        <w:rPr>
          <w:rFonts w:ascii="Open Sans" w:eastAsia="Open Sans" w:hAnsi="Open Sans" w:cs="Open Sans"/>
          <w:sz w:val="22"/>
          <w:szCs w:val="22"/>
        </w:rPr>
        <w:t xml:space="preserve">Toda la información y los últimos comunicados están disponibles en su </w:t>
      </w:r>
      <w:hyperlink r:id="rId19">
        <w:r>
          <w:rPr>
            <w:rFonts w:ascii="Open Sans" w:eastAsia="Open Sans" w:hAnsi="Open Sans" w:cs="Open Sans"/>
            <w:b/>
            <w:bCs/>
            <w:color w:val="0000FF"/>
            <w:sz w:val="22"/>
            <w:szCs w:val="22"/>
            <w:u w:val="single"/>
          </w:rPr>
          <w:t>Sala de Prensa</w:t>
        </w:r>
      </w:hyperlink>
    </w:p>
    <w:p w14:paraId="17900D5B" w14:textId="77777777" w:rsidR="006B2717" w:rsidRDefault="006B2717">
      <w:pPr>
        <w:spacing w:line="276" w:lineRule="auto"/>
        <w:ind w:right="-284"/>
        <w:rPr>
          <w:rFonts w:ascii="Open Sans Light" w:eastAsia="Open Sans Light" w:hAnsi="Open Sans Light" w:cs="Open Sans Light"/>
          <w:b/>
          <w:bCs/>
          <w:color w:val="303AB2"/>
        </w:rPr>
      </w:pPr>
    </w:p>
    <w:p w14:paraId="0C5D2258" w14:textId="77777777" w:rsidR="006B2717" w:rsidRDefault="00000000">
      <w:pPr>
        <w:spacing w:line="276" w:lineRule="auto"/>
        <w:ind w:right="-284"/>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 Group</w:t>
      </w:r>
    </w:p>
    <w:p w14:paraId="6BFB4BFA" w14:textId="77777777" w:rsidR="006B2717" w:rsidRDefault="00000000">
      <w:pPr>
        <w:shd w:val="clear" w:color="auto" w:fill="FFFFFF"/>
        <w:spacing w:before="280" w:after="280" w:line="276" w:lineRule="auto"/>
        <w:ind w:right="-284"/>
        <w:jc w:val="both"/>
        <w:rPr>
          <w:rFonts w:ascii="Open Sans" w:eastAsia="Open Sans" w:hAnsi="Open Sans" w:cs="Open Sans"/>
          <w:sz w:val="22"/>
          <w:szCs w:val="22"/>
        </w:rPr>
      </w:pPr>
      <w:r>
        <w:rPr>
          <w:rFonts w:ascii="Open Sans" w:eastAsia="Open Sans" w:hAnsi="Open Sans" w:cs="Open Sans"/>
          <w:b/>
          <w:bCs/>
          <w:sz w:val="22"/>
          <w:szCs w:val="22"/>
        </w:rPr>
        <w:t>Fotocasa Group</w:t>
      </w:r>
      <w:r>
        <w:rPr>
          <w:rFonts w:ascii="Open Sans" w:eastAsia="Open Sans" w:hAnsi="Open Sans" w:cs="Open Sans"/>
          <w:sz w:val="22"/>
          <w:szCs w:val="22"/>
        </w:rPr>
        <w:t xml:space="preserve"> es un referente del sector inmobiliario en España, </w:t>
      </w:r>
      <w:r>
        <w:rPr>
          <w:rFonts w:ascii="Open Sans" w:eastAsia="Open Sans" w:hAnsi="Open Sans" w:cs="Open Sans"/>
          <w:b/>
          <w:bCs/>
          <w:sz w:val="22"/>
          <w:szCs w:val="22"/>
        </w:rPr>
        <w:t>con más de 25 años de experiencia</w:t>
      </w:r>
      <w:r>
        <w:rPr>
          <w:rFonts w:ascii="Open Sans" w:eastAsia="Open Sans" w:hAnsi="Open Sans" w:cs="Open Sans"/>
          <w:sz w:val="22"/>
          <w:szCs w:val="22"/>
        </w:rPr>
        <w:t> liderando la transformación del real estate a través de la innovación, los datos y la tecnología.</w:t>
      </w:r>
    </w:p>
    <w:p w14:paraId="229EB700" w14:textId="77777777" w:rsidR="006B2717" w:rsidRDefault="00000000">
      <w:pPr>
        <w:shd w:val="clear" w:color="auto" w:fill="FFFFFF"/>
        <w:spacing w:before="280" w:after="280" w:line="276" w:lineRule="auto"/>
        <w:ind w:right="-284"/>
        <w:jc w:val="both"/>
        <w:rPr>
          <w:rFonts w:ascii="Open Sans" w:eastAsia="Open Sans" w:hAnsi="Open Sans" w:cs="Open Sans"/>
          <w:sz w:val="22"/>
          <w:szCs w:val="22"/>
        </w:rPr>
      </w:pPr>
      <w:r>
        <w:rPr>
          <w:rFonts w:ascii="Open Sans" w:eastAsia="Open Sans" w:hAnsi="Open Sans" w:cs="Open Sans"/>
          <w:sz w:val="22"/>
          <w:szCs w:val="22"/>
        </w:rPr>
        <w:t>Bajo su marca paraguas, Fotocasa Group impulsa y da visibilidad a un ecosistema de marcas líderes —</w:t>
      </w:r>
      <w:hyperlink r:id="rId20">
        <w:r>
          <w:rPr>
            <w:rFonts w:ascii="Open Sans" w:eastAsia="Open Sans" w:hAnsi="Open Sans" w:cs="Open Sans"/>
            <w:b/>
            <w:bCs/>
            <w:color w:val="0000FF"/>
            <w:sz w:val="22"/>
            <w:szCs w:val="22"/>
            <w:u w:val="single"/>
          </w:rPr>
          <w:t>Fotocasa</w:t>
        </w:r>
      </w:hyperlink>
      <w:r>
        <w:rPr>
          <w:rFonts w:ascii="Open Sans" w:eastAsia="Open Sans" w:hAnsi="Open Sans" w:cs="Open Sans"/>
          <w:sz w:val="22"/>
          <w:szCs w:val="22"/>
        </w:rPr>
        <w:t xml:space="preserve">, </w:t>
      </w:r>
      <w:hyperlink r:id="rId21">
        <w:proofErr w:type="spellStart"/>
        <w:r>
          <w:rPr>
            <w:rFonts w:ascii="Open Sans" w:eastAsia="Open Sans" w:hAnsi="Open Sans" w:cs="Open Sans"/>
            <w:b/>
            <w:bCs/>
            <w:color w:val="0000FF"/>
            <w:sz w:val="22"/>
            <w:szCs w:val="22"/>
            <w:u w:val="single"/>
          </w:rPr>
          <w:t>habitaclia</w:t>
        </w:r>
        <w:proofErr w:type="spellEnd"/>
      </w:hyperlink>
      <w:r>
        <w:rPr>
          <w:rFonts w:ascii="Open Sans" w:eastAsia="Open Sans" w:hAnsi="Open Sans" w:cs="Open Sans"/>
          <w:sz w:val="22"/>
          <w:szCs w:val="22"/>
        </w:rPr>
        <w:t xml:space="preserve">, </w:t>
      </w:r>
      <w:hyperlink r:id="rId22">
        <w:r>
          <w:rPr>
            <w:rFonts w:ascii="Open Sans" w:eastAsia="Open Sans" w:hAnsi="Open Sans" w:cs="Open Sans"/>
            <w:b/>
            <w:bCs/>
            <w:color w:val="0000FF"/>
            <w:sz w:val="22"/>
            <w:szCs w:val="22"/>
            <w:u w:val="single"/>
          </w:rPr>
          <w:t>Fotocasa Pro</w:t>
        </w:r>
      </w:hyperlink>
      <w:r>
        <w:rPr>
          <w:rFonts w:ascii="Open Sans" w:eastAsia="Open Sans" w:hAnsi="Open Sans" w:cs="Open Sans"/>
          <w:sz w:val="22"/>
          <w:szCs w:val="22"/>
        </w:rPr>
        <w:t xml:space="preserve">, </w:t>
      </w:r>
      <w:hyperlink r:id="rId23">
        <w:proofErr w:type="spellStart"/>
        <w:r>
          <w:rPr>
            <w:rFonts w:ascii="Open Sans" w:eastAsia="Open Sans" w:hAnsi="Open Sans" w:cs="Open Sans"/>
            <w:b/>
            <w:bCs/>
            <w:color w:val="0000FF"/>
            <w:sz w:val="22"/>
            <w:szCs w:val="22"/>
            <w:u w:val="single"/>
          </w:rPr>
          <w:t>Datavenues</w:t>
        </w:r>
        <w:proofErr w:type="spellEnd"/>
      </w:hyperlink>
      <w:r>
        <w:rPr>
          <w:rFonts w:ascii="Open Sans" w:eastAsia="Open Sans" w:hAnsi="Open Sans" w:cs="Open Sans"/>
          <w:sz w:val="22"/>
          <w:szCs w:val="22"/>
        </w:rPr>
        <w:t xml:space="preserve">, </w:t>
      </w:r>
      <w:hyperlink r:id="rId24">
        <w:proofErr w:type="spellStart"/>
        <w:r>
          <w:rPr>
            <w:rFonts w:ascii="Open Sans" w:eastAsia="Open Sans" w:hAnsi="Open Sans" w:cs="Open Sans"/>
            <w:b/>
            <w:bCs/>
            <w:color w:val="0000FF"/>
            <w:sz w:val="22"/>
            <w:szCs w:val="22"/>
            <w:u w:val="single"/>
          </w:rPr>
          <w:t>Witei</w:t>
        </w:r>
        <w:proofErr w:type="spellEnd"/>
      </w:hyperlink>
      <w:r>
        <w:rPr>
          <w:rFonts w:ascii="Open Sans" w:eastAsia="Open Sans" w:hAnsi="Open Sans" w:cs="Open Sans"/>
          <w:sz w:val="22"/>
          <w:szCs w:val="22"/>
        </w:rPr>
        <w:t xml:space="preserve"> e </w:t>
      </w:r>
      <w:hyperlink r:id="rId25">
        <w:proofErr w:type="spellStart"/>
        <w:r>
          <w:rPr>
            <w:rFonts w:ascii="Open Sans" w:eastAsia="Open Sans" w:hAnsi="Open Sans" w:cs="Open Sans"/>
            <w:b/>
            <w:bCs/>
            <w:color w:val="0000FF"/>
            <w:sz w:val="22"/>
            <w:szCs w:val="22"/>
          </w:rPr>
          <w:t>Inmoweb</w:t>
        </w:r>
        <w:proofErr w:type="spellEnd"/>
      </w:hyperlink>
      <w:r>
        <w:rPr>
          <w:rFonts w:ascii="Open Sans" w:eastAsia="Open Sans" w:hAnsi="Open Sans" w:cs="Open Sans"/>
          <w:sz w:val="22"/>
          <w:szCs w:val="22"/>
        </w:rPr>
        <w:t xml:space="preserve">— que ofrecen soluciones integrales tanto </w:t>
      </w:r>
      <w:r>
        <w:rPr>
          <w:rFonts w:ascii="Open Sans" w:eastAsia="Open Sans" w:hAnsi="Open Sans" w:cs="Open Sans"/>
          <w:b/>
          <w:bCs/>
          <w:sz w:val="22"/>
          <w:szCs w:val="22"/>
        </w:rPr>
        <w:t>para particulares como para profesionales del sector</w:t>
      </w:r>
      <w:r>
        <w:rPr>
          <w:rFonts w:ascii="Open Sans" w:eastAsia="Open Sans" w:hAnsi="Open Sans" w:cs="Open Sans"/>
          <w:sz w:val="22"/>
          <w:szCs w:val="22"/>
        </w:rPr>
        <w:t>.</w:t>
      </w:r>
    </w:p>
    <w:p w14:paraId="3DDF342C" w14:textId="77777777" w:rsidR="006B2717" w:rsidRDefault="00000000">
      <w:pPr>
        <w:shd w:val="clear" w:color="auto" w:fill="FFFFFF"/>
        <w:spacing w:before="280" w:after="280" w:line="276" w:lineRule="auto"/>
        <w:ind w:right="-284"/>
        <w:jc w:val="both"/>
        <w:rPr>
          <w:rFonts w:ascii="Open Sans" w:eastAsia="Open Sans" w:hAnsi="Open Sans" w:cs="Open Sans"/>
          <w:sz w:val="22"/>
          <w:szCs w:val="22"/>
        </w:rPr>
      </w:pPr>
      <w:r>
        <w:rPr>
          <w:rFonts w:ascii="Open Sans" w:eastAsia="Open Sans" w:hAnsi="Open Sans" w:cs="Open Sans"/>
          <w:b/>
          <w:bCs/>
          <w:sz w:val="22"/>
          <w:szCs w:val="22"/>
        </w:rPr>
        <w:t>Fotocasa</w:t>
      </w:r>
      <w:r>
        <w:rPr>
          <w:rFonts w:ascii="Open Sans" w:eastAsia="Open Sans" w:hAnsi="Open Sans" w:cs="Open Sans"/>
          <w:sz w:val="22"/>
          <w:szCs w:val="22"/>
        </w:rPr>
        <w:t>, la marca insignia del grupo, conecta cada día a </w:t>
      </w:r>
      <w:r>
        <w:rPr>
          <w:rFonts w:ascii="Open Sans" w:eastAsia="Open Sans" w:hAnsi="Open Sans" w:cs="Open Sans"/>
          <w:b/>
          <w:bCs/>
          <w:sz w:val="22"/>
          <w:szCs w:val="22"/>
        </w:rPr>
        <w:t>millones de personas con su próximo hogar</w:t>
      </w:r>
      <w:r>
        <w:rPr>
          <w:rFonts w:ascii="Open Sans" w:eastAsia="Open Sans" w:hAnsi="Open Sans" w:cs="Open Sans"/>
          <w:sz w:val="22"/>
          <w:szCs w:val="22"/>
        </w:rPr>
        <w:t>, ofreciendo la mayor oferta de viviendas de segunda mano, obra nueva, alquiler y compraventa, junto con análisis y contenidos que la consolidan como un auténtico </w:t>
      </w:r>
      <w:r>
        <w:rPr>
          <w:rFonts w:ascii="Open Sans" w:eastAsia="Open Sans" w:hAnsi="Open Sans" w:cs="Open Sans"/>
          <w:b/>
          <w:bCs/>
          <w:sz w:val="22"/>
          <w:szCs w:val="22"/>
        </w:rPr>
        <w:t>referente del mercado inmobiliario</w:t>
      </w:r>
      <w:r>
        <w:rPr>
          <w:rFonts w:ascii="Open Sans" w:eastAsia="Open Sans" w:hAnsi="Open Sans" w:cs="Open Sans"/>
          <w:sz w:val="22"/>
          <w:szCs w:val="22"/>
        </w:rPr>
        <w:t>.</w:t>
      </w:r>
    </w:p>
    <w:p w14:paraId="36E1462A" w14:textId="77777777" w:rsidR="006B2717" w:rsidRDefault="00000000">
      <w:pPr>
        <w:spacing w:line="276" w:lineRule="auto"/>
        <w:ind w:right="-284"/>
        <w:jc w:val="both"/>
        <w:rPr>
          <w:rFonts w:ascii="Open Sans" w:eastAsia="Open Sans" w:hAnsi="Open Sans" w:cs="Open Sans"/>
          <w:sz w:val="22"/>
          <w:szCs w:val="22"/>
        </w:rPr>
      </w:pPr>
      <w:r>
        <w:rPr>
          <w:rFonts w:ascii="Open Sans" w:eastAsia="Open Sans" w:hAnsi="Open Sans" w:cs="Open Sans"/>
          <w:b/>
          <w:bCs/>
          <w:sz w:val="22"/>
          <w:szCs w:val="22"/>
        </w:rPr>
        <w:t>Fotocasa Group forma parte de Scout24</w:t>
      </w:r>
      <w:r>
        <w:rPr>
          <w:rFonts w:ascii="Open Sans" w:eastAsia="Open Sans" w:hAnsi="Open Sans" w:cs="Open Sans"/>
          <w:sz w:val="22"/>
          <w:szCs w:val="22"/>
        </w:rPr>
        <w:t xml:space="preserve">, el grupo tecnológico alemán líder en Europa que opera </w:t>
      </w:r>
      <w:r>
        <w:rPr>
          <w:rFonts w:ascii="Open Sans" w:eastAsia="Open Sans" w:hAnsi="Open Sans" w:cs="Open Sans"/>
          <w:b/>
          <w:bCs/>
          <w:sz w:val="22"/>
          <w:szCs w:val="22"/>
        </w:rPr>
        <w:t>ImmoScout24</w:t>
      </w:r>
      <w:r>
        <w:rPr>
          <w:rFonts w:ascii="Open Sans" w:eastAsia="Open Sans" w:hAnsi="Open Sans" w:cs="Open Sans"/>
          <w:sz w:val="22"/>
          <w:szCs w:val="22"/>
        </w:rPr>
        <w:t xml:space="preserve">. </w:t>
      </w:r>
    </w:p>
    <w:p w14:paraId="7B4D8C5A" w14:textId="77777777" w:rsidR="006B2717" w:rsidRDefault="006B2717">
      <w:pPr>
        <w:spacing w:line="276" w:lineRule="auto"/>
        <w:ind w:right="-284"/>
        <w:jc w:val="both"/>
        <w:rPr>
          <w:rFonts w:ascii="Open Sans" w:eastAsia="Open Sans" w:hAnsi="Open Sans" w:cs="Open Sans"/>
          <w:sz w:val="22"/>
          <w:szCs w:val="22"/>
        </w:rPr>
      </w:pPr>
    </w:p>
    <w:p w14:paraId="42A938B4" w14:textId="77777777" w:rsidR="008A4E93" w:rsidRDefault="008A4E93">
      <w:pPr>
        <w:spacing w:line="276" w:lineRule="auto"/>
        <w:ind w:right="-284"/>
        <w:jc w:val="right"/>
        <w:rPr>
          <w:rFonts w:ascii="Open Sans Light" w:eastAsia="Open Sans Light" w:hAnsi="Open Sans Light" w:cs="Open Sans Light"/>
          <w:b/>
          <w:bCs/>
          <w:color w:val="303AB2"/>
        </w:rPr>
      </w:pPr>
    </w:p>
    <w:p w14:paraId="690E4364" w14:textId="6C3EDCCB" w:rsidR="006B2717" w:rsidRDefault="00000000">
      <w:pPr>
        <w:spacing w:line="276" w:lineRule="auto"/>
        <w:ind w:right="-284"/>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lastRenderedPageBreak/>
        <w:t>Sobre Scout24</w:t>
      </w:r>
    </w:p>
    <w:p w14:paraId="633C4657" w14:textId="77777777" w:rsidR="006B2717" w:rsidRDefault="006B2717">
      <w:pPr>
        <w:pBdr>
          <w:top w:val="nil"/>
          <w:left w:val="nil"/>
          <w:bottom w:val="nil"/>
          <w:right w:val="nil"/>
          <w:between w:val="nil"/>
        </w:pBdr>
        <w:spacing w:line="276" w:lineRule="auto"/>
        <w:ind w:right="-284"/>
        <w:jc w:val="both"/>
        <w:rPr>
          <w:rFonts w:ascii="Open Sans" w:eastAsia="Open Sans" w:hAnsi="Open Sans" w:cs="Open Sans"/>
          <w:sz w:val="22"/>
          <w:szCs w:val="22"/>
        </w:rPr>
      </w:pPr>
    </w:p>
    <w:p w14:paraId="1A6370D8" w14:textId="77777777" w:rsidR="006B2717" w:rsidRDefault="00000000">
      <w:pPr>
        <w:pBdr>
          <w:top w:val="nil"/>
          <w:left w:val="nil"/>
          <w:bottom w:val="nil"/>
          <w:right w:val="nil"/>
          <w:between w:val="nil"/>
        </w:pBdr>
        <w:spacing w:line="276" w:lineRule="auto"/>
        <w:ind w:right="-284"/>
        <w:jc w:val="both"/>
        <w:rPr>
          <w:rFonts w:ascii="Open Sans" w:eastAsia="Open Sans" w:hAnsi="Open Sans" w:cs="Open Sans"/>
          <w:sz w:val="22"/>
          <w:szCs w:val="22"/>
        </w:rPr>
      </w:pPr>
      <w:r>
        <w:rPr>
          <w:rFonts w:ascii="Open Sans" w:eastAsia="Open Sans" w:hAnsi="Open Sans" w:cs="Open Sans"/>
          <w:b/>
          <w:bCs/>
          <w:sz w:val="22"/>
          <w:szCs w:val="22"/>
        </w:rPr>
        <w:t>Scout24 es una de las empresas tecnológicas líderes en Alemania</w:t>
      </w:r>
      <w:r>
        <w:rPr>
          <w:rFonts w:ascii="Open Sans" w:eastAsia="Open Sans" w:hAnsi="Open Sans" w:cs="Open Sans"/>
          <w:sz w:val="22"/>
          <w:szCs w:val="22"/>
        </w:rPr>
        <w:t xml:space="preserve">. Con el </w:t>
      </w:r>
      <w:proofErr w:type="spellStart"/>
      <w:r>
        <w:rPr>
          <w:rFonts w:ascii="Open Sans" w:eastAsia="Open Sans" w:hAnsi="Open Sans" w:cs="Open Sans"/>
          <w:sz w:val="22"/>
          <w:szCs w:val="22"/>
        </w:rPr>
        <w:t>marketplace</w:t>
      </w:r>
      <w:proofErr w:type="spellEnd"/>
      <w:r>
        <w:rPr>
          <w:rFonts w:ascii="Open Sans" w:eastAsia="Open Sans" w:hAnsi="Open Sans" w:cs="Open Sans"/>
          <w:sz w:val="22"/>
          <w:szCs w:val="22"/>
        </w:rPr>
        <w:t xml:space="preserve"> </w:t>
      </w:r>
      <w:hyperlink r:id="rId26">
        <w:r>
          <w:rPr>
            <w:rFonts w:ascii="Open Sans" w:eastAsia="Open Sans" w:hAnsi="Open Sans" w:cs="Open Sans"/>
            <w:color w:val="0000FF"/>
            <w:sz w:val="22"/>
            <w:szCs w:val="22"/>
            <w:u w:val="single"/>
          </w:rPr>
          <w:t>ImmoScout24</w:t>
        </w:r>
      </w:hyperlink>
      <w:r>
        <w:rPr>
          <w:rFonts w:ascii="Open Sans" w:eastAsia="Open Sans" w:hAnsi="Open Sans" w:cs="Open Sans"/>
          <w:sz w:val="22"/>
          <w:szCs w:val="22"/>
        </w:rPr>
        <w:t xml:space="preserve">, especializado en el sector residencial y comercial, conectamos con éxito a propietarios, agentes inmobiliarios, inquilinos y compradores desde hace más de 25 años. </w:t>
      </w:r>
    </w:p>
    <w:p w14:paraId="73ECBDE5" w14:textId="77777777" w:rsidR="006B2717" w:rsidRDefault="006B2717">
      <w:pPr>
        <w:pBdr>
          <w:top w:val="nil"/>
          <w:left w:val="nil"/>
          <w:bottom w:val="nil"/>
          <w:right w:val="nil"/>
          <w:between w:val="nil"/>
        </w:pBdr>
        <w:spacing w:line="276" w:lineRule="auto"/>
        <w:ind w:right="-284"/>
        <w:jc w:val="both"/>
        <w:rPr>
          <w:rFonts w:ascii="Open Sans" w:eastAsia="Open Sans" w:hAnsi="Open Sans" w:cs="Open Sans"/>
          <w:sz w:val="22"/>
          <w:szCs w:val="22"/>
        </w:rPr>
      </w:pPr>
    </w:p>
    <w:p w14:paraId="5C3DF991" w14:textId="77777777" w:rsidR="006B2717" w:rsidRDefault="00000000">
      <w:pPr>
        <w:pBdr>
          <w:top w:val="nil"/>
          <w:left w:val="nil"/>
          <w:bottom w:val="nil"/>
          <w:right w:val="nil"/>
          <w:between w:val="nil"/>
        </w:pBdr>
        <w:spacing w:line="276" w:lineRule="auto"/>
        <w:ind w:right="-284"/>
        <w:jc w:val="both"/>
        <w:rPr>
          <w:rFonts w:ascii="Open Sans" w:eastAsia="Open Sans" w:hAnsi="Open Sans" w:cs="Open Sans"/>
          <w:sz w:val="22"/>
          <w:szCs w:val="22"/>
        </w:rPr>
      </w:pPr>
      <w:r>
        <w:rPr>
          <w:rFonts w:ascii="Open Sans" w:eastAsia="Open Sans" w:hAnsi="Open Sans" w:cs="Open Sans"/>
          <w:sz w:val="22"/>
          <w:szCs w:val="22"/>
        </w:rPr>
        <w:t xml:space="preserve">Con aproximadamente 19 millones de usuarios al mes en su web o aplicación, </w:t>
      </w:r>
      <w:r>
        <w:rPr>
          <w:rFonts w:ascii="Open Sans" w:eastAsia="Open Sans" w:hAnsi="Open Sans" w:cs="Open Sans"/>
          <w:b/>
          <w:bCs/>
          <w:sz w:val="22"/>
          <w:szCs w:val="22"/>
        </w:rPr>
        <w:t>ImmoScout24 es el líder del mercado en listados y búsqueda inmobiliaria digital</w:t>
      </w:r>
      <w:r>
        <w:rPr>
          <w:rFonts w:ascii="Open Sans" w:eastAsia="Open Sans" w:hAnsi="Open Sans" w:cs="Open Sans"/>
          <w:sz w:val="22"/>
          <w:szCs w:val="22"/>
        </w:rPr>
        <w:t>. Para digitalizar el proceso de las transacciones inmobiliarias, ImmoScout24 desarrolla continuamente nuevos productos y construye un ecosistema conectado y rico en datos para el alquiler, la compra y el sector inmobiliario comercial en Alemania y Austria. Scout24 es una sociedad anónima que cotiza en bolsa (ISIN: DE000A12DM80, Ticker: G24) y miembro del DAX, así como del DAX 50 ESG y el DAX 50 ESG+.</w:t>
      </w:r>
    </w:p>
    <w:p w14:paraId="509C27C9" w14:textId="77777777" w:rsidR="006B2717" w:rsidRDefault="006B2717">
      <w:pPr>
        <w:spacing w:line="276" w:lineRule="auto"/>
        <w:ind w:right="-284"/>
        <w:rPr>
          <w:rFonts w:ascii="Open Sans" w:eastAsia="Open Sans" w:hAnsi="Open Sans" w:cs="Open Sans"/>
        </w:rPr>
      </w:pPr>
    </w:p>
    <w:p w14:paraId="11AF2A61" w14:textId="77777777" w:rsidR="006B2717" w:rsidRDefault="006B2717">
      <w:pPr>
        <w:spacing w:line="276" w:lineRule="auto"/>
        <w:ind w:right="-284"/>
        <w:rPr>
          <w:rFonts w:ascii="Open Sans Light" w:eastAsia="Open Sans Light" w:hAnsi="Open Sans Light" w:cs="Open Sans Light"/>
          <w:b/>
          <w:bCs/>
          <w:color w:val="303AB2"/>
          <w:sz w:val="22"/>
          <w:szCs w:val="22"/>
        </w:rPr>
      </w:pPr>
    </w:p>
    <w:p w14:paraId="07F99559" w14:textId="77777777" w:rsidR="006B2717" w:rsidRDefault="006B2717">
      <w:pPr>
        <w:spacing w:line="276" w:lineRule="auto"/>
        <w:ind w:right="-284"/>
        <w:rPr>
          <w:rFonts w:ascii="Open Sans Light" w:eastAsia="Open Sans Light" w:hAnsi="Open Sans Light" w:cs="Open Sans Light"/>
          <w:b/>
          <w:bCs/>
          <w:color w:val="303AB2"/>
          <w:sz w:val="22"/>
          <w:szCs w:val="22"/>
        </w:rPr>
      </w:pPr>
    </w:p>
    <w:p w14:paraId="0CE31D19" w14:textId="77777777" w:rsidR="006B2717" w:rsidRDefault="00000000">
      <w:pPr>
        <w:spacing w:line="276" w:lineRule="auto"/>
        <w:ind w:right="-284"/>
        <w:rPr>
          <w:rFonts w:ascii="Open Sans Light" w:eastAsia="Open Sans Light" w:hAnsi="Open Sans Light" w:cs="Open Sans Light"/>
          <w:b/>
          <w:bCs/>
          <w:color w:val="303AB2"/>
          <w:sz w:val="22"/>
          <w:szCs w:val="22"/>
        </w:rPr>
      </w:pPr>
      <w:r>
        <w:rPr>
          <w:rFonts w:ascii="Open Sans Light" w:eastAsia="Open Sans Light" w:hAnsi="Open Sans Light" w:cs="Open Sans Light"/>
          <w:b/>
          <w:bCs/>
          <w:color w:val="303AB2"/>
          <w:sz w:val="22"/>
          <w:szCs w:val="22"/>
        </w:rPr>
        <w:t>Departamento Comunicación Fotocasa</w:t>
      </w:r>
    </w:p>
    <w:p w14:paraId="7FE01089" w14:textId="77777777" w:rsidR="006B2717" w:rsidRDefault="00000000">
      <w:pPr>
        <w:shd w:val="clear" w:color="auto" w:fill="FFFFFF"/>
        <w:spacing w:line="276" w:lineRule="auto"/>
        <w:ind w:right="-284"/>
        <w:rPr>
          <w:rFonts w:ascii="Open Sans" w:eastAsia="Open Sans" w:hAnsi="Open Sans" w:cs="Open Sans"/>
          <w:b/>
          <w:bCs/>
          <w:color w:val="000000"/>
          <w:sz w:val="22"/>
          <w:szCs w:val="22"/>
        </w:rPr>
      </w:pPr>
      <w:r>
        <w:rPr>
          <w:rFonts w:ascii="Open Sans" w:eastAsia="Open Sans" w:hAnsi="Open Sans" w:cs="Open Sans"/>
          <w:b/>
          <w:bCs/>
          <w:color w:val="000000"/>
          <w:sz w:val="22"/>
          <w:szCs w:val="22"/>
        </w:rPr>
        <w:t>Anaïs García</w:t>
      </w:r>
    </w:p>
    <w:p w14:paraId="51E74A69" w14:textId="77777777" w:rsidR="006B2717" w:rsidRDefault="00000000">
      <w:pPr>
        <w:shd w:val="clear" w:color="auto" w:fill="FFFFFF"/>
        <w:spacing w:line="276" w:lineRule="auto"/>
        <w:ind w:right="-284"/>
        <w:rPr>
          <w:rFonts w:ascii="Open Sans" w:eastAsia="Open Sans" w:hAnsi="Open Sans" w:cs="Open Sans"/>
          <w:color w:val="0000FF"/>
          <w:sz w:val="22"/>
          <w:szCs w:val="22"/>
          <w:u w:val="single"/>
        </w:rPr>
      </w:pPr>
      <w:hyperlink r:id="rId27">
        <w:r>
          <w:rPr>
            <w:rFonts w:ascii="Open Sans" w:eastAsia="Open Sans" w:hAnsi="Open Sans" w:cs="Open Sans"/>
            <w:color w:val="0000FF"/>
            <w:sz w:val="22"/>
            <w:szCs w:val="22"/>
            <w:u w:val="single"/>
          </w:rPr>
          <w:t>comunicacion@fotocasa.es</w:t>
        </w:r>
      </w:hyperlink>
    </w:p>
    <w:p w14:paraId="311E74B0" w14:textId="77777777" w:rsidR="006B2717" w:rsidRDefault="00000000">
      <w:pPr>
        <w:shd w:val="clear" w:color="auto" w:fill="FFFFFF"/>
        <w:spacing w:line="276" w:lineRule="auto"/>
        <w:ind w:right="-284"/>
        <w:rPr>
          <w:rFonts w:ascii="Open Sans" w:eastAsia="Open Sans" w:hAnsi="Open Sans" w:cs="Open Sans"/>
          <w:color w:val="000000"/>
          <w:sz w:val="22"/>
          <w:szCs w:val="22"/>
        </w:rPr>
      </w:pPr>
      <w:r>
        <w:rPr>
          <w:rFonts w:ascii="Open Sans" w:eastAsia="Open Sans" w:hAnsi="Open Sans" w:cs="Open Sans"/>
          <w:color w:val="000000"/>
          <w:sz w:val="22"/>
          <w:szCs w:val="22"/>
        </w:rPr>
        <w:t>620 66 29 26</w:t>
      </w:r>
    </w:p>
    <w:p w14:paraId="786F55E8" w14:textId="77777777" w:rsidR="006B2717" w:rsidRDefault="006B2717">
      <w:pPr>
        <w:spacing w:line="276" w:lineRule="auto"/>
        <w:ind w:right="-426"/>
        <w:jc w:val="right"/>
        <w:rPr>
          <w:rFonts w:ascii="Open Sans Light" w:eastAsia="Open Sans Light" w:hAnsi="Open Sans Light" w:cs="Open Sans Light"/>
          <w:b/>
          <w:bCs/>
          <w:color w:val="303AB2"/>
        </w:rPr>
      </w:pPr>
    </w:p>
    <w:p w14:paraId="623F9A8B" w14:textId="77777777" w:rsidR="006B2717" w:rsidRDefault="006B2717">
      <w:pPr>
        <w:spacing w:line="276" w:lineRule="auto"/>
        <w:ind w:right="-426"/>
        <w:jc w:val="right"/>
        <w:rPr>
          <w:rFonts w:ascii="Open Sans Light" w:eastAsia="Open Sans Light" w:hAnsi="Open Sans Light" w:cs="Open Sans Light"/>
          <w:b/>
          <w:bCs/>
          <w:color w:val="303AB2"/>
        </w:rPr>
      </w:pPr>
    </w:p>
    <w:p w14:paraId="3D18AAAD" w14:textId="77777777" w:rsidR="006B2717" w:rsidRDefault="006B2717">
      <w:pPr>
        <w:spacing w:line="276" w:lineRule="auto"/>
        <w:jc w:val="both"/>
        <w:rPr>
          <w:rFonts w:ascii="Open Sans" w:eastAsia="Open Sans" w:hAnsi="Open Sans" w:cs="Open Sans"/>
          <w:color w:val="000000"/>
          <w:sz w:val="21"/>
          <w:szCs w:val="21"/>
        </w:rPr>
      </w:pPr>
    </w:p>
    <w:p w14:paraId="76588310" w14:textId="77777777" w:rsidR="006B2717" w:rsidRDefault="006B2717">
      <w:pPr>
        <w:spacing w:line="276" w:lineRule="auto"/>
        <w:jc w:val="right"/>
        <w:rPr>
          <w:rFonts w:ascii="Open Sans" w:eastAsia="Open Sans" w:hAnsi="Open Sans" w:cs="Open Sans"/>
          <w:color w:val="000000"/>
          <w:sz w:val="21"/>
          <w:szCs w:val="21"/>
        </w:rPr>
      </w:pPr>
    </w:p>
    <w:sectPr w:rsidR="006B2717">
      <w:footerReference w:type="default" r:id="rId28"/>
      <w:pgSz w:w="11900" w:h="16840"/>
      <w:pgMar w:top="1417" w:right="1127"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70499" w14:textId="77777777" w:rsidR="00384BB7" w:rsidRDefault="00384BB7">
      <w:r>
        <w:separator/>
      </w:r>
    </w:p>
  </w:endnote>
  <w:endnote w:type="continuationSeparator" w:id="0">
    <w:p w14:paraId="793ED98C" w14:textId="77777777" w:rsidR="00384BB7" w:rsidRDefault="00384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770C6A7-24E6-48C2-B3D2-7C39C8C8951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DD23A07-D490-444E-893B-400139C124C8}"/>
    <w:embedBold r:id="rId3" w:fontKey="{2471ECEC-33B1-4605-898D-B7739E8034A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1E5F4AA-86F5-441F-8F89-7E251B4A7DCF}"/>
  </w:font>
  <w:font w:name="National">
    <w:altName w:val="Calibri"/>
    <w:charset w:val="00"/>
    <w:family w:val="auto"/>
    <w:pitch w:val="default"/>
  </w:font>
  <w:font w:name="Open Sans">
    <w:charset w:val="00"/>
    <w:family w:val="swiss"/>
    <w:pitch w:val="variable"/>
    <w:sig w:usb0="E00002EF" w:usb1="4000205B" w:usb2="00000028" w:usb3="00000000" w:csb0="0000019F" w:csb1="00000000"/>
    <w:embedRegular r:id="rId5" w:fontKey="{7E234362-5F2A-45C1-B074-A3C11D7D351A}"/>
    <w:embedBold r:id="rId6" w:fontKey="{127524A1-3CCA-4E2E-8F78-5F9F17920EAE}"/>
  </w:font>
  <w:font w:name="Open Sans Light">
    <w:charset w:val="00"/>
    <w:family w:val="swiss"/>
    <w:pitch w:val="variable"/>
    <w:sig w:usb0="E00002EF" w:usb1="4000205B" w:usb2="00000028" w:usb3="00000000" w:csb0="0000019F" w:csb1="00000000"/>
    <w:embedBold r:id="rId7" w:fontKey="{320F20A0-8F1F-46FF-88C4-41624E7FB9AF}"/>
  </w:font>
  <w:font w:name="Cambria">
    <w:panose1 w:val="02040503050406030204"/>
    <w:charset w:val="00"/>
    <w:family w:val="roman"/>
    <w:pitch w:val="variable"/>
    <w:sig w:usb0="E00006FF" w:usb1="420024FF" w:usb2="02000000" w:usb3="00000000" w:csb0="0000019F" w:csb1="00000000"/>
    <w:embedRegular r:id="rId8" w:fontKey="{A91C0119-06B1-45B8-9D83-226205FE60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B22E" w14:textId="77777777" w:rsidR="006B2717" w:rsidRDefault="00000000">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1" locked="0" layoutInCell="1" hidden="0" allowOverlap="1" wp14:anchorId="4340D052" wp14:editId="2884C038">
          <wp:simplePos x="0" y="0"/>
          <wp:positionH relativeFrom="column">
            <wp:posOffset>-1191894</wp:posOffset>
          </wp:positionH>
          <wp:positionV relativeFrom="paragraph">
            <wp:posOffset>167970</wp:posOffset>
          </wp:positionV>
          <wp:extent cx="7670550" cy="45131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670550" cy="4513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F33CC" w14:textId="77777777" w:rsidR="00384BB7" w:rsidRDefault="00384BB7">
      <w:r>
        <w:separator/>
      </w:r>
    </w:p>
  </w:footnote>
  <w:footnote w:type="continuationSeparator" w:id="0">
    <w:p w14:paraId="11D1DA50" w14:textId="77777777" w:rsidR="00384BB7" w:rsidRDefault="00384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E1E7F"/>
    <w:multiLevelType w:val="multilevel"/>
    <w:tmpl w:val="5082069C"/>
    <w:lvl w:ilvl="0">
      <w:start w:val="1"/>
      <w:numFmt w:val="bullet"/>
      <w:lvlText w:val="●"/>
      <w:lvlJc w:val="left"/>
      <w:pPr>
        <w:ind w:left="720" w:hanging="360"/>
      </w:pPr>
      <w:rPr>
        <w:rFonts w:ascii="Noto Sans Symbols" w:eastAsia="Noto Sans Symbols" w:hAnsi="Noto Sans Symbols" w:cs="Noto Sans Symbols"/>
        <w:color w:val="303AB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81574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717"/>
    <w:rsid w:val="00130865"/>
    <w:rsid w:val="00384BB7"/>
    <w:rsid w:val="005B1106"/>
    <w:rsid w:val="006B2717"/>
    <w:rsid w:val="008A4E93"/>
    <w:rsid w:val="00B72DE1"/>
    <w:rsid w:val="00CE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F0EB"/>
  <w15:docId w15:val="{98DD0FE7-7D34-4465-933D-1BE98C6E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0">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1">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2">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3">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4">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5">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6">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7">
    <w:basedOn w:val="TableNormal0"/>
    <w:tblPr>
      <w:tblStyleRowBandSize w:val="1"/>
      <w:tblStyleColBandSize w:val="1"/>
      <w:tblCellMar>
        <w:top w:w="0" w:type="dxa"/>
        <w:left w:w="115" w:type="dxa"/>
        <w:bottom w:w="0" w:type="dxa"/>
        <w:right w:w="115"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styleId="Hyperlink">
    <w:name w:val="Hyperlink"/>
    <w:basedOn w:val="DefaultParagraphFont"/>
    <w:uiPriority w:val="99"/>
    <w:unhideWhenUsed/>
    <w:rsid w:val="00130865"/>
    <w:rPr>
      <w:color w:val="0000FF" w:themeColor="hyperlink"/>
      <w:u w:val="single"/>
    </w:rPr>
  </w:style>
  <w:style w:type="character" w:styleId="UnresolvedMention">
    <w:name w:val="Unresolved Mention"/>
    <w:basedOn w:val="DefaultParagraphFont"/>
    <w:uiPriority w:val="99"/>
    <w:semiHidden/>
    <w:unhideWhenUsed/>
    <w:rsid w:val="00130865"/>
    <w:rPr>
      <w:color w:val="605E5C"/>
      <w:shd w:val="clear" w:color="auto" w:fill="E1DFDD"/>
    </w:rPr>
  </w:style>
  <w:style w:type="character" w:styleId="FollowedHyperlink">
    <w:name w:val="FollowedHyperlink"/>
    <w:basedOn w:val="DefaultParagraphFont"/>
    <w:uiPriority w:val="99"/>
    <w:semiHidden/>
    <w:unhideWhenUsed/>
    <w:rsid w:val="001308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research.fotocasa.es" TargetMode="External"/><Relationship Id="rId26" Type="http://schemas.openxmlformats.org/officeDocument/2006/relationships/hyperlink" Target="https://www.immobilienscout24.de/" TargetMode="External"/><Relationship Id="rId3" Type="http://schemas.openxmlformats.org/officeDocument/2006/relationships/styles" Target="styles.xml"/><Relationship Id="rId21" Type="http://schemas.openxmlformats.org/officeDocument/2006/relationships/hyperlink" Target="https://www.habitaclia.com/" TargetMode="External"/><Relationship Id="rId7" Type="http://schemas.openxmlformats.org/officeDocument/2006/relationships/endnotes" Target="endnotes.xml"/><Relationship Id="rId12" Type="http://schemas.openxmlformats.org/officeDocument/2006/relationships/hyperlink" Target="https://youtu.be/Mtqf9Z9qCJs" TargetMode="External"/><Relationship Id="rId17" Type="http://schemas.openxmlformats.org/officeDocument/2006/relationships/hyperlink" Target="https://www.fotocasa.es/indice/" TargetMode="External"/><Relationship Id="rId25" Type="http://schemas.openxmlformats.org/officeDocument/2006/relationships/hyperlink" Target="https://www.inmoweb.es/" TargetMode="External"/><Relationship Id="rId2" Type="http://schemas.openxmlformats.org/officeDocument/2006/relationships/numbering" Target="numbering.xml"/><Relationship Id="rId16" Type="http://schemas.openxmlformats.org/officeDocument/2006/relationships/hyperlink" Target="http://www.fotocasa.es" TargetMode="External"/><Relationship Id="rId20" Type="http://schemas.openxmlformats.org/officeDocument/2006/relationships/hyperlink" Target="https://www.fotocasa.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tocasa.es" TargetMode="External"/><Relationship Id="rId24" Type="http://schemas.openxmlformats.org/officeDocument/2006/relationships/hyperlink" Target="https://get.witei.com/en/" TargetMode="External"/><Relationship Id="rId5" Type="http://schemas.openxmlformats.org/officeDocument/2006/relationships/webSettings" Target="webSettings.xml"/><Relationship Id="rId15" Type="http://schemas.openxmlformats.org/officeDocument/2006/relationships/hyperlink" Target="http://www.fotocasa.es" TargetMode="External"/><Relationship Id="rId23" Type="http://schemas.openxmlformats.org/officeDocument/2006/relationships/hyperlink" Target="https://datavenues.com/"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prensa.fotocasa.es" TargetMode="External"/><Relationship Id="rId4" Type="http://schemas.openxmlformats.org/officeDocument/2006/relationships/settings" Target="settings.xml"/><Relationship Id="rId9" Type="http://schemas.openxmlformats.org/officeDocument/2006/relationships/hyperlink" Target="https://www.fotocasa.es" TargetMode="External"/><Relationship Id="rId14" Type="http://schemas.openxmlformats.org/officeDocument/2006/relationships/hyperlink" Target="http://www.fotocasa.es" TargetMode="External"/><Relationship Id="rId22" Type="http://schemas.openxmlformats.org/officeDocument/2006/relationships/hyperlink" Target="https://profesionales.fotocasa.es/" TargetMode="External"/><Relationship Id="rId27" Type="http://schemas.openxmlformats.org/officeDocument/2006/relationships/hyperlink" Target="mailto:comunicacion@fotocasa.es"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8ZM5E1J17oC01j+WgJdbs6SiDw==">CgMxLjAyDmguN2NlcDV0dnRtZjdnMg5oLmNjYmE0ZHJ1b2dyeDIOaC5iZnp0ZHp1ZGJxcWUyDmgueHc2a2ZidWIxcm1kMg5oLmhyeWRoanNzbzJycTIOaC5yb3VjbGV3azNiNnYyDmguM3ByN3d5b2NidnJ0OAByITEwVl9FcXl0Vk5ha1kwOXFqd0FLZlRXcGU4OXBPWk9KdA==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3307</Words>
  <Characters>18852</Characters>
  <Application>Microsoft Office Word</Application>
  <DocSecurity>0</DocSecurity>
  <Lines>157</Lines>
  <Paragraphs>44</Paragraphs>
  <ScaleCrop>false</ScaleCrop>
  <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Anais Garcia Lopez</cp:lastModifiedBy>
  <cp:revision>4</cp:revision>
  <dcterms:created xsi:type="dcterms:W3CDTF">2026-07-23T13:07:00Z</dcterms:created>
  <dcterms:modified xsi:type="dcterms:W3CDTF">2026-07-23T14:43:00Z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2024-01-26T14:32:01Z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32155b42-5118-4e37-94f2-fef8b188b727</vt:lpwstr>
  </property>
  <property fmtid="{D5CDD505-2E9C-101B-9397-08002B2CF9AE}" pid="7" name="MSIP_Label_defa4170-0d19-0005-0004-bc88714345d2_ActionId">
    <vt:lpwstr>14e205f0-437b-4ec9-a62f-b3b1d7a711e1</vt:lpwstr>
  </property>
  <property fmtid="{D5CDD505-2E9C-101B-9397-08002B2CF9AE}" pid="8" name="MSIP_Label_defa4170-0d19-0005-0004-bc88714345d2_ContentBits">
    <vt:lpwstr>0</vt:lpwstr>
  </property>
</Properties>
</file>