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E482D" w14:textId="77777777" w:rsidR="004E782E" w:rsidRDefault="00000000">
      <w:pPr>
        <w:spacing w:line="276" w:lineRule="auto"/>
        <w:ind w:right="-560"/>
        <w:jc w:val="center"/>
        <w:rPr>
          <w:rFonts w:ascii="National" w:eastAsia="National" w:hAnsi="National" w:cs="National"/>
          <w:b/>
          <w:bCs/>
          <w:color w:val="1DBDC5"/>
          <w:sz w:val="44"/>
          <w:szCs w:val="44"/>
        </w:rPr>
      </w:pPr>
      <w:r>
        <w:rPr>
          <w:rFonts w:ascii="National" w:eastAsia="National" w:hAnsi="National" w:cs="National"/>
          <w:b/>
          <w:bCs/>
          <w:color w:val="1DBDC5"/>
          <w:sz w:val="34"/>
          <w:szCs w:val="34"/>
        </w:rPr>
        <w:t xml:space="preserve">ÍNDICE PREDICTIVO DE PRECIOS </w:t>
      </w:r>
    </w:p>
    <w:p w14:paraId="7033D0DB" w14:textId="77777777" w:rsidR="004E782E" w:rsidRDefault="00000000">
      <w:pPr>
        <w:spacing w:line="276" w:lineRule="auto"/>
        <w:ind w:right="-560"/>
        <w:jc w:val="center"/>
        <w:rPr>
          <w:rFonts w:ascii="National" w:eastAsia="National" w:hAnsi="National" w:cs="National"/>
          <w:b/>
          <w:bCs/>
          <w:color w:val="002060"/>
          <w:sz w:val="46"/>
          <w:szCs w:val="46"/>
        </w:rPr>
      </w:pPr>
      <w:r>
        <w:rPr>
          <w:rFonts w:ascii="National" w:eastAsia="National" w:hAnsi="National" w:cs="National"/>
          <w:b/>
          <w:bCs/>
          <w:color w:val="002060"/>
          <w:sz w:val="46"/>
          <w:szCs w:val="46"/>
        </w:rPr>
        <w:t>LA IA prevé que Las Palmas, A Coruña y Guadalajara registren las mayores subidas de precios de compraventa al cierre del tercer trimestre</w:t>
      </w:r>
    </w:p>
    <w:p w14:paraId="0EE0564D" w14:textId="77777777" w:rsidR="004E782E" w:rsidRDefault="004E782E">
      <w:pPr>
        <w:spacing w:line="276" w:lineRule="auto"/>
        <w:ind w:right="-560"/>
        <w:jc w:val="both"/>
        <w:rPr>
          <w:rFonts w:ascii="Open Sans" w:eastAsia="Open Sans" w:hAnsi="Open Sans" w:cs="Open Sans"/>
          <w:color w:val="002060"/>
        </w:rPr>
      </w:pPr>
    </w:p>
    <w:p w14:paraId="4F5B7B73" w14:textId="77777777" w:rsidR="004E782E"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iCs/>
          <w:color w:val="002060"/>
        </w:rPr>
        <w:t xml:space="preserve">Índice Predictivo de compra </w:t>
      </w:r>
      <w:proofErr w:type="spellStart"/>
      <w:r>
        <w:rPr>
          <w:rFonts w:ascii="Open Sans" w:eastAsia="Open Sans" w:hAnsi="Open Sans" w:cs="Open Sans"/>
          <w:i/>
          <w:iCs/>
          <w:color w:val="002060"/>
        </w:rPr>
        <w:t>DataVenues</w:t>
      </w:r>
      <w:proofErr w:type="spellEnd"/>
      <w:r>
        <w:rPr>
          <w:rFonts w:ascii="Open Sans" w:eastAsia="Open Sans" w:hAnsi="Open Sans" w:cs="Open Sans"/>
          <w:color w:val="002060"/>
        </w:rPr>
        <w:t xml:space="preserve"> de Fotocasa prevé incrementos trimestrales del precio de la vivienda en 43 capitales de provincia al cierre de septiembre de 2026</w:t>
      </w:r>
    </w:p>
    <w:p w14:paraId="039BBC74" w14:textId="77777777" w:rsidR="004E782E"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Canarias, Castilla-La Mancha, Galicia, Castilla y León y Andalucía concentran algunas de las mayores revalorizaciones previstas</w:t>
      </w:r>
    </w:p>
    <w:p w14:paraId="0899612C" w14:textId="77777777" w:rsidR="004E782E"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Huesca, Santander y Palma serán las capitales que registrarán los mayores descensos de precios, mientras que Valencia ciudad es la única que mantendrá una evolución estable</w:t>
      </w:r>
    </w:p>
    <w:p w14:paraId="7F317CD8" w14:textId="77777777" w:rsidR="004E782E" w:rsidRDefault="004E782E">
      <w:pPr>
        <w:spacing w:line="276" w:lineRule="auto"/>
        <w:ind w:left="360" w:right="-560"/>
        <w:jc w:val="both"/>
        <w:rPr>
          <w:rFonts w:ascii="Open Sans" w:eastAsia="Open Sans" w:hAnsi="Open Sans" w:cs="Open Sans"/>
          <w:color w:val="002060"/>
        </w:rPr>
      </w:pPr>
    </w:p>
    <w:p w14:paraId="288F5C96" w14:textId="77777777" w:rsidR="004E782E" w:rsidRDefault="00000000">
      <w:pPr>
        <w:spacing w:line="276" w:lineRule="auto"/>
        <w:ind w:right="-560"/>
        <w:rPr>
          <w:rFonts w:ascii="Open Sans" w:eastAsia="Open Sans" w:hAnsi="Open Sans" w:cs="Open Sans"/>
          <w:b/>
          <w:bCs/>
          <w:color w:val="002060"/>
          <w:sz w:val="22"/>
          <w:szCs w:val="22"/>
        </w:rPr>
      </w:pPr>
      <w:r>
        <w:rPr>
          <w:rFonts w:ascii="Open Sans" w:eastAsia="Open Sans" w:hAnsi="Open Sans" w:cs="Open Sans"/>
          <w:b/>
          <w:bCs/>
          <w:color w:val="002060"/>
          <w:sz w:val="22"/>
          <w:szCs w:val="22"/>
        </w:rPr>
        <w:t>Madrid, 16 de julio de 2026</w:t>
      </w:r>
    </w:p>
    <w:p w14:paraId="1EDFB28C" w14:textId="77777777" w:rsidR="004E782E" w:rsidRDefault="004E782E">
      <w:pPr>
        <w:spacing w:line="276" w:lineRule="auto"/>
        <w:ind w:right="-560"/>
        <w:jc w:val="both"/>
        <w:rPr>
          <w:rFonts w:ascii="Open Sans" w:eastAsia="Open Sans" w:hAnsi="Open Sans" w:cs="Open Sans"/>
          <w:sz w:val="22"/>
          <w:szCs w:val="22"/>
        </w:rPr>
      </w:pPr>
    </w:p>
    <w:p w14:paraId="06D1665A" w14:textId="77777777" w:rsidR="004E782E" w:rsidRDefault="00000000">
      <w:pPr>
        <w:spacing w:line="276" w:lineRule="auto"/>
        <w:ind w:right="-560"/>
        <w:jc w:val="both"/>
        <w:rPr>
          <w:rFonts w:ascii="Open Sans" w:eastAsia="Open Sans" w:hAnsi="Open Sans" w:cs="Open Sans"/>
          <w:color w:val="262626"/>
          <w:sz w:val="22"/>
          <w:szCs w:val="22"/>
        </w:rPr>
      </w:pPr>
      <w:bookmarkStart w:id="0" w:name="_heading=h.30j0zll" w:colFirst="0" w:colLast="0"/>
      <w:bookmarkEnd w:id="0"/>
      <w:r>
        <w:rPr>
          <w:rFonts w:ascii="Open Sans" w:eastAsia="Open Sans" w:hAnsi="Open Sans" w:cs="Open Sans"/>
          <w:color w:val="262626"/>
          <w:sz w:val="22"/>
          <w:szCs w:val="22"/>
        </w:rPr>
        <w:t xml:space="preserve">El </w:t>
      </w:r>
      <w:r>
        <w:rPr>
          <w:rFonts w:ascii="Open Sans" w:eastAsia="Open Sans" w:hAnsi="Open Sans" w:cs="Open Sans"/>
          <w:i/>
          <w:iCs/>
          <w:color w:val="262626"/>
          <w:sz w:val="22"/>
          <w:szCs w:val="22"/>
        </w:rPr>
        <w:t xml:space="preserve">Índice Predictivo de compra </w:t>
      </w:r>
      <w:hyperlink r:id="rId8">
        <w:proofErr w:type="spellStart"/>
        <w:r>
          <w:rPr>
            <w:rFonts w:ascii="Open Sans" w:eastAsia="Open Sans" w:hAnsi="Open Sans" w:cs="Open Sans"/>
            <w:b/>
            <w:bCs/>
            <w:i/>
            <w:iCs/>
            <w:color w:val="0000FF"/>
            <w:sz w:val="22"/>
            <w:szCs w:val="22"/>
            <w:u w:val="single"/>
          </w:rPr>
          <w:t>DataVenues</w:t>
        </w:r>
        <w:proofErr w:type="spellEnd"/>
      </w:hyperlink>
      <w:r>
        <w:rPr>
          <w:rFonts w:ascii="Open Sans" w:eastAsia="Open Sans" w:hAnsi="Open Sans" w:cs="Open Sans"/>
          <w:b/>
          <w:bCs/>
          <w:color w:val="262626"/>
          <w:sz w:val="22"/>
          <w:szCs w:val="22"/>
        </w:rPr>
        <w:t> </w:t>
      </w:r>
      <w:r>
        <w:rPr>
          <w:rFonts w:ascii="Open Sans" w:eastAsia="Open Sans" w:hAnsi="Open Sans" w:cs="Open Sans"/>
          <w:color w:val="262626"/>
          <w:sz w:val="22"/>
          <w:szCs w:val="22"/>
        </w:rPr>
        <w:t xml:space="preserve">de </w:t>
      </w:r>
      <w:hyperlink r:id="rId9">
        <w:r>
          <w:rPr>
            <w:rFonts w:ascii="Open Sans" w:eastAsia="Open Sans" w:hAnsi="Open Sans" w:cs="Open Sans"/>
            <w:b/>
            <w:bCs/>
            <w:color w:val="0000FF"/>
            <w:sz w:val="22"/>
            <w:szCs w:val="22"/>
            <w:u w:val="single"/>
          </w:rPr>
          <w:t>Fotocasa</w:t>
        </w:r>
      </w:hyperlink>
      <w:r>
        <w:rPr>
          <w:rFonts w:ascii="Open Sans" w:eastAsia="Open Sans" w:hAnsi="Open Sans" w:cs="Open Sans"/>
          <w:color w:val="262626"/>
          <w:sz w:val="22"/>
          <w:szCs w:val="22"/>
        </w:rPr>
        <w:t xml:space="preserve">, correspondiente al cierre del tercer trimestre de 2026, anticipa un comportamiento mayoritariamente alcista de los precios de la vivienda en compraventa entre las capitales de provincia españolas. La previsión de la herramienta apunta a incrementos trimestrales en 43 capitales, mientras que siete registrarán descensos y una mantendrá sus precios sin variación. Las subidas más intensas previstas para el tercer trimestre de 2026 (es decir, comparando la evolución estimada entre 1 de julio y el 30 de septiembre de 2026) se localizan principalmente en Canarias, Castilla-La Mancha, Galicia y Castilla y León, aunque las subidas se extienden por buena parte del territorio nacional. </w:t>
      </w:r>
      <w:r>
        <w:rPr>
          <w:rFonts w:ascii="Open Sans" w:eastAsia="Open Sans" w:hAnsi="Open Sans" w:cs="Open Sans"/>
          <w:b/>
          <w:bCs/>
          <w:color w:val="262626"/>
          <w:sz w:val="22"/>
          <w:szCs w:val="22"/>
        </w:rPr>
        <w:t xml:space="preserve">Estas son las principales estimaciones del </w:t>
      </w:r>
      <w:r>
        <w:rPr>
          <w:rFonts w:ascii="Open Sans" w:eastAsia="Open Sans" w:hAnsi="Open Sans" w:cs="Open Sans"/>
          <w:b/>
          <w:bCs/>
          <w:i/>
          <w:iCs/>
          <w:color w:val="262626"/>
          <w:sz w:val="22"/>
          <w:szCs w:val="22"/>
        </w:rPr>
        <w:t xml:space="preserve">Índice predictivo de compra </w:t>
      </w:r>
      <w:hyperlink r:id="rId10">
        <w:proofErr w:type="spellStart"/>
        <w:r>
          <w:rPr>
            <w:rFonts w:ascii="Open Sans" w:eastAsia="Open Sans" w:hAnsi="Open Sans" w:cs="Open Sans"/>
            <w:b/>
            <w:bCs/>
            <w:i/>
            <w:iCs/>
            <w:color w:val="0000FF"/>
            <w:sz w:val="22"/>
            <w:szCs w:val="22"/>
            <w:u w:val="single"/>
          </w:rPr>
          <w:t>DataVenues</w:t>
        </w:r>
        <w:proofErr w:type="spellEnd"/>
      </w:hyperlink>
      <w:r>
        <w:rPr>
          <w:rFonts w:ascii="Open Sans" w:eastAsia="Open Sans" w:hAnsi="Open Sans" w:cs="Open Sans"/>
          <w:b/>
          <w:bCs/>
          <w:color w:val="262626"/>
          <w:sz w:val="22"/>
          <w:szCs w:val="22"/>
        </w:rPr>
        <w:t> de </w:t>
      </w:r>
      <w:hyperlink r:id="rId11">
        <w:r>
          <w:rPr>
            <w:rFonts w:ascii="Open Sans" w:eastAsia="Open Sans" w:hAnsi="Open Sans" w:cs="Open Sans"/>
            <w:b/>
            <w:bCs/>
            <w:color w:val="0000FF"/>
            <w:sz w:val="22"/>
            <w:szCs w:val="22"/>
            <w:u w:val="single"/>
          </w:rPr>
          <w:t>Fotocasa</w:t>
        </w:r>
      </w:hyperlink>
      <w:r>
        <w:rPr>
          <w:rFonts w:ascii="Open Sans" w:eastAsia="Open Sans" w:hAnsi="Open Sans" w:cs="Open Sans"/>
          <w:b/>
          <w:bCs/>
          <w:color w:val="262626"/>
          <w:sz w:val="22"/>
          <w:szCs w:val="22"/>
        </w:rPr>
        <w:t xml:space="preserve">, que permite adelantarse al comportamiento del mercado y prever la evolución de los precios de la vivienda de compra a nivel trimestral. </w:t>
      </w:r>
      <w:r>
        <w:rPr>
          <w:rFonts w:ascii="Open Sans" w:eastAsia="Open Sans" w:hAnsi="Open Sans" w:cs="Open Sans"/>
          <w:color w:val="262626"/>
          <w:sz w:val="22"/>
          <w:szCs w:val="22"/>
        </w:rPr>
        <w:t xml:space="preserve">Desde enero de 2025, </w:t>
      </w:r>
      <w:hyperlink r:id="rId12">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2A5034BB" w14:textId="77777777" w:rsidR="004E782E" w:rsidRDefault="004E782E">
      <w:pPr>
        <w:spacing w:line="276" w:lineRule="auto"/>
        <w:ind w:right="-560"/>
        <w:jc w:val="both"/>
        <w:rPr>
          <w:rFonts w:ascii="Open Sans" w:eastAsia="Open Sans" w:hAnsi="Open Sans" w:cs="Open Sans"/>
          <w:color w:val="262626"/>
          <w:sz w:val="22"/>
          <w:szCs w:val="22"/>
        </w:rPr>
      </w:pPr>
      <w:bookmarkStart w:id="1" w:name="_heading=h.b91t3ebwymq3" w:colFirst="0" w:colLast="0"/>
      <w:bookmarkEnd w:id="1"/>
    </w:p>
    <w:p w14:paraId="6203BFF3" w14:textId="77777777" w:rsidR="004E782E" w:rsidRDefault="00000000">
      <w:pPr>
        <w:spacing w:line="276" w:lineRule="auto"/>
        <w:ind w:right="-560"/>
        <w:jc w:val="both"/>
        <w:rPr>
          <w:rFonts w:ascii="Open Sans" w:eastAsia="Open Sans" w:hAnsi="Open Sans" w:cs="Open Sans"/>
          <w:b/>
          <w:bCs/>
          <w:color w:val="000000"/>
          <w:sz w:val="22"/>
          <w:szCs w:val="22"/>
        </w:rPr>
      </w:pPr>
      <w:bookmarkStart w:id="2" w:name="_heading=h.gmepf24w3prf" w:colFirst="0" w:colLast="0"/>
      <w:bookmarkEnd w:id="2"/>
      <w:r>
        <w:rPr>
          <w:rFonts w:ascii="Open Sans" w:eastAsia="Open Sans" w:hAnsi="Open Sans" w:cs="Open Sans"/>
          <w:color w:val="262626"/>
          <w:sz w:val="22"/>
          <w:szCs w:val="22"/>
        </w:rPr>
        <w:t xml:space="preserve">“Las previsiones de nuestro Índice Predictivo confirman que el mercado de la compraventa mantiene un importante impulso, aunque cada vez de una forma más selectiva. La IA nos permite anticipar que la mayor parte de las capitales españolas seguirá registrando incrementos de precios durante el tercer trimestre, reflejo de un mercado que continúa muy tensionado por un desequilibrio estructural entre oferta y demanda. Lo más interesante de estas previsiones es que el crecimiento ya no responde únicamente a los grandes mercados tradicionales. Vemos cómo ciudades intermedias y capitales con un precio todavía más competitivo lideran las revalorizaciones, impulsadas por una demanda que busca alternativas más asequibles sin renunciar a oportunidades de inversión o de calidad de vida”, </w:t>
      </w:r>
      <w:r>
        <w:rPr>
          <w:rFonts w:ascii="Open Sans" w:eastAsia="Open Sans" w:hAnsi="Open Sans" w:cs="Open Sans"/>
          <w:b/>
          <w:bCs/>
          <w:color w:val="262626"/>
          <w:sz w:val="22"/>
          <w:szCs w:val="22"/>
        </w:rPr>
        <w:t xml:space="preserve">explica María Matos, directora de Estudios de </w:t>
      </w:r>
      <w:hyperlink r:id="rId13">
        <w:r>
          <w:rPr>
            <w:rFonts w:ascii="Open Sans" w:eastAsia="Open Sans" w:hAnsi="Open Sans" w:cs="Open Sans"/>
            <w:b/>
            <w:bCs/>
            <w:color w:val="1155CC"/>
            <w:sz w:val="22"/>
            <w:szCs w:val="22"/>
            <w:u w:val="single"/>
          </w:rPr>
          <w:t>Fotocasa</w:t>
        </w:r>
      </w:hyperlink>
      <w:r>
        <w:rPr>
          <w:rFonts w:ascii="Open Sans" w:eastAsia="Open Sans" w:hAnsi="Open Sans" w:cs="Open Sans"/>
          <w:color w:val="262626"/>
          <w:sz w:val="22"/>
          <w:szCs w:val="22"/>
        </w:rPr>
        <w:t xml:space="preserve">. </w:t>
      </w:r>
    </w:p>
    <w:p w14:paraId="44E7BB32" w14:textId="77777777" w:rsidR="004E782E" w:rsidRDefault="004E782E">
      <w:pPr>
        <w:spacing w:line="276" w:lineRule="auto"/>
        <w:ind w:right="-560"/>
        <w:jc w:val="both"/>
        <w:rPr>
          <w:rFonts w:ascii="Open Sans" w:eastAsia="Open Sans" w:hAnsi="Open Sans" w:cs="Open Sans"/>
          <w:color w:val="262626"/>
          <w:sz w:val="22"/>
          <w:szCs w:val="22"/>
        </w:rPr>
      </w:pPr>
    </w:p>
    <w:p w14:paraId="090558EA" w14:textId="77777777" w:rsidR="004E782E"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Subidas previstas en 43 capitales al cierre del tercer trimestre</w:t>
      </w:r>
    </w:p>
    <w:p w14:paraId="2D30C421" w14:textId="77777777" w:rsidR="004E782E" w:rsidRDefault="004E782E">
      <w:pPr>
        <w:spacing w:line="276" w:lineRule="auto"/>
        <w:ind w:right="-560"/>
        <w:jc w:val="both"/>
        <w:rPr>
          <w:rFonts w:ascii="Open Sans" w:eastAsia="Open Sans" w:hAnsi="Open Sans" w:cs="Open Sans"/>
          <w:color w:val="262626"/>
          <w:sz w:val="22"/>
          <w:szCs w:val="22"/>
        </w:rPr>
      </w:pPr>
    </w:p>
    <w:p w14:paraId="42E0E587" w14:textId="77777777" w:rsidR="004E78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Concretamente, las principales estimaciones del Índice Predictivo indican que </w:t>
      </w:r>
      <w:r>
        <w:rPr>
          <w:rFonts w:ascii="Open Sans" w:eastAsia="Open Sans" w:hAnsi="Open Sans" w:cs="Open Sans"/>
          <w:b/>
          <w:bCs/>
          <w:color w:val="262626"/>
          <w:sz w:val="22"/>
          <w:szCs w:val="22"/>
        </w:rPr>
        <w:t>Las Palmas de Gran Canaria liderará el crecimiento trimestral previsto con un incremento del 8,1%, seguida de Guadalajara, con un 6,3%, y A Coruña, con un 6,0%</w:t>
      </w:r>
      <w:r>
        <w:rPr>
          <w:rFonts w:ascii="Open Sans" w:eastAsia="Open Sans" w:hAnsi="Open Sans" w:cs="Open Sans"/>
          <w:color w:val="262626"/>
          <w:sz w:val="22"/>
          <w:szCs w:val="22"/>
        </w:rPr>
        <w:t>. Tras ellas, se sitúan Ávila, con una subida estimada del 5,5%, Girona (4,8%), Jaén (4,5%), Teruel (4,0%), Ourense (3,6%), Almería (3,5%), León (3,2%) y Alicante, también con un incremento previsto del 3,2%. Las previsiones muestran un comportamiento positivo de los precios en la mayor parte del país, con especial protagonismo de varias comunidades autónomas que concentran algunos de los mayores incrementos trimestrales.</w:t>
      </w:r>
    </w:p>
    <w:p w14:paraId="48D24715" w14:textId="77777777" w:rsidR="004E782E" w:rsidRDefault="004E782E">
      <w:pPr>
        <w:spacing w:line="276" w:lineRule="auto"/>
        <w:ind w:right="-560"/>
        <w:jc w:val="both"/>
        <w:rPr>
          <w:rFonts w:ascii="Open Sans" w:eastAsia="Open Sans" w:hAnsi="Open Sans" w:cs="Open Sans"/>
          <w:color w:val="262626"/>
          <w:sz w:val="22"/>
          <w:szCs w:val="22"/>
        </w:rPr>
      </w:pPr>
    </w:p>
    <w:p w14:paraId="45FDBEB4" w14:textId="77777777" w:rsidR="004E78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Como se ha mencionado, en Canarias, Las Palmas encabezará el ranking nacional con un aumento previsto del 8,1%, mientras que Santa Cruz de Tenerife será una de las pocas excepciones, al registrar una previsión de descenso del 0,5%. En Castilla-La Mancha, además del destacado incremento previsto para Guadalajara (6,3%), también crecerán Albacete (2,5%), Ciudad Real (1,5%), Toledo (0,9%) y Cuenca (0,8%), consolidando una evolución positiva generalizada en la comunidad. </w:t>
      </w:r>
      <w:r>
        <w:rPr>
          <w:rFonts w:ascii="Open Sans" w:eastAsia="Open Sans" w:hAnsi="Open Sans" w:cs="Open Sans"/>
          <w:b/>
          <w:bCs/>
          <w:color w:val="262626"/>
          <w:sz w:val="22"/>
          <w:szCs w:val="22"/>
        </w:rPr>
        <w:t>Galicia será otra de las autonomías con mayor dinamismo previsto</w:t>
      </w:r>
      <w:r>
        <w:rPr>
          <w:rFonts w:ascii="Open Sans" w:eastAsia="Open Sans" w:hAnsi="Open Sans" w:cs="Open Sans"/>
          <w:color w:val="262626"/>
          <w:sz w:val="22"/>
          <w:szCs w:val="22"/>
        </w:rPr>
        <w:t>. Tras A Coruña, que registrará una subida del 6,0%, se situarán Ourense (3,6%), Vigo (0,5%), Lugo (0,2%) y Pontevedra (0,1%), de modo que las cinco ciudades gallegas presentarán incrementos trimestrales en el precio de la vivienda.</w:t>
      </w:r>
    </w:p>
    <w:p w14:paraId="3289E392" w14:textId="77777777" w:rsidR="004E782E" w:rsidRDefault="004E782E">
      <w:pPr>
        <w:spacing w:line="276" w:lineRule="auto"/>
        <w:ind w:right="-560"/>
        <w:jc w:val="both"/>
        <w:rPr>
          <w:rFonts w:ascii="Open Sans" w:eastAsia="Open Sans" w:hAnsi="Open Sans" w:cs="Open Sans"/>
          <w:color w:val="262626"/>
          <w:sz w:val="22"/>
          <w:szCs w:val="22"/>
        </w:rPr>
      </w:pPr>
    </w:p>
    <w:p w14:paraId="6EEC2C42" w14:textId="77777777" w:rsidR="004E78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También Castilla y León concentrará un elevado número de previsiones alcistas. Además de Ávila (5,5%) y León (3,2%), aumentarán los precios en Soria (2,4%), Palencia (1,9%), Burgos (1,5%), Salamanca (1,4%), Valladolid (1,3%) y Zamora (0,3%). En cambio, Segovia </w:t>
      </w:r>
      <w:r>
        <w:rPr>
          <w:rFonts w:ascii="Open Sans" w:eastAsia="Open Sans" w:hAnsi="Open Sans" w:cs="Open Sans"/>
          <w:color w:val="262626"/>
          <w:sz w:val="22"/>
          <w:szCs w:val="22"/>
        </w:rPr>
        <w:lastRenderedPageBreak/>
        <w:t xml:space="preserve">registrará una ligera corrección del 0,5%. </w:t>
      </w:r>
      <w:r>
        <w:rPr>
          <w:rFonts w:ascii="Open Sans" w:eastAsia="Open Sans" w:hAnsi="Open Sans" w:cs="Open Sans"/>
          <w:b/>
          <w:bCs/>
          <w:color w:val="262626"/>
          <w:sz w:val="22"/>
          <w:szCs w:val="22"/>
        </w:rPr>
        <w:t>En Andalucía, la previsión también es mayoritariamente favorable</w:t>
      </w:r>
      <w:r>
        <w:rPr>
          <w:rFonts w:ascii="Open Sans" w:eastAsia="Open Sans" w:hAnsi="Open Sans" w:cs="Open Sans"/>
          <w:color w:val="262626"/>
          <w:sz w:val="22"/>
          <w:szCs w:val="22"/>
        </w:rPr>
        <w:t>. Jaén liderará las subidas con un 4,5%, seguida de Almería (3,5%), Córdoba (1,6%), Sevilla (1,5%), Huelva (0,8%), Cádiz (0,5%) y Granada (0,3%). Por el contrario, Málaga será la única capital andaluza que experimentará una ligera bajada prevista, del 0,5%. En Cataluña, las cuatro capitales registrarán incrementos trimestrales. Girona liderará la evolución, con un 4,8%, seguida de Barcelona (1,7%), Tarragona (1,3%) y Lleida (0,6%).</w:t>
      </w:r>
    </w:p>
    <w:p w14:paraId="756AC01B" w14:textId="77777777" w:rsidR="004E782E" w:rsidRDefault="004E782E">
      <w:pPr>
        <w:spacing w:line="276" w:lineRule="auto"/>
        <w:ind w:right="-560"/>
        <w:jc w:val="both"/>
        <w:rPr>
          <w:rFonts w:ascii="Open Sans" w:eastAsia="Open Sans" w:hAnsi="Open Sans" w:cs="Open Sans"/>
          <w:color w:val="262626"/>
          <w:sz w:val="22"/>
          <w:szCs w:val="22"/>
        </w:rPr>
      </w:pPr>
    </w:p>
    <w:p w14:paraId="1B58CDD0" w14:textId="77777777" w:rsidR="004E782E" w:rsidRDefault="00000000">
      <w:pPr>
        <w:spacing w:line="276" w:lineRule="auto"/>
        <w:ind w:right="-560"/>
        <w:jc w:val="center"/>
        <w:rPr>
          <w:rFonts w:ascii="Open Sans" w:eastAsia="Open Sans" w:hAnsi="Open Sans" w:cs="Open Sans"/>
          <w:b/>
          <w:bCs/>
          <w:color w:val="002060"/>
          <w:sz w:val="22"/>
          <w:szCs w:val="22"/>
        </w:rPr>
      </w:pPr>
      <w:r>
        <w:rPr>
          <w:rFonts w:ascii="Open Sans" w:eastAsia="Open Sans" w:hAnsi="Open Sans" w:cs="Open Sans"/>
          <w:b/>
          <w:bCs/>
          <w:color w:val="002060"/>
          <w:sz w:val="22"/>
          <w:szCs w:val="22"/>
        </w:rPr>
        <w:t>Ciudades en las que más subirá el precio de la vivienda en venta</w:t>
      </w:r>
    </w:p>
    <w:p w14:paraId="38DC5DBC" w14:textId="77777777" w:rsidR="004E782E" w:rsidRDefault="00000000">
      <w:pPr>
        <w:spacing w:line="276" w:lineRule="auto"/>
        <w:ind w:right="-560"/>
        <w:jc w:val="both"/>
        <w:rPr>
          <w:rFonts w:ascii="Open Sans" w:eastAsia="Open Sans" w:hAnsi="Open Sans" w:cs="Open Sans"/>
          <w:color w:val="262626"/>
          <w:sz w:val="22"/>
          <w:szCs w:val="22"/>
        </w:rPr>
      </w:pPr>
      <w:r>
        <w:rPr>
          <w:noProof/>
        </w:rPr>
        <w:drawing>
          <wp:inline distT="0" distB="0" distL="0" distR="0" wp14:anchorId="51A4FA5A" wp14:editId="41252F5A">
            <wp:extent cx="5724525" cy="27908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24525" cy="2790825"/>
                    </a:xfrm>
                    <a:prstGeom prst="rect">
                      <a:avLst/>
                    </a:prstGeom>
                    <a:ln/>
                  </pic:spPr>
                </pic:pic>
              </a:graphicData>
            </a:graphic>
          </wp:inline>
        </w:drawing>
      </w:r>
    </w:p>
    <w:p w14:paraId="7904BF79" w14:textId="77777777" w:rsidR="004E782E" w:rsidRDefault="004E782E">
      <w:pPr>
        <w:spacing w:line="276" w:lineRule="auto"/>
        <w:ind w:right="-560"/>
        <w:jc w:val="both"/>
        <w:rPr>
          <w:rFonts w:ascii="Open Sans" w:eastAsia="Open Sans" w:hAnsi="Open Sans" w:cs="Open Sans"/>
          <w:color w:val="262626"/>
          <w:sz w:val="22"/>
          <w:szCs w:val="22"/>
        </w:rPr>
      </w:pPr>
    </w:p>
    <w:p w14:paraId="46327E6A" w14:textId="77777777" w:rsidR="004E782E"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Aragón, Teruel destacará con una subida prevista del 4,0%, mientras que Zaragoza aumentará un 0,7%. Huesca, sin embargo, registrará el mayor descenso previsto de todas las capitales analizadas, con una caída del 6,9%. </w:t>
      </w:r>
      <w:r>
        <w:rPr>
          <w:rFonts w:ascii="Open Sans" w:eastAsia="Open Sans" w:hAnsi="Open Sans" w:cs="Open Sans"/>
          <w:b/>
          <w:bCs/>
          <w:color w:val="262626"/>
          <w:sz w:val="22"/>
          <w:szCs w:val="22"/>
        </w:rPr>
        <w:t>En la Comunidad Valenciana, las previsiones apuntan a incrementos en Alicante (3,2%) y Castellón de la Plana (1,3%), mientras que Valencia mantendrá una evolución estable</w:t>
      </w:r>
      <w:r>
        <w:rPr>
          <w:rFonts w:ascii="Open Sans" w:eastAsia="Open Sans" w:hAnsi="Open Sans" w:cs="Open Sans"/>
          <w:color w:val="262626"/>
          <w:sz w:val="22"/>
          <w:szCs w:val="22"/>
        </w:rPr>
        <w:t>, sin variación trimestral prevista. Asimismo, se prevén incrementos en Madrid (2,3%), Logroño (1,7%), Bilbao (1,9%), Vitoria (0,6%), Badajoz (1,9%) Cáceres (1,6%), Oviedo (0,9%), Murcia (0,5%) y Pamplona (0,1%).</w:t>
      </w:r>
    </w:p>
    <w:p w14:paraId="1A289349" w14:textId="77777777" w:rsidR="004E782E" w:rsidRDefault="004E782E">
      <w:pPr>
        <w:spacing w:line="276" w:lineRule="auto"/>
        <w:ind w:right="-560"/>
        <w:jc w:val="both"/>
        <w:rPr>
          <w:rFonts w:ascii="Open Sans" w:eastAsia="Open Sans" w:hAnsi="Open Sans" w:cs="Open Sans"/>
          <w:color w:val="262626"/>
          <w:sz w:val="22"/>
          <w:szCs w:val="22"/>
        </w:rPr>
      </w:pPr>
    </w:p>
    <w:p w14:paraId="21A704C7" w14:textId="77777777" w:rsidR="004E782E" w:rsidRDefault="00000000">
      <w:pPr>
        <w:spacing w:line="276" w:lineRule="auto"/>
        <w:ind w:right="-560"/>
        <w:jc w:val="both"/>
        <w:rPr>
          <w:rFonts w:ascii="Open Sans" w:eastAsia="Open Sans" w:hAnsi="Open Sans" w:cs="Open Sans"/>
          <w:b/>
          <w:bCs/>
          <w:color w:val="002060"/>
        </w:rPr>
      </w:pPr>
      <w:r>
        <w:rPr>
          <w:rFonts w:ascii="Open Sans" w:eastAsia="Open Sans" w:hAnsi="Open Sans" w:cs="Open Sans"/>
          <w:b/>
          <w:bCs/>
          <w:color w:val="002060"/>
        </w:rPr>
        <w:t>Bajadas previstas en siete capitales</w:t>
      </w:r>
    </w:p>
    <w:p w14:paraId="1F6F150B" w14:textId="77777777" w:rsidR="004E782E" w:rsidRDefault="004E782E">
      <w:pPr>
        <w:spacing w:line="276" w:lineRule="auto"/>
        <w:ind w:right="-560"/>
        <w:jc w:val="both"/>
        <w:rPr>
          <w:rFonts w:ascii="Open Sans" w:eastAsia="Open Sans" w:hAnsi="Open Sans" w:cs="Open Sans"/>
          <w:color w:val="000000"/>
          <w:sz w:val="22"/>
          <w:szCs w:val="22"/>
        </w:rPr>
      </w:pPr>
    </w:p>
    <w:p w14:paraId="03871D2B" w14:textId="77777777" w:rsidR="004E782E" w:rsidRDefault="00000000">
      <w:pPr>
        <w:spacing w:line="276" w:lineRule="auto"/>
        <w:ind w:right="-560"/>
        <w:jc w:val="both"/>
        <w:rPr>
          <w:rFonts w:ascii="Open Sans" w:eastAsia="Open Sans" w:hAnsi="Open Sans" w:cs="Open Sans"/>
          <w:b/>
          <w:bCs/>
          <w:color w:val="000000"/>
          <w:sz w:val="22"/>
          <w:szCs w:val="22"/>
        </w:rPr>
      </w:pPr>
      <w:r>
        <w:rPr>
          <w:rFonts w:ascii="Open Sans" w:eastAsia="Open Sans" w:hAnsi="Open Sans" w:cs="Open Sans"/>
          <w:color w:val="000000"/>
          <w:sz w:val="22"/>
          <w:szCs w:val="22"/>
        </w:rPr>
        <w:t xml:space="preserve">Aunque la previsión general es de crecimiento de los precios de compraventa, el Índice Predictivo anticipa descensos trimestrales en siete capitales de provincia, concentrados principalmente en Aragón, la cornisa cantábrica, Baleares y algunos mercados concretos </w:t>
      </w:r>
      <w:r>
        <w:rPr>
          <w:rFonts w:ascii="Open Sans" w:eastAsia="Open Sans" w:hAnsi="Open Sans" w:cs="Open Sans"/>
          <w:color w:val="000000"/>
          <w:sz w:val="22"/>
          <w:szCs w:val="22"/>
        </w:rPr>
        <w:lastRenderedPageBreak/>
        <w:t xml:space="preserve">de Canarias, Castilla y León, Andalucía y el País Vasco. </w:t>
      </w:r>
      <w:r>
        <w:rPr>
          <w:rFonts w:ascii="Open Sans" w:eastAsia="Open Sans" w:hAnsi="Open Sans" w:cs="Open Sans"/>
          <w:b/>
          <w:bCs/>
          <w:color w:val="000000"/>
          <w:sz w:val="22"/>
          <w:szCs w:val="22"/>
        </w:rPr>
        <w:t>La mayor corrección prevista corresponde a Huesca, con una caída estimada del 6,9%, situándose a gran distancia del resto de capitales con descensos</w:t>
      </w:r>
      <w:r>
        <w:rPr>
          <w:rFonts w:ascii="Open Sans" w:eastAsia="Open Sans" w:hAnsi="Open Sans" w:cs="Open Sans"/>
          <w:color w:val="000000"/>
          <w:sz w:val="22"/>
          <w:szCs w:val="22"/>
        </w:rPr>
        <w:t>. Tras ella se encuentran Santander, con un ajuste del 1,2%, y Palma, donde los precios retrocederían un 0,9% durante el tercer trimestre. Las previsiones también apuntan a ligeras bajadas en San Sebastián, con un descenso del 0,6%, así como en Málaga, Segovia y Santa Cruz de Tenerife, que compartirían una variación negativa del 0,5%.</w:t>
      </w:r>
    </w:p>
    <w:p w14:paraId="7176A9C0" w14:textId="77777777" w:rsidR="004E782E" w:rsidRDefault="004E782E">
      <w:pPr>
        <w:spacing w:line="276" w:lineRule="auto"/>
        <w:ind w:right="-560"/>
        <w:jc w:val="both"/>
        <w:rPr>
          <w:rFonts w:ascii="Open Sans" w:eastAsia="Open Sans" w:hAnsi="Open Sans" w:cs="Open Sans"/>
          <w:b/>
          <w:bCs/>
          <w:color w:val="000000"/>
          <w:sz w:val="22"/>
          <w:szCs w:val="22"/>
        </w:rPr>
      </w:pPr>
    </w:p>
    <w:p w14:paraId="705B0E41" w14:textId="77777777" w:rsidR="004E782E" w:rsidRDefault="00000000">
      <w:pPr>
        <w:spacing w:line="276" w:lineRule="auto"/>
        <w:ind w:right="-560"/>
        <w:jc w:val="center"/>
        <w:rPr>
          <w:rFonts w:ascii="Open Sans" w:eastAsia="Open Sans" w:hAnsi="Open Sans" w:cs="Open Sans"/>
          <w:b/>
          <w:bCs/>
          <w:color w:val="002060"/>
          <w:sz w:val="22"/>
          <w:szCs w:val="22"/>
        </w:rPr>
      </w:pPr>
      <w:r>
        <w:rPr>
          <w:rFonts w:ascii="Open Sans" w:eastAsia="Open Sans" w:hAnsi="Open Sans" w:cs="Open Sans"/>
          <w:b/>
          <w:bCs/>
          <w:color w:val="002060"/>
          <w:sz w:val="22"/>
          <w:szCs w:val="22"/>
        </w:rPr>
        <w:t>Ciudades en las que más bajará el precio de la vivienda en venta</w:t>
      </w:r>
    </w:p>
    <w:p w14:paraId="24271389" w14:textId="77777777" w:rsidR="009B663D" w:rsidRDefault="009B663D">
      <w:pPr>
        <w:spacing w:line="276" w:lineRule="auto"/>
        <w:ind w:right="-560"/>
        <w:jc w:val="center"/>
        <w:rPr>
          <w:rFonts w:ascii="Open Sans" w:eastAsia="Open Sans" w:hAnsi="Open Sans" w:cs="Open Sans"/>
          <w:b/>
          <w:bCs/>
          <w:color w:val="002060"/>
          <w:sz w:val="22"/>
          <w:szCs w:val="22"/>
        </w:rPr>
      </w:pPr>
    </w:p>
    <w:p w14:paraId="703EB5D7" w14:textId="44539E45" w:rsidR="004E782E" w:rsidRDefault="009B663D">
      <w:pPr>
        <w:spacing w:line="276" w:lineRule="auto"/>
        <w:ind w:right="-560"/>
        <w:jc w:val="both"/>
        <w:rPr>
          <w:rFonts w:ascii="Open Sans" w:eastAsia="Open Sans" w:hAnsi="Open Sans" w:cs="Open Sans"/>
          <w:color w:val="262626"/>
          <w:sz w:val="22"/>
          <w:szCs w:val="22"/>
        </w:rPr>
      </w:pPr>
      <w:r w:rsidRPr="009B663D">
        <w:rPr>
          <w:rFonts w:ascii="Open Sans" w:eastAsia="Open Sans" w:hAnsi="Open Sans" w:cs="Open Sans"/>
          <w:color w:val="262626"/>
          <w:sz w:val="22"/>
          <w:szCs w:val="22"/>
        </w:rPr>
        <w:drawing>
          <wp:inline distT="0" distB="0" distL="0" distR="0" wp14:anchorId="56EB9A0D" wp14:editId="49FA136C">
            <wp:extent cx="5444197" cy="2469115"/>
            <wp:effectExtent l="0" t="0" r="4445" b="7620"/>
            <wp:docPr id="57943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37480" name=""/>
                    <pic:cNvPicPr/>
                  </pic:nvPicPr>
                  <pic:blipFill>
                    <a:blip r:embed="rId15"/>
                    <a:stretch>
                      <a:fillRect/>
                    </a:stretch>
                  </pic:blipFill>
                  <pic:spPr>
                    <a:xfrm>
                      <a:off x="0" y="0"/>
                      <a:ext cx="5446241" cy="2470042"/>
                    </a:xfrm>
                    <a:prstGeom prst="rect">
                      <a:avLst/>
                    </a:prstGeom>
                  </pic:spPr>
                </pic:pic>
              </a:graphicData>
            </a:graphic>
          </wp:inline>
        </w:drawing>
      </w:r>
    </w:p>
    <w:p w14:paraId="30D2FE67" w14:textId="77777777" w:rsidR="004E782E" w:rsidRDefault="004E782E">
      <w:pPr>
        <w:spacing w:line="276" w:lineRule="auto"/>
        <w:ind w:right="-560"/>
        <w:jc w:val="both"/>
        <w:rPr>
          <w:rFonts w:ascii="Open Sans" w:eastAsia="Open Sans" w:hAnsi="Open Sans" w:cs="Open Sans"/>
          <w:b/>
          <w:bCs/>
          <w:color w:val="262626"/>
          <w:sz w:val="22"/>
          <w:szCs w:val="22"/>
        </w:rPr>
      </w:pPr>
    </w:p>
    <w:p w14:paraId="297694A7" w14:textId="77777777" w:rsidR="004E782E" w:rsidRDefault="00000000">
      <w:pPr>
        <w:spacing w:line="276" w:lineRule="auto"/>
        <w:ind w:right="-560"/>
        <w:rPr>
          <w:rFonts w:ascii="Open Sans" w:eastAsia="Open Sans" w:hAnsi="Open Sans" w:cs="Open Sans"/>
          <w:b/>
          <w:bCs/>
          <w:color w:val="002060"/>
        </w:rPr>
      </w:pPr>
      <w:r>
        <w:rPr>
          <w:rFonts w:ascii="Open Sans" w:eastAsia="Open Sans" w:hAnsi="Open Sans" w:cs="Open Sans"/>
          <w:b/>
          <w:bCs/>
          <w:color w:val="002060"/>
        </w:rPr>
        <w:t xml:space="preserve">                    Variación trimestral por capitales de provincia</w:t>
      </w:r>
    </w:p>
    <w:p w14:paraId="45319F56" w14:textId="77777777" w:rsidR="004E782E" w:rsidRDefault="004E782E">
      <w:pPr>
        <w:spacing w:line="276" w:lineRule="auto"/>
        <w:ind w:right="-560"/>
        <w:jc w:val="both"/>
        <w:rPr>
          <w:rFonts w:ascii="Open Sans" w:eastAsia="Open Sans" w:hAnsi="Open Sans" w:cs="Open Sans"/>
          <w:b/>
          <w:bCs/>
          <w:color w:val="262626"/>
          <w:sz w:val="22"/>
          <w:szCs w:val="22"/>
        </w:rPr>
      </w:pPr>
    </w:p>
    <w:tbl>
      <w:tblPr>
        <w:tblStyle w:val="a"/>
        <w:tblW w:w="694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3543"/>
      </w:tblGrid>
      <w:tr w:rsidR="004E782E" w14:paraId="443F6426" w14:textId="77777777" w:rsidTr="004E78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BBA89D3" w14:textId="77777777" w:rsidR="004E782E"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3543" w:type="dxa"/>
          </w:tcPr>
          <w:p w14:paraId="5E46267D" w14:textId="77777777" w:rsidR="004E782E"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3º trimestre</w:t>
            </w:r>
          </w:p>
        </w:tc>
      </w:tr>
      <w:tr w:rsidR="004E782E" w14:paraId="2647EE49"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EF1DE5F" w14:textId="77777777" w:rsidR="004E782E" w:rsidRDefault="00000000">
            <w:pPr>
              <w:spacing w:line="276" w:lineRule="auto"/>
              <w:ind w:right="-560"/>
              <w:jc w:val="both"/>
              <w:rPr>
                <w:rFonts w:ascii="Open Sans" w:eastAsia="Open Sans" w:hAnsi="Open Sans" w:cs="Open Sans"/>
                <w:color w:val="262626"/>
              </w:rPr>
            </w:pPr>
            <w:r>
              <w:rPr>
                <w:b w:val="0"/>
                <w:bCs w:val="0"/>
              </w:rPr>
              <w:t>Las Palmas</w:t>
            </w:r>
          </w:p>
        </w:tc>
        <w:tc>
          <w:tcPr>
            <w:tcW w:w="3543" w:type="dxa"/>
          </w:tcPr>
          <w:p w14:paraId="2FECB0D0"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8,1%</w:t>
            </w:r>
          </w:p>
        </w:tc>
      </w:tr>
      <w:tr w:rsidR="004E782E" w14:paraId="2BE0BB5A"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308D2E61" w14:textId="77777777" w:rsidR="004E782E" w:rsidRDefault="00000000">
            <w:pPr>
              <w:spacing w:line="276" w:lineRule="auto"/>
              <w:ind w:right="-560"/>
              <w:jc w:val="both"/>
              <w:rPr>
                <w:rFonts w:ascii="Open Sans" w:eastAsia="Open Sans" w:hAnsi="Open Sans" w:cs="Open Sans"/>
                <w:color w:val="262626"/>
              </w:rPr>
            </w:pPr>
            <w:r>
              <w:rPr>
                <w:b w:val="0"/>
                <w:bCs w:val="0"/>
              </w:rPr>
              <w:t>Guadalajara</w:t>
            </w:r>
          </w:p>
        </w:tc>
        <w:tc>
          <w:tcPr>
            <w:tcW w:w="3543" w:type="dxa"/>
          </w:tcPr>
          <w:p w14:paraId="3338FA22"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6,3%</w:t>
            </w:r>
          </w:p>
        </w:tc>
      </w:tr>
      <w:tr w:rsidR="004E782E" w14:paraId="460D60A1"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67802CBB" w14:textId="77777777" w:rsidR="004E782E" w:rsidRDefault="00000000">
            <w:pPr>
              <w:spacing w:line="276" w:lineRule="auto"/>
              <w:ind w:right="-560"/>
              <w:jc w:val="both"/>
              <w:rPr>
                <w:rFonts w:ascii="Open Sans" w:eastAsia="Open Sans" w:hAnsi="Open Sans" w:cs="Open Sans"/>
                <w:color w:val="262626"/>
              </w:rPr>
            </w:pPr>
            <w:r>
              <w:rPr>
                <w:b w:val="0"/>
                <w:bCs w:val="0"/>
              </w:rPr>
              <w:t>A Coruña</w:t>
            </w:r>
          </w:p>
        </w:tc>
        <w:tc>
          <w:tcPr>
            <w:tcW w:w="3543" w:type="dxa"/>
          </w:tcPr>
          <w:p w14:paraId="3B40F540"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6,0%</w:t>
            </w:r>
          </w:p>
        </w:tc>
      </w:tr>
      <w:tr w:rsidR="004E782E" w14:paraId="52126ECE"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A40EC2A" w14:textId="77777777" w:rsidR="004E782E" w:rsidRDefault="00000000">
            <w:pPr>
              <w:spacing w:line="276" w:lineRule="auto"/>
              <w:ind w:right="-560"/>
              <w:jc w:val="both"/>
              <w:rPr>
                <w:rFonts w:ascii="Open Sans" w:eastAsia="Open Sans" w:hAnsi="Open Sans" w:cs="Open Sans"/>
                <w:color w:val="262626"/>
              </w:rPr>
            </w:pPr>
            <w:r>
              <w:rPr>
                <w:b w:val="0"/>
                <w:bCs w:val="0"/>
              </w:rPr>
              <w:t>Ávila</w:t>
            </w:r>
          </w:p>
        </w:tc>
        <w:tc>
          <w:tcPr>
            <w:tcW w:w="3543" w:type="dxa"/>
          </w:tcPr>
          <w:p w14:paraId="77B0BB68"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5,5%</w:t>
            </w:r>
          </w:p>
        </w:tc>
      </w:tr>
      <w:tr w:rsidR="004E782E" w14:paraId="722C6264"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2831AF93" w14:textId="77777777" w:rsidR="004E782E" w:rsidRDefault="00000000">
            <w:pPr>
              <w:spacing w:line="276" w:lineRule="auto"/>
              <w:ind w:right="-560"/>
              <w:jc w:val="both"/>
              <w:rPr>
                <w:rFonts w:ascii="Open Sans" w:eastAsia="Open Sans" w:hAnsi="Open Sans" w:cs="Open Sans"/>
                <w:color w:val="262626"/>
              </w:rPr>
            </w:pPr>
            <w:r>
              <w:rPr>
                <w:b w:val="0"/>
                <w:bCs w:val="0"/>
              </w:rPr>
              <w:t>Girona</w:t>
            </w:r>
          </w:p>
        </w:tc>
        <w:tc>
          <w:tcPr>
            <w:tcW w:w="3543" w:type="dxa"/>
          </w:tcPr>
          <w:p w14:paraId="152972F8"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4,8%</w:t>
            </w:r>
          </w:p>
        </w:tc>
      </w:tr>
      <w:tr w:rsidR="004E782E" w14:paraId="1B02DA0B"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BC78F6A" w14:textId="77777777" w:rsidR="004E782E" w:rsidRDefault="00000000">
            <w:pPr>
              <w:spacing w:line="276" w:lineRule="auto"/>
              <w:ind w:right="-560"/>
              <w:jc w:val="both"/>
              <w:rPr>
                <w:rFonts w:ascii="Open Sans" w:eastAsia="Open Sans" w:hAnsi="Open Sans" w:cs="Open Sans"/>
                <w:color w:val="262626"/>
              </w:rPr>
            </w:pPr>
            <w:r>
              <w:rPr>
                <w:b w:val="0"/>
                <w:bCs w:val="0"/>
              </w:rPr>
              <w:t>Jaén</w:t>
            </w:r>
          </w:p>
        </w:tc>
        <w:tc>
          <w:tcPr>
            <w:tcW w:w="3543" w:type="dxa"/>
          </w:tcPr>
          <w:p w14:paraId="21D59D5E"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4,5%</w:t>
            </w:r>
          </w:p>
        </w:tc>
      </w:tr>
      <w:tr w:rsidR="004E782E" w14:paraId="722B5CCC"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773A8FE" w14:textId="77777777" w:rsidR="004E782E" w:rsidRDefault="00000000">
            <w:pPr>
              <w:spacing w:line="276" w:lineRule="auto"/>
              <w:ind w:right="-560"/>
              <w:jc w:val="both"/>
              <w:rPr>
                <w:rFonts w:ascii="Open Sans" w:eastAsia="Open Sans" w:hAnsi="Open Sans" w:cs="Open Sans"/>
                <w:color w:val="262626"/>
              </w:rPr>
            </w:pPr>
            <w:r>
              <w:rPr>
                <w:b w:val="0"/>
                <w:bCs w:val="0"/>
              </w:rPr>
              <w:t>Teruel</w:t>
            </w:r>
          </w:p>
        </w:tc>
        <w:tc>
          <w:tcPr>
            <w:tcW w:w="3543" w:type="dxa"/>
          </w:tcPr>
          <w:p w14:paraId="0B26FFAE"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4,0%</w:t>
            </w:r>
          </w:p>
        </w:tc>
      </w:tr>
      <w:tr w:rsidR="004E782E" w14:paraId="2067A8E8"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493ECDB" w14:textId="77777777" w:rsidR="004E782E" w:rsidRDefault="00000000">
            <w:pPr>
              <w:spacing w:line="276" w:lineRule="auto"/>
              <w:ind w:right="-560"/>
              <w:jc w:val="both"/>
              <w:rPr>
                <w:rFonts w:ascii="Open Sans" w:eastAsia="Open Sans" w:hAnsi="Open Sans" w:cs="Open Sans"/>
                <w:color w:val="262626"/>
              </w:rPr>
            </w:pPr>
            <w:r>
              <w:rPr>
                <w:b w:val="0"/>
                <w:bCs w:val="0"/>
              </w:rPr>
              <w:t>Ourense</w:t>
            </w:r>
          </w:p>
        </w:tc>
        <w:tc>
          <w:tcPr>
            <w:tcW w:w="3543" w:type="dxa"/>
          </w:tcPr>
          <w:p w14:paraId="39F25305"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3,6%</w:t>
            </w:r>
          </w:p>
        </w:tc>
      </w:tr>
      <w:tr w:rsidR="004E782E" w14:paraId="1BAFEE9B"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3C787B3" w14:textId="77777777" w:rsidR="004E782E" w:rsidRDefault="00000000">
            <w:pPr>
              <w:spacing w:line="276" w:lineRule="auto"/>
              <w:ind w:right="-560"/>
              <w:jc w:val="both"/>
              <w:rPr>
                <w:rFonts w:ascii="Open Sans" w:eastAsia="Open Sans" w:hAnsi="Open Sans" w:cs="Open Sans"/>
                <w:color w:val="262626"/>
              </w:rPr>
            </w:pPr>
            <w:r>
              <w:rPr>
                <w:b w:val="0"/>
                <w:bCs w:val="0"/>
              </w:rPr>
              <w:t>Almería</w:t>
            </w:r>
          </w:p>
        </w:tc>
        <w:tc>
          <w:tcPr>
            <w:tcW w:w="3543" w:type="dxa"/>
          </w:tcPr>
          <w:p w14:paraId="58ADB970"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3,5%</w:t>
            </w:r>
          </w:p>
        </w:tc>
      </w:tr>
      <w:tr w:rsidR="004E782E" w14:paraId="311367B1"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7617FE2" w14:textId="77777777" w:rsidR="004E782E" w:rsidRDefault="00000000">
            <w:pPr>
              <w:spacing w:line="276" w:lineRule="auto"/>
              <w:ind w:right="-560"/>
              <w:jc w:val="both"/>
              <w:rPr>
                <w:rFonts w:ascii="Open Sans" w:eastAsia="Open Sans" w:hAnsi="Open Sans" w:cs="Open Sans"/>
                <w:color w:val="262626"/>
              </w:rPr>
            </w:pPr>
            <w:r>
              <w:rPr>
                <w:b w:val="0"/>
                <w:bCs w:val="0"/>
              </w:rPr>
              <w:t>León</w:t>
            </w:r>
          </w:p>
        </w:tc>
        <w:tc>
          <w:tcPr>
            <w:tcW w:w="3543" w:type="dxa"/>
          </w:tcPr>
          <w:p w14:paraId="0273D733"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3,2%</w:t>
            </w:r>
          </w:p>
        </w:tc>
      </w:tr>
      <w:tr w:rsidR="004E782E" w14:paraId="64A96C4C"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07DB291" w14:textId="77777777" w:rsidR="004E782E" w:rsidRDefault="00000000">
            <w:pPr>
              <w:spacing w:line="276" w:lineRule="auto"/>
              <w:ind w:right="-560"/>
              <w:jc w:val="both"/>
              <w:rPr>
                <w:rFonts w:ascii="Open Sans" w:eastAsia="Open Sans" w:hAnsi="Open Sans" w:cs="Open Sans"/>
                <w:color w:val="262626"/>
              </w:rPr>
            </w:pPr>
            <w:r>
              <w:rPr>
                <w:b w:val="0"/>
                <w:bCs w:val="0"/>
              </w:rPr>
              <w:t>Alicante</w:t>
            </w:r>
          </w:p>
        </w:tc>
        <w:tc>
          <w:tcPr>
            <w:tcW w:w="3543" w:type="dxa"/>
          </w:tcPr>
          <w:p w14:paraId="0138372D"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3,2%</w:t>
            </w:r>
          </w:p>
        </w:tc>
      </w:tr>
      <w:tr w:rsidR="004E782E" w14:paraId="2B0BCE84"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2AC8D3B" w14:textId="77777777" w:rsidR="004E782E" w:rsidRDefault="00000000">
            <w:pPr>
              <w:spacing w:line="276" w:lineRule="auto"/>
              <w:ind w:right="-560"/>
              <w:jc w:val="both"/>
              <w:rPr>
                <w:rFonts w:ascii="Open Sans" w:eastAsia="Open Sans" w:hAnsi="Open Sans" w:cs="Open Sans"/>
                <w:color w:val="262626"/>
              </w:rPr>
            </w:pPr>
            <w:r>
              <w:rPr>
                <w:b w:val="0"/>
                <w:bCs w:val="0"/>
              </w:rPr>
              <w:lastRenderedPageBreak/>
              <w:t>Albacete</w:t>
            </w:r>
          </w:p>
        </w:tc>
        <w:tc>
          <w:tcPr>
            <w:tcW w:w="3543" w:type="dxa"/>
          </w:tcPr>
          <w:p w14:paraId="40B2EBC5"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2,5%</w:t>
            </w:r>
          </w:p>
        </w:tc>
      </w:tr>
      <w:tr w:rsidR="004E782E" w14:paraId="6EF88F39"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EFE71A5" w14:textId="77777777" w:rsidR="004E782E" w:rsidRDefault="00000000">
            <w:pPr>
              <w:spacing w:line="276" w:lineRule="auto"/>
              <w:ind w:right="-560"/>
              <w:jc w:val="both"/>
              <w:rPr>
                <w:rFonts w:ascii="Open Sans" w:eastAsia="Open Sans" w:hAnsi="Open Sans" w:cs="Open Sans"/>
                <w:color w:val="262626"/>
              </w:rPr>
            </w:pPr>
            <w:r>
              <w:rPr>
                <w:b w:val="0"/>
                <w:bCs w:val="0"/>
              </w:rPr>
              <w:t>Soria</w:t>
            </w:r>
          </w:p>
        </w:tc>
        <w:tc>
          <w:tcPr>
            <w:tcW w:w="3543" w:type="dxa"/>
          </w:tcPr>
          <w:p w14:paraId="025AC307"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2,4%</w:t>
            </w:r>
          </w:p>
        </w:tc>
      </w:tr>
      <w:tr w:rsidR="004E782E" w14:paraId="1897D9C8"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09B79F1" w14:textId="77777777" w:rsidR="004E782E" w:rsidRDefault="00000000">
            <w:pPr>
              <w:spacing w:line="276" w:lineRule="auto"/>
              <w:ind w:right="-560"/>
              <w:jc w:val="both"/>
              <w:rPr>
                <w:rFonts w:ascii="Open Sans" w:eastAsia="Open Sans" w:hAnsi="Open Sans" w:cs="Open Sans"/>
                <w:color w:val="262626"/>
              </w:rPr>
            </w:pPr>
            <w:r>
              <w:rPr>
                <w:b w:val="0"/>
                <w:bCs w:val="0"/>
              </w:rPr>
              <w:t>Madrid</w:t>
            </w:r>
          </w:p>
        </w:tc>
        <w:tc>
          <w:tcPr>
            <w:tcW w:w="3543" w:type="dxa"/>
          </w:tcPr>
          <w:p w14:paraId="77A1E33F"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2,3%</w:t>
            </w:r>
          </w:p>
        </w:tc>
      </w:tr>
      <w:tr w:rsidR="004E782E" w14:paraId="677BE552"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48A84BB" w14:textId="77777777" w:rsidR="004E782E" w:rsidRDefault="00000000">
            <w:pPr>
              <w:spacing w:line="276" w:lineRule="auto"/>
              <w:ind w:right="-560"/>
              <w:jc w:val="both"/>
              <w:rPr>
                <w:rFonts w:ascii="Open Sans" w:eastAsia="Open Sans" w:hAnsi="Open Sans" w:cs="Open Sans"/>
                <w:color w:val="262626"/>
              </w:rPr>
            </w:pPr>
            <w:r>
              <w:rPr>
                <w:b w:val="0"/>
                <w:bCs w:val="0"/>
              </w:rPr>
              <w:t>Palencia</w:t>
            </w:r>
          </w:p>
        </w:tc>
        <w:tc>
          <w:tcPr>
            <w:tcW w:w="3543" w:type="dxa"/>
          </w:tcPr>
          <w:p w14:paraId="2112C0D1"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1,9%</w:t>
            </w:r>
          </w:p>
        </w:tc>
      </w:tr>
      <w:tr w:rsidR="004E782E" w14:paraId="12B304FE"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7195B00" w14:textId="77777777" w:rsidR="004E782E" w:rsidRDefault="00000000">
            <w:pPr>
              <w:spacing w:line="276" w:lineRule="auto"/>
              <w:ind w:right="-560"/>
              <w:jc w:val="both"/>
              <w:rPr>
                <w:rFonts w:ascii="Open Sans" w:eastAsia="Open Sans" w:hAnsi="Open Sans" w:cs="Open Sans"/>
                <w:color w:val="262626"/>
              </w:rPr>
            </w:pPr>
            <w:r>
              <w:rPr>
                <w:b w:val="0"/>
                <w:bCs w:val="0"/>
              </w:rPr>
              <w:t xml:space="preserve">Bilbao </w:t>
            </w:r>
          </w:p>
        </w:tc>
        <w:tc>
          <w:tcPr>
            <w:tcW w:w="3543" w:type="dxa"/>
          </w:tcPr>
          <w:p w14:paraId="42C4CB2B"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1,9%</w:t>
            </w:r>
          </w:p>
        </w:tc>
      </w:tr>
      <w:tr w:rsidR="004E782E" w14:paraId="4A57C11A"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8D34BFA" w14:textId="77777777" w:rsidR="004E782E" w:rsidRDefault="00000000">
            <w:pPr>
              <w:spacing w:line="276" w:lineRule="auto"/>
              <w:ind w:right="-560"/>
              <w:jc w:val="both"/>
              <w:rPr>
                <w:rFonts w:ascii="Open Sans" w:eastAsia="Open Sans" w:hAnsi="Open Sans" w:cs="Open Sans"/>
                <w:color w:val="262626"/>
              </w:rPr>
            </w:pPr>
            <w:r>
              <w:rPr>
                <w:b w:val="0"/>
                <w:bCs w:val="0"/>
              </w:rPr>
              <w:t xml:space="preserve">Badajoz </w:t>
            </w:r>
          </w:p>
        </w:tc>
        <w:tc>
          <w:tcPr>
            <w:tcW w:w="3543" w:type="dxa"/>
          </w:tcPr>
          <w:p w14:paraId="5D16AF81"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1,9%</w:t>
            </w:r>
          </w:p>
        </w:tc>
      </w:tr>
      <w:tr w:rsidR="004E782E" w14:paraId="5632227E"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397E919" w14:textId="77777777" w:rsidR="004E782E" w:rsidRDefault="00000000">
            <w:pPr>
              <w:spacing w:line="276" w:lineRule="auto"/>
              <w:ind w:right="-560"/>
              <w:jc w:val="both"/>
              <w:rPr>
                <w:rFonts w:ascii="Open Sans" w:eastAsia="Open Sans" w:hAnsi="Open Sans" w:cs="Open Sans"/>
                <w:color w:val="262626"/>
              </w:rPr>
            </w:pPr>
            <w:r>
              <w:rPr>
                <w:b w:val="0"/>
                <w:bCs w:val="0"/>
              </w:rPr>
              <w:t xml:space="preserve">Logroño </w:t>
            </w:r>
          </w:p>
        </w:tc>
        <w:tc>
          <w:tcPr>
            <w:tcW w:w="3543" w:type="dxa"/>
          </w:tcPr>
          <w:p w14:paraId="15D63814"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1,7%</w:t>
            </w:r>
          </w:p>
        </w:tc>
      </w:tr>
      <w:tr w:rsidR="004E782E" w14:paraId="75A53196"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5C6223B3" w14:textId="77777777" w:rsidR="004E782E" w:rsidRDefault="00000000">
            <w:pPr>
              <w:spacing w:line="276" w:lineRule="auto"/>
              <w:ind w:right="-560"/>
              <w:jc w:val="both"/>
              <w:rPr>
                <w:rFonts w:ascii="Open Sans" w:eastAsia="Open Sans" w:hAnsi="Open Sans" w:cs="Open Sans"/>
                <w:color w:val="262626"/>
              </w:rPr>
            </w:pPr>
            <w:r>
              <w:rPr>
                <w:b w:val="0"/>
                <w:bCs w:val="0"/>
              </w:rPr>
              <w:t>Barcelona</w:t>
            </w:r>
          </w:p>
        </w:tc>
        <w:tc>
          <w:tcPr>
            <w:tcW w:w="3543" w:type="dxa"/>
          </w:tcPr>
          <w:p w14:paraId="3C006165"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1,7%</w:t>
            </w:r>
          </w:p>
        </w:tc>
      </w:tr>
      <w:tr w:rsidR="004E782E" w14:paraId="24D865C4"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D6C35C9" w14:textId="77777777" w:rsidR="004E782E" w:rsidRDefault="00000000">
            <w:pPr>
              <w:spacing w:line="276" w:lineRule="auto"/>
              <w:ind w:right="-560"/>
              <w:jc w:val="both"/>
              <w:rPr>
                <w:rFonts w:ascii="Open Sans" w:eastAsia="Open Sans" w:hAnsi="Open Sans" w:cs="Open Sans"/>
                <w:color w:val="262626"/>
              </w:rPr>
            </w:pPr>
            <w:r>
              <w:rPr>
                <w:b w:val="0"/>
                <w:bCs w:val="0"/>
              </w:rPr>
              <w:t xml:space="preserve">Córdoba </w:t>
            </w:r>
          </w:p>
        </w:tc>
        <w:tc>
          <w:tcPr>
            <w:tcW w:w="3543" w:type="dxa"/>
          </w:tcPr>
          <w:p w14:paraId="1B58483F"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1,6%</w:t>
            </w:r>
          </w:p>
        </w:tc>
      </w:tr>
      <w:tr w:rsidR="004E782E" w14:paraId="34C49628"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CC4D19E" w14:textId="77777777" w:rsidR="004E782E" w:rsidRDefault="00000000">
            <w:pPr>
              <w:spacing w:line="276" w:lineRule="auto"/>
              <w:ind w:right="-560"/>
              <w:jc w:val="both"/>
              <w:rPr>
                <w:rFonts w:ascii="Open Sans" w:eastAsia="Open Sans" w:hAnsi="Open Sans" w:cs="Open Sans"/>
                <w:color w:val="262626"/>
              </w:rPr>
            </w:pPr>
            <w:r>
              <w:rPr>
                <w:b w:val="0"/>
                <w:bCs w:val="0"/>
              </w:rPr>
              <w:t xml:space="preserve">Cáceres </w:t>
            </w:r>
          </w:p>
        </w:tc>
        <w:tc>
          <w:tcPr>
            <w:tcW w:w="3543" w:type="dxa"/>
          </w:tcPr>
          <w:p w14:paraId="45AA63D4"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1,6%</w:t>
            </w:r>
          </w:p>
        </w:tc>
      </w:tr>
      <w:tr w:rsidR="004E782E" w14:paraId="47C981C3"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74C143B6" w14:textId="77777777" w:rsidR="004E782E" w:rsidRDefault="00000000">
            <w:pPr>
              <w:spacing w:line="276" w:lineRule="auto"/>
              <w:ind w:right="-560"/>
              <w:jc w:val="both"/>
              <w:rPr>
                <w:rFonts w:ascii="Open Sans" w:eastAsia="Open Sans" w:hAnsi="Open Sans" w:cs="Open Sans"/>
                <w:color w:val="262626"/>
              </w:rPr>
            </w:pPr>
            <w:r>
              <w:rPr>
                <w:b w:val="0"/>
                <w:bCs w:val="0"/>
              </w:rPr>
              <w:t xml:space="preserve">Sevilla </w:t>
            </w:r>
          </w:p>
        </w:tc>
        <w:tc>
          <w:tcPr>
            <w:tcW w:w="3543" w:type="dxa"/>
          </w:tcPr>
          <w:p w14:paraId="354F8C63"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1,5%</w:t>
            </w:r>
          </w:p>
        </w:tc>
      </w:tr>
      <w:tr w:rsidR="004E782E" w14:paraId="5B2DEB74"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88400D7" w14:textId="77777777" w:rsidR="004E782E" w:rsidRDefault="00000000">
            <w:pPr>
              <w:spacing w:line="276" w:lineRule="auto"/>
              <w:ind w:right="-560"/>
              <w:jc w:val="both"/>
              <w:rPr>
                <w:rFonts w:ascii="Open Sans" w:eastAsia="Open Sans" w:hAnsi="Open Sans" w:cs="Open Sans"/>
                <w:color w:val="262626"/>
              </w:rPr>
            </w:pPr>
            <w:r>
              <w:rPr>
                <w:b w:val="0"/>
                <w:bCs w:val="0"/>
              </w:rPr>
              <w:t xml:space="preserve">Ciudad Real </w:t>
            </w:r>
          </w:p>
        </w:tc>
        <w:tc>
          <w:tcPr>
            <w:tcW w:w="3543" w:type="dxa"/>
          </w:tcPr>
          <w:p w14:paraId="1B20FA45"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1,5%</w:t>
            </w:r>
          </w:p>
        </w:tc>
      </w:tr>
      <w:tr w:rsidR="004E782E" w14:paraId="4D427AAA"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BAE9870" w14:textId="77777777" w:rsidR="004E782E" w:rsidRDefault="00000000">
            <w:pPr>
              <w:spacing w:line="276" w:lineRule="auto"/>
              <w:ind w:right="-560"/>
              <w:jc w:val="both"/>
              <w:rPr>
                <w:rFonts w:ascii="Open Sans" w:eastAsia="Open Sans" w:hAnsi="Open Sans" w:cs="Open Sans"/>
                <w:color w:val="262626"/>
              </w:rPr>
            </w:pPr>
            <w:r>
              <w:rPr>
                <w:b w:val="0"/>
                <w:bCs w:val="0"/>
              </w:rPr>
              <w:t xml:space="preserve">Burgos </w:t>
            </w:r>
          </w:p>
        </w:tc>
        <w:tc>
          <w:tcPr>
            <w:tcW w:w="3543" w:type="dxa"/>
          </w:tcPr>
          <w:p w14:paraId="441AA541"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1,5%</w:t>
            </w:r>
          </w:p>
        </w:tc>
      </w:tr>
      <w:tr w:rsidR="004E782E" w14:paraId="5BD6E08E"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A68B39D" w14:textId="77777777" w:rsidR="004E782E" w:rsidRDefault="00000000">
            <w:pPr>
              <w:spacing w:line="276" w:lineRule="auto"/>
              <w:ind w:right="-560"/>
              <w:jc w:val="both"/>
              <w:rPr>
                <w:rFonts w:ascii="Open Sans" w:eastAsia="Open Sans" w:hAnsi="Open Sans" w:cs="Open Sans"/>
                <w:color w:val="262626"/>
              </w:rPr>
            </w:pPr>
            <w:r>
              <w:rPr>
                <w:b w:val="0"/>
                <w:bCs w:val="0"/>
              </w:rPr>
              <w:t>Salamanca</w:t>
            </w:r>
          </w:p>
        </w:tc>
        <w:tc>
          <w:tcPr>
            <w:tcW w:w="3543" w:type="dxa"/>
          </w:tcPr>
          <w:p w14:paraId="6DBF3811"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1,4%</w:t>
            </w:r>
          </w:p>
        </w:tc>
      </w:tr>
      <w:tr w:rsidR="004E782E" w14:paraId="238A7F28"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D719581" w14:textId="77777777" w:rsidR="004E782E" w:rsidRDefault="00000000">
            <w:pPr>
              <w:spacing w:line="276" w:lineRule="auto"/>
              <w:ind w:right="-560"/>
              <w:jc w:val="both"/>
              <w:rPr>
                <w:rFonts w:ascii="Open Sans" w:eastAsia="Open Sans" w:hAnsi="Open Sans" w:cs="Open Sans"/>
                <w:color w:val="262626"/>
              </w:rPr>
            </w:pPr>
            <w:r>
              <w:rPr>
                <w:b w:val="0"/>
                <w:bCs w:val="0"/>
              </w:rPr>
              <w:t>Castellón</w:t>
            </w:r>
          </w:p>
        </w:tc>
        <w:tc>
          <w:tcPr>
            <w:tcW w:w="3543" w:type="dxa"/>
          </w:tcPr>
          <w:p w14:paraId="6981619C"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1,3%</w:t>
            </w:r>
          </w:p>
        </w:tc>
      </w:tr>
      <w:tr w:rsidR="004E782E" w14:paraId="2AA0DDD8"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33CE113" w14:textId="77777777" w:rsidR="004E782E" w:rsidRDefault="00000000">
            <w:pPr>
              <w:spacing w:line="276" w:lineRule="auto"/>
              <w:ind w:right="-560"/>
              <w:jc w:val="both"/>
              <w:rPr>
                <w:rFonts w:ascii="Open Sans" w:eastAsia="Open Sans" w:hAnsi="Open Sans" w:cs="Open Sans"/>
                <w:color w:val="262626"/>
              </w:rPr>
            </w:pPr>
            <w:r>
              <w:rPr>
                <w:b w:val="0"/>
                <w:bCs w:val="0"/>
              </w:rPr>
              <w:t xml:space="preserve">Valladolid </w:t>
            </w:r>
          </w:p>
        </w:tc>
        <w:tc>
          <w:tcPr>
            <w:tcW w:w="3543" w:type="dxa"/>
          </w:tcPr>
          <w:p w14:paraId="21934A94"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1,3%</w:t>
            </w:r>
          </w:p>
        </w:tc>
      </w:tr>
      <w:tr w:rsidR="004E782E" w14:paraId="2AC6B3CB"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786B6548" w14:textId="77777777" w:rsidR="004E782E" w:rsidRDefault="00000000">
            <w:pPr>
              <w:spacing w:line="276" w:lineRule="auto"/>
              <w:ind w:right="-560"/>
              <w:jc w:val="both"/>
              <w:rPr>
                <w:rFonts w:ascii="Open Sans" w:eastAsia="Open Sans" w:hAnsi="Open Sans" w:cs="Open Sans"/>
                <w:color w:val="262626"/>
              </w:rPr>
            </w:pPr>
            <w:r>
              <w:rPr>
                <w:b w:val="0"/>
                <w:bCs w:val="0"/>
              </w:rPr>
              <w:t>Tarragona</w:t>
            </w:r>
          </w:p>
        </w:tc>
        <w:tc>
          <w:tcPr>
            <w:tcW w:w="3543" w:type="dxa"/>
          </w:tcPr>
          <w:p w14:paraId="4B1975BD"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1,3%</w:t>
            </w:r>
          </w:p>
        </w:tc>
      </w:tr>
      <w:tr w:rsidR="004E782E" w14:paraId="7924F021"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23EC4E4F" w14:textId="77777777" w:rsidR="004E782E" w:rsidRDefault="00000000">
            <w:pPr>
              <w:spacing w:line="276" w:lineRule="auto"/>
              <w:ind w:right="-560"/>
              <w:jc w:val="both"/>
              <w:rPr>
                <w:rFonts w:ascii="Open Sans" w:eastAsia="Open Sans" w:hAnsi="Open Sans" w:cs="Open Sans"/>
                <w:color w:val="262626"/>
              </w:rPr>
            </w:pPr>
            <w:r>
              <w:rPr>
                <w:b w:val="0"/>
                <w:bCs w:val="0"/>
              </w:rPr>
              <w:t xml:space="preserve">Oviedo </w:t>
            </w:r>
          </w:p>
        </w:tc>
        <w:tc>
          <w:tcPr>
            <w:tcW w:w="3543" w:type="dxa"/>
          </w:tcPr>
          <w:p w14:paraId="3B850531"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0,9%</w:t>
            </w:r>
          </w:p>
        </w:tc>
      </w:tr>
      <w:tr w:rsidR="004E782E" w14:paraId="4C83E697"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91D1F32" w14:textId="77777777" w:rsidR="004E782E" w:rsidRDefault="00000000">
            <w:pPr>
              <w:spacing w:line="276" w:lineRule="auto"/>
              <w:ind w:right="-560"/>
              <w:jc w:val="both"/>
              <w:rPr>
                <w:rFonts w:ascii="Open Sans" w:eastAsia="Open Sans" w:hAnsi="Open Sans" w:cs="Open Sans"/>
                <w:color w:val="262626"/>
              </w:rPr>
            </w:pPr>
            <w:r>
              <w:rPr>
                <w:b w:val="0"/>
                <w:bCs w:val="0"/>
              </w:rPr>
              <w:t xml:space="preserve">Toledo </w:t>
            </w:r>
          </w:p>
        </w:tc>
        <w:tc>
          <w:tcPr>
            <w:tcW w:w="3543" w:type="dxa"/>
          </w:tcPr>
          <w:p w14:paraId="0D4288B9"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0,9%</w:t>
            </w:r>
          </w:p>
        </w:tc>
      </w:tr>
      <w:tr w:rsidR="004E782E" w14:paraId="6764FB7A"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B321055" w14:textId="77777777" w:rsidR="004E782E" w:rsidRDefault="00000000">
            <w:pPr>
              <w:spacing w:line="276" w:lineRule="auto"/>
              <w:ind w:right="-560"/>
              <w:jc w:val="both"/>
              <w:rPr>
                <w:rFonts w:ascii="Open Sans" w:eastAsia="Open Sans" w:hAnsi="Open Sans" w:cs="Open Sans"/>
                <w:color w:val="262626"/>
              </w:rPr>
            </w:pPr>
            <w:r>
              <w:rPr>
                <w:b w:val="0"/>
                <w:bCs w:val="0"/>
              </w:rPr>
              <w:t xml:space="preserve">Cuenca </w:t>
            </w:r>
          </w:p>
        </w:tc>
        <w:tc>
          <w:tcPr>
            <w:tcW w:w="3543" w:type="dxa"/>
          </w:tcPr>
          <w:p w14:paraId="4AA99925"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0,8%</w:t>
            </w:r>
          </w:p>
        </w:tc>
      </w:tr>
      <w:tr w:rsidR="004E782E" w14:paraId="1CCB6241"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28106BC3" w14:textId="77777777" w:rsidR="004E782E" w:rsidRDefault="00000000">
            <w:pPr>
              <w:spacing w:line="276" w:lineRule="auto"/>
              <w:ind w:right="-560"/>
              <w:jc w:val="both"/>
              <w:rPr>
                <w:rFonts w:ascii="Open Sans" w:eastAsia="Open Sans" w:hAnsi="Open Sans" w:cs="Open Sans"/>
                <w:color w:val="262626"/>
              </w:rPr>
            </w:pPr>
            <w:r>
              <w:rPr>
                <w:b w:val="0"/>
                <w:bCs w:val="0"/>
              </w:rPr>
              <w:t xml:space="preserve">Huelva </w:t>
            </w:r>
          </w:p>
        </w:tc>
        <w:tc>
          <w:tcPr>
            <w:tcW w:w="3543" w:type="dxa"/>
          </w:tcPr>
          <w:p w14:paraId="1902D5A9"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0,8%</w:t>
            </w:r>
          </w:p>
        </w:tc>
      </w:tr>
      <w:tr w:rsidR="004E782E" w14:paraId="68BDFBBF"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41851162" w14:textId="77777777" w:rsidR="004E782E" w:rsidRDefault="00000000">
            <w:pPr>
              <w:spacing w:line="276" w:lineRule="auto"/>
              <w:ind w:right="-560"/>
              <w:jc w:val="both"/>
              <w:rPr>
                <w:rFonts w:ascii="Open Sans" w:eastAsia="Open Sans" w:hAnsi="Open Sans" w:cs="Open Sans"/>
                <w:color w:val="262626"/>
              </w:rPr>
            </w:pPr>
            <w:r>
              <w:rPr>
                <w:b w:val="0"/>
                <w:bCs w:val="0"/>
              </w:rPr>
              <w:t xml:space="preserve">Zaragoza </w:t>
            </w:r>
          </w:p>
        </w:tc>
        <w:tc>
          <w:tcPr>
            <w:tcW w:w="3543" w:type="dxa"/>
          </w:tcPr>
          <w:p w14:paraId="28F8B82A"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0,7%</w:t>
            </w:r>
          </w:p>
        </w:tc>
      </w:tr>
      <w:tr w:rsidR="004E782E" w14:paraId="5BDC1170"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B6FBC15" w14:textId="77777777" w:rsidR="004E782E" w:rsidRDefault="00000000">
            <w:pPr>
              <w:spacing w:line="276" w:lineRule="auto"/>
              <w:ind w:right="-560"/>
              <w:jc w:val="both"/>
              <w:rPr>
                <w:rFonts w:ascii="Open Sans" w:eastAsia="Open Sans" w:hAnsi="Open Sans" w:cs="Open Sans"/>
                <w:color w:val="262626"/>
              </w:rPr>
            </w:pPr>
            <w:r>
              <w:rPr>
                <w:b w:val="0"/>
                <w:bCs w:val="0"/>
              </w:rPr>
              <w:t xml:space="preserve">Lleida </w:t>
            </w:r>
          </w:p>
        </w:tc>
        <w:tc>
          <w:tcPr>
            <w:tcW w:w="3543" w:type="dxa"/>
          </w:tcPr>
          <w:p w14:paraId="688F4878"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0,6%</w:t>
            </w:r>
          </w:p>
        </w:tc>
      </w:tr>
      <w:tr w:rsidR="004E782E" w14:paraId="068C8CE9"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2495DA78" w14:textId="77777777" w:rsidR="004E782E" w:rsidRDefault="00000000">
            <w:pPr>
              <w:spacing w:line="276" w:lineRule="auto"/>
              <w:ind w:right="-560"/>
              <w:jc w:val="both"/>
              <w:rPr>
                <w:rFonts w:ascii="Open Sans" w:eastAsia="Open Sans" w:hAnsi="Open Sans" w:cs="Open Sans"/>
                <w:color w:val="262626"/>
              </w:rPr>
            </w:pPr>
            <w:r>
              <w:rPr>
                <w:b w:val="0"/>
                <w:bCs w:val="0"/>
              </w:rPr>
              <w:t xml:space="preserve">Vitoria </w:t>
            </w:r>
          </w:p>
        </w:tc>
        <w:tc>
          <w:tcPr>
            <w:tcW w:w="3543" w:type="dxa"/>
          </w:tcPr>
          <w:p w14:paraId="23EAECD6"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t>0,6%</w:t>
            </w:r>
          </w:p>
        </w:tc>
      </w:tr>
      <w:tr w:rsidR="004E782E" w14:paraId="5F886153"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59067ED7" w14:textId="77777777" w:rsidR="004E782E" w:rsidRDefault="00000000">
            <w:pPr>
              <w:spacing w:line="276" w:lineRule="auto"/>
              <w:ind w:right="-560"/>
              <w:jc w:val="both"/>
              <w:rPr>
                <w:rFonts w:ascii="Open Sans" w:eastAsia="Open Sans" w:hAnsi="Open Sans" w:cs="Open Sans"/>
                <w:color w:val="262626"/>
              </w:rPr>
            </w:pPr>
            <w:r>
              <w:rPr>
                <w:b w:val="0"/>
                <w:bCs w:val="0"/>
              </w:rPr>
              <w:t xml:space="preserve">Cádiz </w:t>
            </w:r>
          </w:p>
        </w:tc>
        <w:tc>
          <w:tcPr>
            <w:tcW w:w="3543" w:type="dxa"/>
          </w:tcPr>
          <w:p w14:paraId="693CE0C9"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t>0,5%</w:t>
            </w:r>
          </w:p>
        </w:tc>
      </w:tr>
      <w:tr w:rsidR="004E782E" w14:paraId="3B463ECF"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E0A92FC" w14:textId="77777777" w:rsidR="004E782E" w:rsidRDefault="00000000">
            <w:pPr>
              <w:spacing w:line="276" w:lineRule="auto"/>
              <w:ind w:right="-560"/>
              <w:jc w:val="both"/>
              <w:rPr>
                <w:rFonts w:ascii="Open Sans" w:eastAsia="Open Sans" w:hAnsi="Open Sans" w:cs="Open Sans"/>
                <w:color w:val="262626"/>
              </w:rPr>
            </w:pPr>
            <w:r>
              <w:rPr>
                <w:b w:val="0"/>
                <w:bCs w:val="0"/>
              </w:rPr>
              <w:t xml:space="preserve">Vigo </w:t>
            </w:r>
          </w:p>
        </w:tc>
        <w:tc>
          <w:tcPr>
            <w:tcW w:w="3543" w:type="dxa"/>
          </w:tcPr>
          <w:p w14:paraId="46B57B41"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t>0,5%</w:t>
            </w:r>
          </w:p>
        </w:tc>
      </w:tr>
      <w:tr w:rsidR="004E782E" w14:paraId="16CB4730"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0E46F02" w14:textId="77777777" w:rsidR="004E782E" w:rsidRDefault="00000000">
            <w:pPr>
              <w:spacing w:line="276" w:lineRule="auto"/>
              <w:ind w:right="-560"/>
              <w:jc w:val="both"/>
              <w:rPr>
                <w:rFonts w:ascii="Open Sans" w:eastAsia="Open Sans" w:hAnsi="Open Sans" w:cs="Open Sans"/>
                <w:color w:val="262626"/>
              </w:rPr>
            </w:pPr>
            <w:r>
              <w:rPr>
                <w:b w:val="0"/>
                <w:bCs w:val="0"/>
              </w:rPr>
              <w:t xml:space="preserve">Murcia </w:t>
            </w:r>
          </w:p>
        </w:tc>
        <w:tc>
          <w:tcPr>
            <w:tcW w:w="3543" w:type="dxa"/>
          </w:tcPr>
          <w:p w14:paraId="2683511B"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t>0,5%</w:t>
            </w:r>
          </w:p>
        </w:tc>
      </w:tr>
      <w:tr w:rsidR="004E782E" w14:paraId="0EED99D3"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F76AFC4" w14:textId="77777777" w:rsidR="004E782E" w:rsidRDefault="00000000">
            <w:pPr>
              <w:spacing w:line="276" w:lineRule="auto"/>
              <w:ind w:right="-560"/>
              <w:jc w:val="both"/>
              <w:rPr>
                <w:rFonts w:ascii="Open Sans" w:eastAsia="Open Sans" w:hAnsi="Open Sans" w:cs="Open Sans"/>
                <w:color w:val="262626"/>
              </w:rPr>
            </w:pPr>
            <w:r>
              <w:rPr>
                <w:b w:val="0"/>
                <w:bCs w:val="0"/>
              </w:rPr>
              <w:t xml:space="preserve">Zamora </w:t>
            </w:r>
          </w:p>
        </w:tc>
        <w:tc>
          <w:tcPr>
            <w:tcW w:w="3543" w:type="dxa"/>
          </w:tcPr>
          <w:p w14:paraId="5741B5F0"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t>0,3%</w:t>
            </w:r>
          </w:p>
        </w:tc>
      </w:tr>
      <w:tr w:rsidR="004E782E" w14:paraId="41AC22D3"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C32DAC4" w14:textId="77777777" w:rsidR="004E782E" w:rsidRDefault="00000000">
            <w:pPr>
              <w:spacing w:line="276" w:lineRule="auto"/>
              <w:ind w:right="-560"/>
              <w:jc w:val="both"/>
              <w:rPr>
                <w:rFonts w:ascii="Open Sans" w:eastAsia="Open Sans" w:hAnsi="Open Sans" w:cs="Open Sans"/>
                <w:color w:val="262626"/>
              </w:rPr>
            </w:pPr>
            <w:r>
              <w:rPr>
                <w:b w:val="0"/>
                <w:bCs w:val="0"/>
              </w:rPr>
              <w:t xml:space="preserve">Granada </w:t>
            </w:r>
          </w:p>
        </w:tc>
        <w:tc>
          <w:tcPr>
            <w:tcW w:w="3543" w:type="dxa"/>
          </w:tcPr>
          <w:p w14:paraId="55FF63FF"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t>0,3%</w:t>
            </w:r>
          </w:p>
        </w:tc>
      </w:tr>
      <w:tr w:rsidR="004E782E" w14:paraId="19BD0AFF"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03C0D5CB" w14:textId="77777777" w:rsidR="004E782E" w:rsidRDefault="00000000">
            <w:pPr>
              <w:spacing w:line="276" w:lineRule="auto"/>
              <w:ind w:right="-560"/>
              <w:jc w:val="both"/>
              <w:rPr>
                <w:rFonts w:ascii="Open Sans" w:eastAsia="Open Sans" w:hAnsi="Open Sans" w:cs="Open Sans"/>
                <w:color w:val="262626"/>
              </w:rPr>
            </w:pPr>
            <w:r>
              <w:rPr>
                <w:b w:val="0"/>
                <w:bCs w:val="0"/>
              </w:rPr>
              <w:t xml:space="preserve">Lugo </w:t>
            </w:r>
          </w:p>
        </w:tc>
        <w:tc>
          <w:tcPr>
            <w:tcW w:w="3543" w:type="dxa"/>
          </w:tcPr>
          <w:p w14:paraId="17D677C2"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t>0,2%</w:t>
            </w:r>
          </w:p>
        </w:tc>
      </w:tr>
      <w:tr w:rsidR="004E782E" w14:paraId="72AADB89"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45B90FD" w14:textId="77777777" w:rsidR="004E782E" w:rsidRDefault="00000000">
            <w:pPr>
              <w:spacing w:line="276" w:lineRule="auto"/>
              <w:ind w:right="-560"/>
              <w:jc w:val="both"/>
              <w:rPr>
                <w:rFonts w:ascii="Open Sans" w:eastAsia="Open Sans" w:hAnsi="Open Sans" w:cs="Open Sans"/>
                <w:color w:val="262626"/>
              </w:rPr>
            </w:pPr>
            <w:r>
              <w:rPr>
                <w:b w:val="0"/>
                <w:bCs w:val="0"/>
              </w:rPr>
              <w:t xml:space="preserve">Pontevedra </w:t>
            </w:r>
          </w:p>
        </w:tc>
        <w:tc>
          <w:tcPr>
            <w:tcW w:w="3543" w:type="dxa"/>
          </w:tcPr>
          <w:p w14:paraId="47D5DDCD"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t>0,1%</w:t>
            </w:r>
          </w:p>
        </w:tc>
      </w:tr>
      <w:tr w:rsidR="004E782E" w14:paraId="1BB1D4A5"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FB4FD59" w14:textId="77777777" w:rsidR="004E782E" w:rsidRDefault="00000000">
            <w:pPr>
              <w:spacing w:line="276" w:lineRule="auto"/>
              <w:ind w:right="-560"/>
              <w:jc w:val="both"/>
              <w:rPr>
                <w:rFonts w:ascii="Open Sans" w:eastAsia="Open Sans" w:hAnsi="Open Sans" w:cs="Open Sans"/>
                <w:color w:val="262626"/>
              </w:rPr>
            </w:pPr>
            <w:r>
              <w:rPr>
                <w:b w:val="0"/>
                <w:bCs w:val="0"/>
              </w:rPr>
              <w:t xml:space="preserve">Pamplona </w:t>
            </w:r>
          </w:p>
        </w:tc>
        <w:tc>
          <w:tcPr>
            <w:tcW w:w="3543" w:type="dxa"/>
          </w:tcPr>
          <w:p w14:paraId="7D680C6E"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t>0,1%</w:t>
            </w:r>
          </w:p>
        </w:tc>
      </w:tr>
      <w:tr w:rsidR="004E782E" w14:paraId="59228AE4"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10377B03" w14:textId="77777777" w:rsidR="004E782E" w:rsidRDefault="00000000">
            <w:pPr>
              <w:spacing w:line="276" w:lineRule="auto"/>
              <w:ind w:right="-560"/>
              <w:jc w:val="both"/>
              <w:rPr>
                <w:rFonts w:ascii="Open Sans" w:eastAsia="Open Sans" w:hAnsi="Open Sans" w:cs="Open Sans"/>
                <w:color w:val="262626"/>
              </w:rPr>
            </w:pPr>
            <w:r>
              <w:rPr>
                <w:b w:val="0"/>
                <w:bCs w:val="0"/>
              </w:rPr>
              <w:t xml:space="preserve">Valencia </w:t>
            </w:r>
          </w:p>
        </w:tc>
        <w:tc>
          <w:tcPr>
            <w:tcW w:w="3543" w:type="dxa"/>
          </w:tcPr>
          <w:p w14:paraId="3B76D6FD"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t>0,0%</w:t>
            </w:r>
          </w:p>
        </w:tc>
      </w:tr>
      <w:tr w:rsidR="004E782E" w14:paraId="0CD5FD17"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D3724A6" w14:textId="77777777" w:rsidR="004E782E" w:rsidRDefault="00000000">
            <w:pPr>
              <w:spacing w:line="276" w:lineRule="auto"/>
              <w:ind w:right="-560"/>
              <w:jc w:val="both"/>
              <w:rPr>
                <w:rFonts w:ascii="Open Sans" w:eastAsia="Open Sans" w:hAnsi="Open Sans" w:cs="Open Sans"/>
                <w:color w:val="262626"/>
              </w:rPr>
            </w:pPr>
            <w:r>
              <w:rPr>
                <w:b w:val="0"/>
                <w:bCs w:val="0"/>
              </w:rPr>
              <w:t xml:space="preserve">Málaga </w:t>
            </w:r>
          </w:p>
        </w:tc>
        <w:tc>
          <w:tcPr>
            <w:tcW w:w="3543" w:type="dxa"/>
          </w:tcPr>
          <w:p w14:paraId="6785A348"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-0,5%</w:t>
            </w:r>
          </w:p>
        </w:tc>
      </w:tr>
      <w:tr w:rsidR="004E782E" w14:paraId="7A4146D6"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85B1F78" w14:textId="77777777" w:rsidR="004E782E" w:rsidRDefault="00000000">
            <w:pPr>
              <w:spacing w:line="276" w:lineRule="auto"/>
              <w:ind w:right="-560"/>
              <w:jc w:val="both"/>
              <w:rPr>
                <w:rFonts w:ascii="Open Sans" w:eastAsia="Open Sans" w:hAnsi="Open Sans" w:cs="Open Sans"/>
                <w:color w:val="262626"/>
              </w:rPr>
            </w:pPr>
            <w:r>
              <w:rPr>
                <w:b w:val="0"/>
                <w:bCs w:val="0"/>
              </w:rPr>
              <w:t xml:space="preserve">Segovia </w:t>
            </w:r>
          </w:p>
        </w:tc>
        <w:tc>
          <w:tcPr>
            <w:tcW w:w="3543" w:type="dxa"/>
          </w:tcPr>
          <w:p w14:paraId="2AD2F658"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-0,5%</w:t>
            </w:r>
          </w:p>
        </w:tc>
      </w:tr>
      <w:tr w:rsidR="004E782E" w14:paraId="6B06E12A"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35477AC7" w14:textId="77777777" w:rsidR="004E782E" w:rsidRDefault="00000000">
            <w:pPr>
              <w:spacing w:line="276" w:lineRule="auto"/>
              <w:ind w:right="-560"/>
              <w:jc w:val="both"/>
              <w:rPr>
                <w:rFonts w:ascii="Open Sans" w:eastAsia="Open Sans" w:hAnsi="Open Sans" w:cs="Open Sans"/>
                <w:color w:val="262626"/>
              </w:rPr>
            </w:pPr>
            <w:r>
              <w:rPr>
                <w:b w:val="0"/>
                <w:bCs w:val="0"/>
              </w:rPr>
              <w:t xml:space="preserve">Santa Cruz de T. </w:t>
            </w:r>
          </w:p>
        </w:tc>
        <w:tc>
          <w:tcPr>
            <w:tcW w:w="3543" w:type="dxa"/>
          </w:tcPr>
          <w:p w14:paraId="123DE1AA"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-0,5%</w:t>
            </w:r>
          </w:p>
        </w:tc>
      </w:tr>
      <w:tr w:rsidR="004E782E" w14:paraId="24B3A61D"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01F9011F" w14:textId="77777777" w:rsidR="004E782E" w:rsidRDefault="00000000">
            <w:pPr>
              <w:spacing w:line="276" w:lineRule="auto"/>
              <w:ind w:right="-560"/>
              <w:jc w:val="both"/>
              <w:rPr>
                <w:rFonts w:ascii="Open Sans" w:eastAsia="Open Sans" w:hAnsi="Open Sans" w:cs="Open Sans"/>
                <w:color w:val="262626"/>
              </w:rPr>
            </w:pPr>
            <w:r>
              <w:rPr>
                <w:b w:val="0"/>
                <w:bCs w:val="0"/>
              </w:rPr>
              <w:t xml:space="preserve">San Sebastián </w:t>
            </w:r>
          </w:p>
        </w:tc>
        <w:tc>
          <w:tcPr>
            <w:tcW w:w="3543" w:type="dxa"/>
          </w:tcPr>
          <w:p w14:paraId="48ACB54A"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-0,6%</w:t>
            </w:r>
          </w:p>
        </w:tc>
      </w:tr>
      <w:tr w:rsidR="004E782E" w14:paraId="573FA938"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1AF862EE" w14:textId="77777777" w:rsidR="004E782E" w:rsidRDefault="00000000">
            <w:pPr>
              <w:spacing w:line="276" w:lineRule="auto"/>
              <w:ind w:right="-560"/>
              <w:jc w:val="both"/>
              <w:rPr>
                <w:rFonts w:ascii="Open Sans" w:eastAsia="Open Sans" w:hAnsi="Open Sans" w:cs="Open Sans"/>
                <w:color w:val="262626"/>
              </w:rPr>
            </w:pPr>
            <w:r>
              <w:rPr>
                <w:b w:val="0"/>
                <w:bCs w:val="0"/>
              </w:rPr>
              <w:lastRenderedPageBreak/>
              <w:t xml:space="preserve">Palma </w:t>
            </w:r>
          </w:p>
        </w:tc>
        <w:tc>
          <w:tcPr>
            <w:tcW w:w="3543" w:type="dxa"/>
          </w:tcPr>
          <w:p w14:paraId="45F8075F"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-0,9%</w:t>
            </w:r>
          </w:p>
        </w:tc>
      </w:tr>
      <w:tr w:rsidR="004E782E" w14:paraId="4FF497A6" w14:textId="77777777" w:rsidTr="004E782E">
        <w:trPr>
          <w:jc w:val="center"/>
        </w:trPr>
        <w:tc>
          <w:tcPr>
            <w:cnfStyle w:val="001000000000" w:firstRow="0" w:lastRow="0" w:firstColumn="1" w:lastColumn="0" w:oddVBand="0" w:evenVBand="0" w:oddHBand="0" w:evenHBand="0" w:firstRowFirstColumn="0" w:firstRowLastColumn="0" w:lastRowFirstColumn="0" w:lastRowLastColumn="0"/>
            <w:tcW w:w="3397" w:type="dxa"/>
          </w:tcPr>
          <w:p w14:paraId="404B9DCA" w14:textId="77777777" w:rsidR="004E782E" w:rsidRDefault="00000000">
            <w:pPr>
              <w:spacing w:line="276" w:lineRule="auto"/>
              <w:ind w:right="-560"/>
              <w:jc w:val="both"/>
              <w:rPr>
                <w:rFonts w:ascii="Open Sans" w:eastAsia="Open Sans" w:hAnsi="Open Sans" w:cs="Open Sans"/>
                <w:color w:val="262626"/>
              </w:rPr>
            </w:pPr>
            <w:r>
              <w:rPr>
                <w:b w:val="0"/>
                <w:bCs w:val="0"/>
              </w:rPr>
              <w:t xml:space="preserve">Santander </w:t>
            </w:r>
          </w:p>
        </w:tc>
        <w:tc>
          <w:tcPr>
            <w:tcW w:w="3543" w:type="dxa"/>
          </w:tcPr>
          <w:p w14:paraId="2FF11D0F" w14:textId="77777777" w:rsidR="004E782E"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color w:val="EE0000"/>
              </w:rPr>
              <w:t>-1,2%</w:t>
            </w:r>
          </w:p>
        </w:tc>
      </w:tr>
      <w:tr w:rsidR="004E782E" w14:paraId="6B67BA53" w14:textId="77777777" w:rsidTr="004E78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56A94EA" w14:textId="77777777" w:rsidR="004E782E" w:rsidRDefault="00000000">
            <w:pPr>
              <w:spacing w:line="276" w:lineRule="auto"/>
              <w:ind w:right="-560"/>
              <w:jc w:val="both"/>
              <w:rPr>
                <w:rFonts w:ascii="Open Sans" w:eastAsia="Open Sans" w:hAnsi="Open Sans" w:cs="Open Sans"/>
                <w:color w:val="262626"/>
              </w:rPr>
            </w:pPr>
            <w:r>
              <w:rPr>
                <w:b w:val="0"/>
                <w:bCs w:val="0"/>
              </w:rPr>
              <w:t xml:space="preserve">Huesca </w:t>
            </w:r>
          </w:p>
        </w:tc>
        <w:tc>
          <w:tcPr>
            <w:tcW w:w="3543" w:type="dxa"/>
          </w:tcPr>
          <w:p w14:paraId="14DFDE81" w14:textId="77777777" w:rsidR="004E782E"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color w:val="EE0000"/>
              </w:rPr>
              <w:t>-6,9%</w:t>
            </w:r>
          </w:p>
        </w:tc>
      </w:tr>
    </w:tbl>
    <w:p w14:paraId="0563FC97" w14:textId="77777777" w:rsidR="004E782E" w:rsidRDefault="004E782E">
      <w:pPr>
        <w:spacing w:line="276" w:lineRule="auto"/>
        <w:ind w:right="-560"/>
        <w:jc w:val="both"/>
        <w:rPr>
          <w:rFonts w:ascii="Open Sans" w:eastAsia="Open Sans" w:hAnsi="Open Sans" w:cs="Open Sans"/>
          <w:b/>
          <w:bCs/>
          <w:color w:val="262626"/>
          <w:sz w:val="22"/>
          <w:szCs w:val="22"/>
        </w:rPr>
      </w:pPr>
    </w:p>
    <w:p w14:paraId="67DDD8D6" w14:textId="77777777" w:rsidR="004E782E" w:rsidRDefault="004E782E">
      <w:pPr>
        <w:spacing w:line="276" w:lineRule="auto"/>
        <w:ind w:right="-433"/>
        <w:rPr>
          <w:rFonts w:ascii="Open Sans" w:eastAsia="Open Sans" w:hAnsi="Open Sans" w:cs="Open Sans"/>
          <w:b/>
          <w:bCs/>
          <w:color w:val="303AB2"/>
        </w:rPr>
      </w:pPr>
    </w:p>
    <w:p w14:paraId="44D47B7C" w14:textId="77777777" w:rsidR="004E782E" w:rsidRDefault="00000000">
      <w:pPr>
        <w:spacing w:line="276" w:lineRule="auto"/>
        <w:ind w:right="-284"/>
        <w:jc w:val="right"/>
        <w:rPr>
          <w:rFonts w:ascii="Open Sans Light" w:eastAsia="Open Sans Light" w:hAnsi="Open Sans Light" w:cs="Open Sans Light"/>
          <w:b/>
          <w:bCs/>
          <w:color w:val="303AB2"/>
        </w:rPr>
      </w:pPr>
      <w:bookmarkStart w:id="3" w:name="_heading=h.403gn9zi73hn" w:colFirst="0" w:colLast="0"/>
      <w:bookmarkEnd w:id="3"/>
      <w:r>
        <w:rPr>
          <w:rFonts w:ascii="Open Sans Light" w:eastAsia="Open Sans Light" w:hAnsi="Open Sans Light" w:cs="Open Sans Light"/>
          <w:b/>
          <w:bCs/>
          <w:color w:val="303AB2"/>
        </w:rPr>
        <w:t xml:space="preserve">Sobre </w:t>
      </w:r>
      <w:proofErr w:type="spellStart"/>
      <w:r>
        <w:rPr>
          <w:rFonts w:ascii="Open Sans Light" w:eastAsia="Open Sans Light" w:hAnsi="Open Sans Light" w:cs="Open Sans Light"/>
          <w:b/>
          <w:bCs/>
          <w:color w:val="303AB2"/>
        </w:rPr>
        <w:t>DataVenues</w:t>
      </w:r>
      <w:proofErr w:type="spellEnd"/>
    </w:p>
    <w:p w14:paraId="2692138C"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hyperlink r:id="rId16">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7">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Pr>
          <w:rFonts w:ascii="Open Sans" w:eastAsia="Open Sans" w:hAnsi="Open Sans" w:cs="Open Sans"/>
          <w:sz w:val="22"/>
          <w:szCs w:val="22"/>
        </w:rPr>
        <w:t>DataVenues</w:t>
      </w:r>
      <w:proofErr w:type="spellEnd"/>
      <w:r>
        <w:rPr>
          <w:rFonts w:ascii="Open Sans" w:eastAsia="Open Sans" w:hAnsi="Open Sans" w:cs="Open Sans"/>
          <w:sz w:val="22"/>
          <w:szCs w:val="22"/>
        </w:rPr>
        <w:t xml:space="preserve"> incluye datos propios del </w:t>
      </w:r>
      <w:proofErr w:type="spellStart"/>
      <w:r>
        <w:rPr>
          <w:rFonts w:ascii="Open Sans" w:eastAsia="Open Sans" w:hAnsi="Open Sans" w:cs="Open Sans"/>
          <w:sz w:val="22"/>
          <w:szCs w:val="22"/>
        </w:rPr>
        <w:t>portal</w:t>
      </w:r>
      <w:proofErr w:type="spellEnd"/>
      <w:r>
        <w:rPr>
          <w:rFonts w:ascii="Open Sans" w:eastAsia="Open Sans" w:hAnsi="Open Sans" w:cs="Open Sans"/>
          <w:sz w:val="22"/>
          <w:szCs w:val="22"/>
        </w:rPr>
        <w:t xml:space="preserve"> además de datos de catastro y Google </w:t>
      </w:r>
      <w:proofErr w:type="spellStart"/>
      <w:r>
        <w:rPr>
          <w:rFonts w:ascii="Open Sans" w:eastAsia="Open Sans" w:hAnsi="Open Sans" w:cs="Open Sans"/>
          <w:sz w:val="22"/>
          <w:szCs w:val="22"/>
        </w:rPr>
        <w:t>Maps</w:t>
      </w:r>
      <w:proofErr w:type="spellEnd"/>
      <w:r>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 </w:t>
      </w:r>
    </w:p>
    <w:p w14:paraId="4D04B0FC" w14:textId="77777777" w:rsidR="004E782E"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48068631"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D56ED0D"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8">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9">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AD0F11A"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20">
        <w:r>
          <w:rPr>
            <w:rFonts w:ascii="Open Sans" w:eastAsia="Open Sans" w:hAnsi="Open Sans" w:cs="Open Sans"/>
            <w:b/>
            <w:bCs/>
            <w:color w:val="0000FF"/>
            <w:sz w:val="22"/>
            <w:szCs w:val="22"/>
            <w:u w:val="single"/>
          </w:rPr>
          <w:t>Sala de Prensa</w:t>
        </w:r>
      </w:hyperlink>
    </w:p>
    <w:p w14:paraId="4CBE4311" w14:textId="77777777" w:rsidR="004E782E" w:rsidRDefault="004E782E">
      <w:pPr>
        <w:spacing w:line="276" w:lineRule="auto"/>
        <w:ind w:right="-284"/>
        <w:rPr>
          <w:rFonts w:ascii="Open Sans Light" w:eastAsia="Open Sans Light" w:hAnsi="Open Sans Light" w:cs="Open Sans Light"/>
          <w:b/>
          <w:bCs/>
          <w:color w:val="303AB2"/>
        </w:rPr>
      </w:pPr>
    </w:p>
    <w:p w14:paraId="3A1FCE19" w14:textId="77777777" w:rsidR="004E782E"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713276A3"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lastRenderedPageBreak/>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7FE3816"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21">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22">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23">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4">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5">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6">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2EBA7AFC" w14:textId="77777777" w:rsidR="004E782E" w:rsidRDefault="00000000">
      <w:pPr>
        <w:shd w:val="clear" w:color="auto" w:fill="FFFFFF"/>
        <w:spacing w:before="280" w:after="280"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30CEAF7" w14:textId="77777777" w:rsidR="004E782E" w:rsidRDefault="00000000">
      <w:pP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19EE244" w14:textId="77777777" w:rsidR="004E782E" w:rsidRDefault="004E782E">
      <w:pPr>
        <w:spacing w:line="276" w:lineRule="auto"/>
        <w:ind w:right="-284"/>
        <w:jc w:val="both"/>
        <w:rPr>
          <w:rFonts w:ascii="Open Sans" w:eastAsia="Open Sans" w:hAnsi="Open Sans" w:cs="Open Sans"/>
          <w:sz w:val="22"/>
          <w:szCs w:val="22"/>
        </w:rPr>
      </w:pPr>
    </w:p>
    <w:p w14:paraId="275B310F" w14:textId="77777777" w:rsidR="004E782E" w:rsidRDefault="00000000">
      <w:pPr>
        <w:spacing w:line="276" w:lineRule="auto"/>
        <w:ind w:right="-28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7075C491" w14:textId="77777777" w:rsidR="004E782E" w:rsidRDefault="004E782E">
      <w:pPr>
        <w:pBdr>
          <w:top w:val="nil"/>
          <w:left w:val="nil"/>
          <w:bottom w:val="nil"/>
          <w:right w:val="nil"/>
          <w:between w:val="nil"/>
        </w:pBdr>
        <w:spacing w:line="276" w:lineRule="auto"/>
        <w:ind w:right="-284"/>
        <w:jc w:val="both"/>
        <w:rPr>
          <w:rFonts w:ascii="Open Sans" w:eastAsia="Open Sans" w:hAnsi="Open Sans" w:cs="Open Sans"/>
          <w:sz w:val="22"/>
          <w:szCs w:val="22"/>
        </w:rPr>
      </w:pPr>
    </w:p>
    <w:p w14:paraId="7102F0C0" w14:textId="77777777" w:rsidR="004E782E"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7">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18DADC2E" w14:textId="77777777" w:rsidR="004E782E" w:rsidRDefault="004E782E">
      <w:pPr>
        <w:pBdr>
          <w:top w:val="nil"/>
          <w:left w:val="nil"/>
          <w:bottom w:val="nil"/>
          <w:right w:val="nil"/>
          <w:between w:val="nil"/>
        </w:pBdr>
        <w:spacing w:line="276" w:lineRule="auto"/>
        <w:ind w:right="-284"/>
        <w:jc w:val="both"/>
        <w:rPr>
          <w:rFonts w:ascii="Open Sans" w:eastAsia="Open Sans" w:hAnsi="Open Sans" w:cs="Open Sans"/>
          <w:sz w:val="22"/>
          <w:szCs w:val="22"/>
        </w:rPr>
      </w:pPr>
    </w:p>
    <w:p w14:paraId="1F3D8FE1" w14:textId="77777777" w:rsidR="004E782E" w:rsidRDefault="00000000">
      <w:pPr>
        <w:pBdr>
          <w:top w:val="nil"/>
          <w:left w:val="nil"/>
          <w:bottom w:val="nil"/>
          <w:right w:val="nil"/>
          <w:between w:val="nil"/>
        </w:pBdr>
        <w:spacing w:line="276" w:lineRule="auto"/>
        <w:ind w:right="-28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17C562F0" w14:textId="77777777" w:rsidR="004E782E" w:rsidRDefault="004E782E">
      <w:pPr>
        <w:spacing w:line="276" w:lineRule="auto"/>
        <w:ind w:right="-284"/>
        <w:rPr>
          <w:rFonts w:ascii="Open Sans" w:eastAsia="Open Sans" w:hAnsi="Open Sans" w:cs="Open Sans"/>
        </w:rPr>
      </w:pPr>
    </w:p>
    <w:p w14:paraId="0A714D82" w14:textId="77777777" w:rsidR="004E782E" w:rsidRDefault="004E782E">
      <w:pPr>
        <w:spacing w:line="276" w:lineRule="auto"/>
        <w:ind w:right="-284"/>
        <w:rPr>
          <w:rFonts w:ascii="Open Sans Light" w:eastAsia="Open Sans Light" w:hAnsi="Open Sans Light" w:cs="Open Sans Light"/>
          <w:b/>
          <w:bCs/>
          <w:color w:val="303AB2"/>
          <w:sz w:val="22"/>
          <w:szCs w:val="22"/>
        </w:rPr>
      </w:pPr>
    </w:p>
    <w:p w14:paraId="37B7302C" w14:textId="77777777" w:rsidR="004E782E" w:rsidRDefault="004E782E">
      <w:pPr>
        <w:spacing w:line="276" w:lineRule="auto"/>
        <w:ind w:right="-284"/>
        <w:rPr>
          <w:rFonts w:ascii="Open Sans Light" w:eastAsia="Open Sans Light" w:hAnsi="Open Sans Light" w:cs="Open Sans Light"/>
          <w:b/>
          <w:bCs/>
          <w:color w:val="303AB2"/>
          <w:sz w:val="22"/>
          <w:szCs w:val="22"/>
        </w:rPr>
      </w:pPr>
    </w:p>
    <w:p w14:paraId="09BFC774" w14:textId="77777777" w:rsidR="004E782E" w:rsidRDefault="00000000">
      <w:pPr>
        <w:spacing w:line="276" w:lineRule="auto"/>
        <w:ind w:right="-28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1D535AD9" w14:textId="77777777" w:rsidR="004E782E" w:rsidRDefault="00000000">
      <w:pPr>
        <w:shd w:val="clear" w:color="auto" w:fill="FFFFFF"/>
        <w:spacing w:line="276" w:lineRule="auto"/>
        <w:ind w:right="-28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21D10908" w14:textId="77777777" w:rsidR="004E782E" w:rsidRDefault="00000000">
      <w:pPr>
        <w:shd w:val="clear" w:color="auto" w:fill="FFFFFF"/>
        <w:spacing w:line="276" w:lineRule="auto"/>
        <w:ind w:right="-284"/>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comunicacion@fotocasa.es</w:t>
        </w:r>
      </w:hyperlink>
    </w:p>
    <w:p w14:paraId="6B543558" w14:textId="77777777" w:rsidR="004E782E" w:rsidRDefault="00000000">
      <w:pPr>
        <w:shd w:val="clear" w:color="auto" w:fill="FFFFFF"/>
        <w:spacing w:line="276" w:lineRule="auto"/>
        <w:ind w:right="-28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88F6F13" w14:textId="77777777" w:rsidR="004E782E" w:rsidRDefault="004E782E">
      <w:pPr>
        <w:shd w:val="clear" w:color="auto" w:fill="FFFFFF"/>
        <w:spacing w:line="276" w:lineRule="auto"/>
        <w:ind w:right="-142"/>
        <w:rPr>
          <w:rFonts w:ascii="Open Sans" w:eastAsia="Open Sans" w:hAnsi="Open Sans" w:cs="Open Sans"/>
          <w:sz w:val="22"/>
          <w:szCs w:val="22"/>
        </w:rPr>
      </w:pPr>
    </w:p>
    <w:sectPr w:rsidR="004E782E">
      <w:headerReference w:type="default" r:id="rId29"/>
      <w:footerReference w:type="default" r:id="rId30"/>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3BD1A" w14:textId="77777777" w:rsidR="0055288B" w:rsidRDefault="0055288B">
      <w:r>
        <w:separator/>
      </w:r>
    </w:p>
  </w:endnote>
  <w:endnote w:type="continuationSeparator" w:id="0">
    <w:p w14:paraId="146D3301" w14:textId="77777777" w:rsidR="0055288B" w:rsidRDefault="00552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E5C00E9-5798-4584-9F83-98918CC437A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73F174-F16B-4294-AB97-6412634DD71E}"/>
    <w:embedBold r:id="rId3" w:fontKey="{A290F6BD-F0A7-451D-A341-5A9F1C45EC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2CE7D4D-D874-4F10-BA0E-E59E60A7D02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C653D946-D1CD-44A1-B718-24315E65259C}"/>
    <w:embedBold r:id="rId6" w:fontKey="{B81255A4-8088-4541-AE0D-EA2D4196F460}"/>
    <w:embedItalic r:id="rId7" w:fontKey="{BB4F996C-3EA1-44CA-8AAE-E8E99075FC6E}"/>
    <w:embedBoldItalic r:id="rId8" w:fontKey="{3CC3A22A-CB6F-4B00-92F9-22337B6AB2EE}"/>
  </w:font>
  <w:font w:name="Open Sans Light">
    <w:charset w:val="00"/>
    <w:family w:val="swiss"/>
    <w:pitch w:val="variable"/>
    <w:sig w:usb0="E00002EF" w:usb1="4000205B" w:usb2="00000028" w:usb3="00000000" w:csb0="0000019F" w:csb1="00000000"/>
    <w:embedBold r:id="rId9" w:fontKey="{9272392B-F674-46E9-8881-B98C0F7FC205}"/>
  </w:font>
  <w:font w:name="Cambria">
    <w:panose1 w:val="02040503050406030204"/>
    <w:charset w:val="00"/>
    <w:family w:val="roman"/>
    <w:pitch w:val="variable"/>
    <w:sig w:usb0="E00006FF" w:usb1="420024FF" w:usb2="02000000" w:usb3="00000000" w:csb0="0000019F" w:csb1="00000000"/>
    <w:embedRegular r:id="rId10" w:fontKey="{700EF05D-61F3-4863-8AF4-EBE8BB6F1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ABA3" w14:textId="77777777" w:rsidR="004E782E"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03580454" wp14:editId="62AABBD1">
          <wp:simplePos x="0" y="0"/>
          <wp:positionH relativeFrom="column">
            <wp:posOffset>-1080130</wp:posOffset>
          </wp:positionH>
          <wp:positionV relativeFrom="paragraph">
            <wp:posOffset>294640</wp:posOffset>
          </wp:positionV>
          <wp:extent cx="7670550" cy="451315"/>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845C6" w14:textId="77777777" w:rsidR="0055288B" w:rsidRDefault="0055288B">
      <w:r>
        <w:separator/>
      </w:r>
    </w:p>
  </w:footnote>
  <w:footnote w:type="continuationSeparator" w:id="0">
    <w:p w14:paraId="47BDCEF9" w14:textId="77777777" w:rsidR="0055288B" w:rsidRDefault="00552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CA48D" w14:textId="77777777" w:rsidR="004E782E"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3802499" wp14:editId="6608B1D5">
          <wp:simplePos x="0" y="0"/>
          <wp:positionH relativeFrom="column">
            <wp:posOffset>-1234435</wp:posOffset>
          </wp:positionH>
          <wp:positionV relativeFrom="paragraph">
            <wp:posOffset>-239389</wp:posOffset>
          </wp:positionV>
          <wp:extent cx="2939415" cy="1019175"/>
          <wp:effectExtent l="0" t="0" r="0" b="0"/>
          <wp:wrapNone/>
          <wp:docPr id="1" name="image1.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Patrón de fondo&#10;&#10;El contenido generado por IA puede ser incorrecto."/>
                  <pic:cNvPicPr preferRelativeResize="0"/>
                </pic:nvPicPr>
                <pic:blipFill>
                  <a:blip r:embed="rId1"/>
                  <a:srcRect l="-1337" r="62567"/>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69B37AE" wp14:editId="3BB3FF5A">
          <wp:simplePos x="0" y="0"/>
          <wp:positionH relativeFrom="column">
            <wp:posOffset>3903345</wp:posOffset>
          </wp:positionH>
          <wp:positionV relativeFrom="paragraph">
            <wp:posOffset>-33016</wp:posOffset>
          </wp:positionV>
          <wp:extent cx="2352040" cy="895350"/>
          <wp:effectExtent l="0" t="0" r="0" b="0"/>
          <wp:wrapSquare wrapText="bothSides" distT="0" distB="0" distL="114300" distR="114300"/>
          <wp:docPr id="4" name="image4.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22717CEE" w14:textId="77777777" w:rsidR="004E782E" w:rsidRDefault="004E782E">
    <w:pPr>
      <w:pBdr>
        <w:top w:val="nil"/>
        <w:left w:val="nil"/>
        <w:bottom w:val="nil"/>
        <w:right w:val="nil"/>
        <w:between w:val="nil"/>
      </w:pBdr>
      <w:tabs>
        <w:tab w:val="center" w:pos="4252"/>
        <w:tab w:val="right" w:pos="8504"/>
      </w:tabs>
      <w:rPr>
        <w:color w:val="000000"/>
      </w:rPr>
    </w:pPr>
  </w:p>
  <w:p w14:paraId="76D289C7" w14:textId="77777777" w:rsidR="004E782E" w:rsidRDefault="004E782E">
    <w:pPr>
      <w:pBdr>
        <w:top w:val="nil"/>
        <w:left w:val="nil"/>
        <w:bottom w:val="nil"/>
        <w:right w:val="nil"/>
        <w:between w:val="nil"/>
      </w:pBdr>
      <w:tabs>
        <w:tab w:val="center" w:pos="4252"/>
        <w:tab w:val="right" w:pos="8504"/>
      </w:tabs>
      <w:rPr>
        <w:color w:val="000000"/>
      </w:rPr>
    </w:pPr>
  </w:p>
  <w:p w14:paraId="05FC96E6" w14:textId="77777777" w:rsidR="004E782E" w:rsidRDefault="004E782E">
    <w:pPr>
      <w:pBdr>
        <w:top w:val="nil"/>
        <w:left w:val="nil"/>
        <w:bottom w:val="nil"/>
        <w:right w:val="nil"/>
        <w:between w:val="nil"/>
      </w:pBdr>
      <w:tabs>
        <w:tab w:val="center" w:pos="4252"/>
        <w:tab w:val="right" w:pos="8504"/>
      </w:tabs>
      <w:rPr>
        <w:color w:val="000000"/>
      </w:rPr>
    </w:pPr>
  </w:p>
  <w:p w14:paraId="4635B5EB" w14:textId="77777777" w:rsidR="004E782E" w:rsidRDefault="004E782E">
    <w:pPr>
      <w:pBdr>
        <w:top w:val="nil"/>
        <w:left w:val="nil"/>
        <w:bottom w:val="nil"/>
        <w:right w:val="nil"/>
        <w:between w:val="nil"/>
      </w:pBdr>
      <w:tabs>
        <w:tab w:val="center" w:pos="4252"/>
        <w:tab w:val="right" w:pos="8504"/>
      </w:tabs>
      <w:rPr>
        <w:color w:val="000000"/>
      </w:rPr>
    </w:pPr>
  </w:p>
  <w:p w14:paraId="1590D356" w14:textId="77777777" w:rsidR="004E782E" w:rsidRDefault="004E782E">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4DE4"/>
    <w:multiLevelType w:val="multilevel"/>
    <w:tmpl w:val="CB086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2123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82E"/>
    <w:rsid w:val="004E782E"/>
    <w:rsid w:val="0055288B"/>
    <w:rsid w:val="009B663D"/>
    <w:rsid w:val="009F7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407A"/>
  <w15:docId w15:val="{98C1A78D-0A10-4C4D-A92A-4CD651E1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tavenues.com/" TargetMode="External"/><Relationship Id="rId13" Type="http://schemas.openxmlformats.org/officeDocument/2006/relationships/hyperlink" Target="https://www.fotocasa.es/es/" TargetMode="External"/><Relationship Id="rId18" Type="http://schemas.openxmlformats.org/officeDocument/2006/relationships/hyperlink" Target="https://www.fotocasa.es/indice/" TargetMode="External"/><Relationship Id="rId26" Type="http://schemas.openxmlformats.org/officeDocument/2006/relationships/hyperlink" Target="https://www.inmoweb.es/" TargetMode="External"/><Relationship Id="rId3" Type="http://schemas.openxmlformats.org/officeDocument/2006/relationships/styles" Target="styles.xml"/><Relationship Id="rId21" Type="http://schemas.openxmlformats.org/officeDocument/2006/relationships/hyperlink" Target="https://www.fotocas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datavenues.com/" TargetMode="External"/><Relationship Id="rId25" Type="http://schemas.openxmlformats.org/officeDocument/2006/relationships/hyperlink" Target="https://get.witei.com/en/" TargetMode="External"/><Relationship Id="rId2" Type="http://schemas.openxmlformats.org/officeDocument/2006/relationships/numbering" Target="numbering.xml"/><Relationship Id="rId16" Type="http://schemas.openxmlformats.org/officeDocument/2006/relationships/hyperlink" Target="https://datavenues.com/" TargetMode="External"/><Relationship Id="rId20" Type="http://schemas.openxmlformats.org/officeDocument/2006/relationships/hyperlink" Target="http://prensa.fotocasa.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https://datavenues.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profesionales.fotocasa.es/" TargetMode="External"/><Relationship Id="rId28" Type="http://schemas.openxmlformats.org/officeDocument/2006/relationships/hyperlink" Target="mailto:comunicacion@fotocasa.es" TargetMode="External"/><Relationship Id="rId10" Type="http://schemas.openxmlformats.org/officeDocument/2006/relationships/hyperlink" Target="https://datavenues.com/" TargetMode="External"/><Relationship Id="rId19" Type="http://schemas.openxmlformats.org/officeDocument/2006/relationships/hyperlink" Target="https://www.research.fotocasa.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image" Target="media/image1.png"/><Relationship Id="rId22" Type="http://schemas.openxmlformats.org/officeDocument/2006/relationships/hyperlink" Target="https://www.habitaclia.com/" TargetMode="External"/><Relationship Id="rId27" Type="http://schemas.openxmlformats.org/officeDocument/2006/relationships/hyperlink" Target="https://www.immobilienscout24.de/"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hi0THvSKzH0KdAag9uNqk42gRw==">CgMxLjAyCWguMzBqMHpsbDIOaC5iOTF0M2Vid3ltcTMyDmguZ21lcGYyNHczcHJmMg5oLjQwM2duOXppNzNobjgAciExbXBDQmxqaFhtV2cza1BRWnJfOW14Z20tV05KOWF6QWs=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1751</Words>
  <Characters>9987</Characters>
  <Application>Microsoft Office Word</Application>
  <DocSecurity>0</DocSecurity>
  <Lines>83</Lines>
  <Paragraphs>23</Paragraphs>
  <ScaleCrop>false</ScaleCrop>
  <Company/>
  <LinksUpToDate>false</LinksUpToDate>
  <CharactersWithSpaces>11715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2026-07-13T10:25:00Z</dcterms:created>
  <dcterms:modified xsi:type="dcterms:W3CDTF">2026-07-13T10:26:00Z</dcterms:modified>
</cp:coreProperties>
</file>